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CB" w:rsidRPr="005164C9" w:rsidRDefault="00BE1D5A" w:rsidP="006A2435">
      <w:r w:rsidRPr="00BE1D5A">
        <w:rPr>
          <w:rStyle w:val="PageNumber"/>
        </w:rPr>
        <w:pict>
          <v:rect id="_x0000_i1025" style="width:0;height:1.5pt" o:hralign="center" o:hrstd="t" o:hr="t" fillcolor="#aca899" stroked="f"/>
        </w:pict>
      </w:r>
      <w:bookmarkStart w:id="0" w:name="_Toc332898798"/>
      <w:bookmarkStart w:id="1" w:name="_Toc332898920"/>
      <w:bookmarkStart w:id="2" w:name="_Toc332957011"/>
      <w:bookmarkStart w:id="3" w:name="_Toc332957992"/>
      <w:bookmarkStart w:id="4" w:name="_Toc332963388"/>
      <w:bookmarkStart w:id="5" w:name="_Toc332963498"/>
    </w:p>
    <w:p w:rsidR="00A476B0" w:rsidRDefault="00F33CD9" w:rsidP="005511A7">
      <w:pPr>
        <w:pStyle w:val="Titlepagemaintitle"/>
      </w:pPr>
      <w:bookmarkStart w:id="6" w:name="_Toc332894757"/>
      <w:r>
        <w:br/>
      </w:r>
      <w:r>
        <w:br/>
      </w:r>
      <w:r w:rsidR="00D276A9">
        <w:t>Managing</w:t>
      </w:r>
      <w:r w:rsidR="00ED31D3" w:rsidRPr="009D1EFC">
        <w:t xml:space="preserve"> biosecurity risks associated </w:t>
      </w:r>
      <w:r w:rsidR="00ED31D3">
        <w:t xml:space="preserve">with </w:t>
      </w:r>
      <w:r w:rsidR="00ED31D3" w:rsidRPr="009D1EFC">
        <w:t xml:space="preserve">international online </w:t>
      </w:r>
      <w:r w:rsidR="00D276A9">
        <w:t>purchases</w:t>
      </w:r>
    </w:p>
    <w:p w:rsidR="0023241B" w:rsidRPr="0023241B" w:rsidRDefault="0023241B" w:rsidP="005511A7">
      <w:pPr>
        <w:pStyle w:val="Titlepagemaintitle"/>
        <w:rPr>
          <w:sz w:val="28"/>
          <w:szCs w:val="28"/>
        </w:rPr>
      </w:pPr>
      <w:r w:rsidRPr="0023241B">
        <w:rPr>
          <w:sz w:val="28"/>
          <w:szCs w:val="28"/>
        </w:rPr>
        <w:t>Interim Inspector-General of Biosecurity</w:t>
      </w:r>
      <w:r w:rsidRPr="0023241B">
        <w:rPr>
          <w:sz w:val="28"/>
          <w:szCs w:val="28"/>
        </w:rPr>
        <w:br/>
      </w:r>
      <w:r w:rsidR="00476804">
        <w:rPr>
          <w:sz w:val="28"/>
          <w:szCs w:val="28"/>
        </w:rPr>
        <w:t>Audit</w:t>
      </w:r>
      <w:r w:rsidRPr="0023241B">
        <w:rPr>
          <w:sz w:val="28"/>
          <w:szCs w:val="28"/>
        </w:rPr>
        <w:t xml:space="preserve"> report</w:t>
      </w:r>
    </w:p>
    <w:bookmarkEnd w:id="6"/>
    <w:p w:rsidR="004926CB" w:rsidRPr="00D55145" w:rsidRDefault="00502156" w:rsidP="005511A7">
      <w:pPr>
        <w:spacing w:after="2400"/>
        <w:jc w:val="center"/>
        <w:rPr>
          <w:sz w:val="24"/>
          <w:szCs w:val="24"/>
        </w:rPr>
      </w:pPr>
      <w:r>
        <w:rPr>
          <w:sz w:val="24"/>
          <w:szCs w:val="24"/>
        </w:rPr>
        <w:br/>
      </w:r>
      <w:r>
        <w:rPr>
          <w:sz w:val="24"/>
          <w:szCs w:val="24"/>
        </w:rPr>
        <w:br/>
      </w:r>
      <w:r w:rsidR="00DB2E82" w:rsidRPr="00DB2E82">
        <w:rPr>
          <w:sz w:val="24"/>
          <w:szCs w:val="24"/>
        </w:rPr>
        <w:t>March</w:t>
      </w:r>
      <w:r w:rsidR="00F152E3" w:rsidRPr="00F152E3">
        <w:rPr>
          <w:sz w:val="24"/>
          <w:szCs w:val="24"/>
        </w:rPr>
        <w:t xml:space="preserve"> </w:t>
      </w:r>
      <w:r w:rsidR="006C4FA0" w:rsidRPr="00F152E3">
        <w:rPr>
          <w:sz w:val="24"/>
          <w:szCs w:val="24"/>
        </w:rPr>
        <w:t>2015</w:t>
      </w:r>
    </w:p>
    <w:p w:rsidR="00F33CD9" w:rsidRDefault="00F33CD9" w:rsidP="005511A7">
      <w:pPr>
        <w:spacing w:before="600"/>
        <w:jc w:val="right"/>
        <w:rPr>
          <w:sz w:val="24"/>
          <w:szCs w:val="24"/>
        </w:rPr>
      </w:pPr>
    </w:p>
    <w:p w:rsidR="00F33CD9" w:rsidRDefault="00F33CD9" w:rsidP="005511A7">
      <w:pPr>
        <w:spacing w:before="600"/>
        <w:jc w:val="right"/>
        <w:rPr>
          <w:sz w:val="24"/>
          <w:szCs w:val="24"/>
        </w:rPr>
      </w:pPr>
    </w:p>
    <w:p w:rsidR="006E5BC7" w:rsidRPr="00D55145" w:rsidRDefault="006F01B2" w:rsidP="005511A7">
      <w:pPr>
        <w:spacing w:before="600"/>
        <w:jc w:val="right"/>
        <w:rPr>
          <w:sz w:val="24"/>
          <w:szCs w:val="24"/>
        </w:rPr>
        <w:sectPr w:rsidR="006E5BC7" w:rsidRPr="00D55145" w:rsidSect="006E5BC7">
          <w:headerReference w:type="default" r:id="rId8"/>
          <w:footerReference w:type="default" r:id="rId9"/>
          <w:headerReference w:type="first" r:id="rId10"/>
          <w:footerReference w:type="first" r:id="rId11"/>
          <w:pgSz w:w="11906" w:h="16838"/>
          <w:pgMar w:top="1440" w:right="1797" w:bottom="1440" w:left="1797" w:header="709" w:footer="709" w:gutter="0"/>
          <w:pgNumType w:start="1"/>
          <w:cols w:space="708"/>
          <w:titlePg/>
          <w:docGrid w:linePitch="360"/>
        </w:sectPr>
      </w:pPr>
      <w:r w:rsidRPr="00476804">
        <w:rPr>
          <w:sz w:val="24"/>
          <w:szCs w:val="24"/>
        </w:rPr>
        <w:t>No. 201</w:t>
      </w:r>
      <w:r w:rsidR="00DC15B0" w:rsidRPr="00476804">
        <w:rPr>
          <w:sz w:val="24"/>
          <w:szCs w:val="24"/>
        </w:rPr>
        <w:t>3</w:t>
      </w:r>
      <w:r w:rsidR="00476804" w:rsidRPr="00476804">
        <w:rPr>
          <w:sz w:val="24"/>
          <w:szCs w:val="24"/>
        </w:rPr>
        <w:t>–14/2</w:t>
      </w:r>
    </w:p>
    <w:p w:rsidR="00FE2286" w:rsidRDefault="00FE2286" w:rsidP="005511A7">
      <w:pPr>
        <w:pStyle w:val="TOCHeading"/>
      </w:pPr>
      <w:bookmarkStart w:id="7" w:name="_Toc332894759"/>
      <w:bookmarkStart w:id="8" w:name="_Toc375315625"/>
      <w:bookmarkEnd w:id="0"/>
      <w:bookmarkEnd w:id="1"/>
      <w:bookmarkEnd w:id="2"/>
      <w:bookmarkEnd w:id="3"/>
      <w:bookmarkEnd w:id="4"/>
      <w:bookmarkEnd w:id="5"/>
      <w:r>
        <w:lastRenderedPageBreak/>
        <w:t>Contents</w:t>
      </w:r>
    </w:p>
    <w:p w:rsidR="0073263E" w:rsidRDefault="00BE1D5A">
      <w:pPr>
        <w:pStyle w:val="TOC1"/>
        <w:tabs>
          <w:tab w:val="right" w:pos="8302"/>
        </w:tabs>
        <w:rPr>
          <w:rFonts w:asciiTheme="minorHAnsi" w:eastAsiaTheme="minorEastAsia" w:hAnsiTheme="minorHAnsi" w:cstheme="minorBidi"/>
          <w:b w:val="0"/>
          <w:bCs w:val="0"/>
          <w:noProof/>
          <w:sz w:val="22"/>
          <w:szCs w:val="22"/>
        </w:rPr>
      </w:pPr>
      <w:r w:rsidRPr="00BE1D5A">
        <w:fldChar w:fldCharType="begin"/>
      </w:r>
      <w:r w:rsidR="00C650B6">
        <w:instrText xml:space="preserve"> TOC \o "1-3" \t "Numbered Heading 2,3" </w:instrText>
      </w:r>
      <w:r w:rsidRPr="00BE1D5A">
        <w:fldChar w:fldCharType="separate"/>
      </w:r>
      <w:r w:rsidR="0073263E">
        <w:rPr>
          <w:noProof/>
        </w:rPr>
        <w:t>Summary</w:t>
      </w:r>
      <w:r w:rsidR="0073263E">
        <w:rPr>
          <w:noProof/>
        </w:rPr>
        <w:tab/>
      </w:r>
      <w:r>
        <w:rPr>
          <w:noProof/>
        </w:rPr>
        <w:fldChar w:fldCharType="begin"/>
      </w:r>
      <w:r w:rsidR="0073263E">
        <w:rPr>
          <w:noProof/>
        </w:rPr>
        <w:instrText xml:space="preserve"> PAGEREF _Toc413220595 \h </w:instrText>
      </w:r>
      <w:r>
        <w:rPr>
          <w:noProof/>
        </w:rPr>
      </w:r>
      <w:r>
        <w:rPr>
          <w:noProof/>
        </w:rPr>
        <w:fldChar w:fldCharType="separate"/>
      </w:r>
      <w:r w:rsidR="00AC1767">
        <w:rPr>
          <w:noProof/>
        </w:rPr>
        <w:t>4</w:t>
      </w:r>
      <w:r>
        <w:rPr>
          <w:noProof/>
        </w:rPr>
        <w:fldChar w:fldCharType="end"/>
      </w:r>
    </w:p>
    <w:p w:rsidR="0073263E" w:rsidRDefault="0073263E">
      <w:pPr>
        <w:pStyle w:val="TOC2"/>
        <w:tabs>
          <w:tab w:val="right" w:pos="8302"/>
        </w:tabs>
        <w:rPr>
          <w:rFonts w:asciiTheme="minorHAnsi" w:eastAsiaTheme="minorEastAsia" w:hAnsiTheme="minorHAnsi" w:cstheme="minorBidi"/>
          <w:iCs w:val="0"/>
          <w:noProof/>
          <w:sz w:val="22"/>
          <w:szCs w:val="22"/>
        </w:rPr>
      </w:pPr>
      <w:r>
        <w:rPr>
          <w:noProof/>
        </w:rPr>
        <w:t>Context</w:t>
      </w:r>
      <w:r>
        <w:rPr>
          <w:noProof/>
        </w:rPr>
        <w:tab/>
      </w:r>
      <w:r w:rsidR="00BE1D5A">
        <w:rPr>
          <w:noProof/>
        </w:rPr>
        <w:fldChar w:fldCharType="begin"/>
      </w:r>
      <w:r>
        <w:rPr>
          <w:noProof/>
        </w:rPr>
        <w:instrText xml:space="preserve"> PAGEREF _Toc413220596 \h </w:instrText>
      </w:r>
      <w:r w:rsidR="00BE1D5A">
        <w:rPr>
          <w:noProof/>
        </w:rPr>
      </w:r>
      <w:r w:rsidR="00BE1D5A">
        <w:rPr>
          <w:noProof/>
        </w:rPr>
        <w:fldChar w:fldCharType="separate"/>
      </w:r>
      <w:r w:rsidR="00AC1767">
        <w:rPr>
          <w:noProof/>
        </w:rPr>
        <w:t>4</w:t>
      </w:r>
      <w:r w:rsidR="00BE1D5A">
        <w:rPr>
          <w:noProof/>
        </w:rPr>
        <w:fldChar w:fldCharType="end"/>
      </w:r>
    </w:p>
    <w:p w:rsidR="0073263E" w:rsidRDefault="0073263E">
      <w:pPr>
        <w:pStyle w:val="TOC2"/>
        <w:tabs>
          <w:tab w:val="right" w:pos="8302"/>
        </w:tabs>
        <w:rPr>
          <w:rFonts w:asciiTheme="minorHAnsi" w:eastAsiaTheme="minorEastAsia" w:hAnsiTheme="minorHAnsi" w:cstheme="minorBidi"/>
          <w:iCs w:val="0"/>
          <w:noProof/>
          <w:sz w:val="22"/>
          <w:szCs w:val="22"/>
        </w:rPr>
      </w:pPr>
      <w:r>
        <w:rPr>
          <w:noProof/>
        </w:rPr>
        <w:t>Audit objective</w:t>
      </w:r>
      <w:r>
        <w:rPr>
          <w:noProof/>
        </w:rPr>
        <w:tab/>
      </w:r>
      <w:r w:rsidR="00BE1D5A">
        <w:rPr>
          <w:noProof/>
        </w:rPr>
        <w:fldChar w:fldCharType="begin"/>
      </w:r>
      <w:r>
        <w:rPr>
          <w:noProof/>
        </w:rPr>
        <w:instrText xml:space="preserve"> PAGEREF _Toc413220597 \h </w:instrText>
      </w:r>
      <w:r w:rsidR="00BE1D5A">
        <w:rPr>
          <w:noProof/>
        </w:rPr>
      </w:r>
      <w:r w:rsidR="00BE1D5A">
        <w:rPr>
          <w:noProof/>
        </w:rPr>
        <w:fldChar w:fldCharType="separate"/>
      </w:r>
      <w:r w:rsidR="00AC1767">
        <w:rPr>
          <w:noProof/>
        </w:rPr>
        <w:t>4</w:t>
      </w:r>
      <w:r w:rsidR="00BE1D5A">
        <w:rPr>
          <w:noProof/>
        </w:rPr>
        <w:fldChar w:fldCharType="end"/>
      </w:r>
    </w:p>
    <w:p w:rsidR="0073263E" w:rsidRDefault="0073263E">
      <w:pPr>
        <w:pStyle w:val="TOC2"/>
        <w:tabs>
          <w:tab w:val="right" w:pos="8302"/>
        </w:tabs>
        <w:rPr>
          <w:rFonts w:asciiTheme="minorHAnsi" w:eastAsiaTheme="minorEastAsia" w:hAnsiTheme="minorHAnsi" w:cstheme="minorBidi"/>
          <w:iCs w:val="0"/>
          <w:noProof/>
          <w:sz w:val="22"/>
          <w:szCs w:val="22"/>
        </w:rPr>
      </w:pPr>
      <w:r>
        <w:rPr>
          <w:noProof/>
        </w:rPr>
        <w:t>Audit scope</w:t>
      </w:r>
      <w:r>
        <w:rPr>
          <w:noProof/>
        </w:rPr>
        <w:tab/>
      </w:r>
      <w:r w:rsidR="00BE1D5A">
        <w:rPr>
          <w:noProof/>
        </w:rPr>
        <w:fldChar w:fldCharType="begin"/>
      </w:r>
      <w:r>
        <w:rPr>
          <w:noProof/>
        </w:rPr>
        <w:instrText xml:space="preserve"> PAGEREF _Toc413220598 \h </w:instrText>
      </w:r>
      <w:r w:rsidR="00BE1D5A">
        <w:rPr>
          <w:noProof/>
        </w:rPr>
      </w:r>
      <w:r w:rsidR="00BE1D5A">
        <w:rPr>
          <w:noProof/>
        </w:rPr>
        <w:fldChar w:fldCharType="separate"/>
      </w:r>
      <w:r w:rsidR="00AC1767">
        <w:rPr>
          <w:noProof/>
        </w:rPr>
        <w:t>4</w:t>
      </w:r>
      <w:r w:rsidR="00BE1D5A">
        <w:rPr>
          <w:noProof/>
        </w:rPr>
        <w:fldChar w:fldCharType="end"/>
      </w:r>
    </w:p>
    <w:p w:rsidR="0073263E" w:rsidRDefault="0073263E">
      <w:pPr>
        <w:pStyle w:val="TOC2"/>
        <w:tabs>
          <w:tab w:val="right" w:pos="8302"/>
        </w:tabs>
        <w:rPr>
          <w:rFonts w:asciiTheme="minorHAnsi" w:eastAsiaTheme="minorEastAsia" w:hAnsiTheme="minorHAnsi" w:cstheme="minorBidi"/>
          <w:iCs w:val="0"/>
          <w:noProof/>
          <w:sz w:val="22"/>
          <w:szCs w:val="22"/>
        </w:rPr>
      </w:pPr>
      <w:r>
        <w:rPr>
          <w:noProof/>
        </w:rPr>
        <w:t>Key findings</w:t>
      </w:r>
      <w:r>
        <w:rPr>
          <w:noProof/>
        </w:rPr>
        <w:tab/>
      </w:r>
      <w:r w:rsidR="00BE1D5A">
        <w:rPr>
          <w:noProof/>
        </w:rPr>
        <w:fldChar w:fldCharType="begin"/>
      </w:r>
      <w:r>
        <w:rPr>
          <w:noProof/>
        </w:rPr>
        <w:instrText xml:space="preserve"> PAGEREF _Toc413220599 \h </w:instrText>
      </w:r>
      <w:r w:rsidR="00BE1D5A">
        <w:rPr>
          <w:noProof/>
        </w:rPr>
      </w:r>
      <w:r w:rsidR="00BE1D5A">
        <w:rPr>
          <w:noProof/>
        </w:rPr>
        <w:fldChar w:fldCharType="separate"/>
      </w:r>
      <w:r w:rsidR="00AC1767">
        <w:rPr>
          <w:noProof/>
        </w:rPr>
        <w:t>4</w:t>
      </w:r>
      <w:r w:rsidR="00BE1D5A">
        <w:rPr>
          <w:noProof/>
        </w:rPr>
        <w:fldChar w:fldCharType="end"/>
      </w:r>
    </w:p>
    <w:p w:rsidR="0073263E" w:rsidRDefault="0073263E">
      <w:pPr>
        <w:pStyle w:val="TOC1"/>
        <w:tabs>
          <w:tab w:val="right" w:pos="8302"/>
        </w:tabs>
        <w:rPr>
          <w:rFonts w:asciiTheme="minorHAnsi" w:eastAsiaTheme="minorEastAsia" w:hAnsiTheme="minorHAnsi" w:cstheme="minorBidi"/>
          <w:b w:val="0"/>
          <w:bCs w:val="0"/>
          <w:noProof/>
          <w:sz w:val="22"/>
          <w:szCs w:val="22"/>
        </w:rPr>
      </w:pPr>
      <w:r>
        <w:rPr>
          <w:noProof/>
        </w:rPr>
        <w:t>Recommendations</w:t>
      </w:r>
      <w:r>
        <w:rPr>
          <w:noProof/>
        </w:rPr>
        <w:tab/>
      </w:r>
      <w:r w:rsidR="00BE1D5A">
        <w:rPr>
          <w:noProof/>
        </w:rPr>
        <w:fldChar w:fldCharType="begin"/>
      </w:r>
      <w:r>
        <w:rPr>
          <w:noProof/>
        </w:rPr>
        <w:instrText xml:space="preserve"> PAGEREF _Toc413220600 \h </w:instrText>
      </w:r>
      <w:r w:rsidR="00BE1D5A">
        <w:rPr>
          <w:noProof/>
        </w:rPr>
      </w:r>
      <w:r w:rsidR="00BE1D5A">
        <w:rPr>
          <w:noProof/>
        </w:rPr>
        <w:fldChar w:fldCharType="separate"/>
      </w:r>
      <w:r w:rsidR="00AC1767">
        <w:rPr>
          <w:noProof/>
        </w:rPr>
        <w:t>8</w:t>
      </w:r>
      <w:r w:rsidR="00BE1D5A">
        <w:rPr>
          <w:noProof/>
        </w:rPr>
        <w:fldChar w:fldCharType="end"/>
      </w:r>
    </w:p>
    <w:p w:rsidR="0073263E" w:rsidRDefault="0073263E">
      <w:pPr>
        <w:pStyle w:val="TOC1"/>
        <w:tabs>
          <w:tab w:val="right" w:pos="8302"/>
        </w:tabs>
        <w:rPr>
          <w:rFonts w:asciiTheme="minorHAnsi" w:eastAsiaTheme="minorEastAsia" w:hAnsiTheme="minorHAnsi" w:cstheme="minorBidi"/>
          <w:b w:val="0"/>
          <w:bCs w:val="0"/>
          <w:noProof/>
          <w:sz w:val="22"/>
          <w:szCs w:val="22"/>
        </w:rPr>
      </w:pPr>
      <w:r>
        <w:rPr>
          <w:noProof/>
        </w:rPr>
        <w:t>Introduction</w:t>
      </w:r>
      <w:r>
        <w:rPr>
          <w:noProof/>
        </w:rPr>
        <w:tab/>
      </w:r>
      <w:r w:rsidR="00BE1D5A">
        <w:rPr>
          <w:noProof/>
        </w:rPr>
        <w:fldChar w:fldCharType="begin"/>
      </w:r>
      <w:r>
        <w:rPr>
          <w:noProof/>
        </w:rPr>
        <w:instrText xml:space="preserve"> PAGEREF _Toc413220601 \h </w:instrText>
      </w:r>
      <w:r w:rsidR="00BE1D5A">
        <w:rPr>
          <w:noProof/>
        </w:rPr>
      </w:r>
      <w:r w:rsidR="00BE1D5A">
        <w:rPr>
          <w:noProof/>
        </w:rPr>
        <w:fldChar w:fldCharType="separate"/>
      </w:r>
      <w:r w:rsidR="00AC1767">
        <w:rPr>
          <w:noProof/>
        </w:rPr>
        <w:t>10</w:t>
      </w:r>
      <w:r w:rsidR="00BE1D5A">
        <w:rPr>
          <w:noProof/>
        </w:rPr>
        <w:fldChar w:fldCharType="end"/>
      </w:r>
    </w:p>
    <w:p w:rsidR="0073263E" w:rsidRDefault="0073263E">
      <w:pPr>
        <w:pStyle w:val="TOC3"/>
        <w:tabs>
          <w:tab w:val="left" w:pos="880"/>
          <w:tab w:val="right" w:pos="8302"/>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Background</w:t>
      </w:r>
      <w:r>
        <w:rPr>
          <w:noProof/>
        </w:rPr>
        <w:tab/>
      </w:r>
      <w:r w:rsidR="00BE1D5A">
        <w:rPr>
          <w:noProof/>
        </w:rPr>
        <w:fldChar w:fldCharType="begin"/>
      </w:r>
      <w:r>
        <w:rPr>
          <w:noProof/>
        </w:rPr>
        <w:instrText xml:space="preserve"> PAGEREF _Toc413220602 \h </w:instrText>
      </w:r>
      <w:r w:rsidR="00BE1D5A">
        <w:rPr>
          <w:noProof/>
        </w:rPr>
      </w:r>
      <w:r w:rsidR="00BE1D5A">
        <w:rPr>
          <w:noProof/>
        </w:rPr>
        <w:fldChar w:fldCharType="separate"/>
      </w:r>
      <w:r w:rsidR="00AC1767">
        <w:rPr>
          <w:noProof/>
        </w:rPr>
        <w:t>10</w:t>
      </w:r>
      <w:r w:rsidR="00BE1D5A">
        <w:rPr>
          <w:noProof/>
        </w:rPr>
        <w:fldChar w:fldCharType="end"/>
      </w:r>
    </w:p>
    <w:p w:rsidR="0073263E" w:rsidRDefault="0073263E">
      <w:pPr>
        <w:pStyle w:val="TOC3"/>
        <w:tabs>
          <w:tab w:val="left" w:pos="880"/>
          <w:tab w:val="right" w:pos="8302"/>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Methodology</w:t>
      </w:r>
      <w:r>
        <w:rPr>
          <w:noProof/>
        </w:rPr>
        <w:tab/>
      </w:r>
      <w:r w:rsidR="00BE1D5A">
        <w:rPr>
          <w:noProof/>
        </w:rPr>
        <w:fldChar w:fldCharType="begin"/>
      </w:r>
      <w:r>
        <w:rPr>
          <w:noProof/>
        </w:rPr>
        <w:instrText xml:space="preserve"> PAGEREF _Toc413220603 \h </w:instrText>
      </w:r>
      <w:r w:rsidR="00BE1D5A">
        <w:rPr>
          <w:noProof/>
        </w:rPr>
      </w:r>
      <w:r w:rsidR="00BE1D5A">
        <w:rPr>
          <w:noProof/>
        </w:rPr>
        <w:fldChar w:fldCharType="separate"/>
      </w:r>
      <w:r w:rsidR="00AC1767">
        <w:rPr>
          <w:noProof/>
        </w:rPr>
        <w:t>14</w:t>
      </w:r>
      <w:r w:rsidR="00BE1D5A">
        <w:rPr>
          <w:noProof/>
        </w:rPr>
        <w:fldChar w:fldCharType="end"/>
      </w:r>
    </w:p>
    <w:p w:rsidR="0073263E" w:rsidRDefault="0073263E">
      <w:pPr>
        <w:pStyle w:val="TOC1"/>
        <w:tabs>
          <w:tab w:val="right" w:pos="8302"/>
        </w:tabs>
        <w:rPr>
          <w:rFonts w:asciiTheme="minorHAnsi" w:eastAsiaTheme="minorEastAsia" w:hAnsiTheme="minorHAnsi" w:cstheme="minorBidi"/>
          <w:b w:val="0"/>
          <w:bCs w:val="0"/>
          <w:noProof/>
          <w:sz w:val="22"/>
          <w:szCs w:val="22"/>
        </w:rPr>
      </w:pPr>
      <w:r>
        <w:rPr>
          <w:noProof/>
        </w:rPr>
        <w:t>Observations and findings</w:t>
      </w:r>
      <w:r>
        <w:rPr>
          <w:noProof/>
        </w:rPr>
        <w:tab/>
      </w:r>
      <w:r w:rsidR="00BE1D5A">
        <w:rPr>
          <w:noProof/>
        </w:rPr>
        <w:fldChar w:fldCharType="begin"/>
      </w:r>
      <w:r>
        <w:rPr>
          <w:noProof/>
        </w:rPr>
        <w:instrText xml:space="preserve"> PAGEREF _Toc413220604 \h </w:instrText>
      </w:r>
      <w:r w:rsidR="00BE1D5A">
        <w:rPr>
          <w:noProof/>
        </w:rPr>
      </w:r>
      <w:r w:rsidR="00BE1D5A">
        <w:rPr>
          <w:noProof/>
        </w:rPr>
        <w:fldChar w:fldCharType="separate"/>
      </w:r>
      <w:r w:rsidR="00AC1767">
        <w:rPr>
          <w:noProof/>
        </w:rPr>
        <w:t>16</w:t>
      </w:r>
      <w:r w:rsidR="00BE1D5A">
        <w:rPr>
          <w:noProof/>
        </w:rPr>
        <w:fldChar w:fldCharType="end"/>
      </w:r>
    </w:p>
    <w:p w:rsidR="0073263E" w:rsidRDefault="0073263E">
      <w:pPr>
        <w:pStyle w:val="TOC3"/>
        <w:tabs>
          <w:tab w:val="left" w:pos="880"/>
          <w:tab w:val="right" w:pos="8302"/>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International mail</w:t>
      </w:r>
      <w:r>
        <w:rPr>
          <w:noProof/>
        </w:rPr>
        <w:tab/>
      </w:r>
      <w:r w:rsidR="00BE1D5A">
        <w:rPr>
          <w:noProof/>
        </w:rPr>
        <w:fldChar w:fldCharType="begin"/>
      </w:r>
      <w:r>
        <w:rPr>
          <w:noProof/>
        </w:rPr>
        <w:instrText xml:space="preserve"> PAGEREF _Toc413220605 \h </w:instrText>
      </w:r>
      <w:r w:rsidR="00BE1D5A">
        <w:rPr>
          <w:noProof/>
        </w:rPr>
      </w:r>
      <w:r w:rsidR="00BE1D5A">
        <w:rPr>
          <w:noProof/>
        </w:rPr>
        <w:fldChar w:fldCharType="separate"/>
      </w:r>
      <w:r w:rsidR="00AC1767">
        <w:rPr>
          <w:noProof/>
        </w:rPr>
        <w:t>16</w:t>
      </w:r>
      <w:r w:rsidR="00BE1D5A">
        <w:rPr>
          <w:noProof/>
        </w:rPr>
        <w:fldChar w:fldCharType="end"/>
      </w:r>
    </w:p>
    <w:p w:rsidR="0073263E" w:rsidRDefault="0073263E">
      <w:pPr>
        <w:pStyle w:val="TOC3"/>
        <w:tabs>
          <w:tab w:val="left" w:pos="880"/>
          <w:tab w:val="right" w:pos="8302"/>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Air cargo</w:t>
      </w:r>
      <w:r>
        <w:rPr>
          <w:noProof/>
        </w:rPr>
        <w:tab/>
      </w:r>
      <w:r w:rsidR="00BE1D5A">
        <w:rPr>
          <w:noProof/>
        </w:rPr>
        <w:fldChar w:fldCharType="begin"/>
      </w:r>
      <w:r>
        <w:rPr>
          <w:noProof/>
        </w:rPr>
        <w:instrText xml:space="preserve"> PAGEREF _Toc413220606 \h </w:instrText>
      </w:r>
      <w:r w:rsidR="00BE1D5A">
        <w:rPr>
          <w:noProof/>
        </w:rPr>
      </w:r>
      <w:r w:rsidR="00BE1D5A">
        <w:rPr>
          <w:noProof/>
        </w:rPr>
        <w:fldChar w:fldCharType="separate"/>
      </w:r>
      <w:r w:rsidR="00AC1767">
        <w:rPr>
          <w:noProof/>
        </w:rPr>
        <w:t>25</w:t>
      </w:r>
      <w:r w:rsidR="00BE1D5A">
        <w:rPr>
          <w:noProof/>
        </w:rPr>
        <w:fldChar w:fldCharType="end"/>
      </w:r>
    </w:p>
    <w:p w:rsidR="0073263E" w:rsidRDefault="0073263E">
      <w:pPr>
        <w:pStyle w:val="TOC1"/>
        <w:tabs>
          <w:tab w:val="right" w:pos="8302"/>
        </w:tabs>
        <w:rPr>
          <w:rFonts w:asciiTheme="minorHAnsi" w:eastAsiaTheme="minorEastAsia" w:hAnsiTheme="minorHAnsi" w:cstheme="minorBidi"/>
          <w:b w:val="0"/>
          <w:bCs w:val="0"/>
          <w:noProof/>
          <w:sz w:val="22"/>
          <w:szCs w:val="22"/>
        </w:rPr>
      </w:pPr>
      <w:r>
        <w:rPr>
          <w:noProof/>
        </w:rPr>
        <w:t>Appendix A: Department response</w:t>
      </w:r>
      <w:r>
        <w:rPr>
          <w:noProof/>
        </w:rPr>
        <w:tab/>
      </w:r>
      <w:r w:rsidR="00BE1D5A">
        <w:rPr>
          <w:noProof/>
        </w:rPr>
        <w:fldChar w:fldCharType="begin"/>
      </w:r>
      <w:r>
        <w:rPr>
          <w:noProof/>
        </w:rPr>
        <w:instrText xml:space="preserve"> PAGEREF _Toc413220607 \h </w:instrText>
      </w:r>
      <w:r w:rsidR="00BE1D5A">
        <w:rPr>
          <w:noProof/>
        </w:rPr>
      </w:r>
      <w:r w:rsidR="00BE1D5A">
        <w:rPr>
          <w:noProof/>
        </w:rPr>
        <w:fldChar w:fldCharType="separate"/>
      </w:r>
      <w:r w:rsidR="00AC1767">
        <w:rPr>
          <w:noProof/>
        </w:rPr>
        <w:t>33</w:t>
      </w:r>
      <w:r w:rsidR="00BE1D5A">
        <w:rPr>
          <w:noProof/>
        </w:rPr>
        <w:fldChar w:fldCharType="end"/>
      </w:r>
    </w:p>
    <w:p w:rsidR="0073263E" w:rsidRDefault="0073263E">
      <w:pPr>
        <w:pStyle w:val="TOC1"/>
        <w:tabs>
          <w:tab w:val="right" w:pos="8302"/>
        </w:tabs>
        <w:rPr>
          <w:rFonts w:asciiTheme="minorHAnsi" w:eastAsiaTheme="minorEastAsia" w:hAnsiTheme="minorHAnsi" w:cstheme="minorBidi"/>
          <w:b w:val="0"/>
          <w:bCs w:val="0"/>
          <w:noProof/>
          <w:sz w:val="22"/>
          <w:szCs w:val="22"/>
        </w:rPr>
      </w:pPr>
      <w:r>
        <w:rPr>
          <w:noProof/>
        </w:rPr>
        <w:t>Appendix B: Conduct of the audit</w:t>
      </w:r>
      <w:r>
        <w:rPr>
          <w:noProof/>
        </w:rPr>
        <w:tab/>
      </w:r>
      <w:r w:rsidR="00BE1D5A">
        <w:rPr>
          <w:noProof/>
        </w:rPr>
        <w:fldChar w:fldCharType="begin"/>
      </w:r>
      <w:r>
        <w:rPr>
          <w:noProof/>
        </w:rPr>
        <w:instrText xml:space="preserve"> PAGEREF _Toc413220608 \h </w:instrText>
      </w:r>
      <w:r w:rsidR="00BE1D5A">
        <w:rPr>
          <w:noProof/>
        </w:rPr>
      </w:r>
      <w:r w:rsidR="00BE1D5A">
        <w:rPr>
          <w:noProof/>
        </w:rPr>
        <w:fldChar w:fldCharType="separate"/>
      </w:r>
      <w:r w:rsidR="00AC1767">
        <w:rPr>
          <w:noProof/>
        </w:rPr>
        <w:t>37</w:t>
      </w:r>
      <w:r w:rsidR="00BE1D5A">
        <w:rPr>
          <w:noProof/>
        </w:rPr>
        <w:fldChar w:fldCharType="end"/>
      </w:r>
    </w:p>
    <w:p w:rsidR="0073263E" w:rsidRDefault="0073263E">
      <w:pPr>
        <w:pStyle w:val="TOC1"/>
        <w:tabs>
          <w:tab w:val="right" w:pos="8302"/>
        </w:tabs>
        <w:rPr>
          <w:rFonts w:asciiTheme="minorHAnsi" w:eastAsiaTheme="minorEastAsia" w:hAnsiTheme="minorHAnsi" w:cstheme="minorBidi"/>
          <w:b w:val="0"/>
          <w:bCs w:val="0"/>
          <w:noProof/>
          <w:sz w:val="22"/>
          <w:szCs w:val="22"/>
        </w:rPr>
      </w:pPr>
      <w:r>
        <w:rPr>
          <w:noProof/>
        </w:rPr>
        <w:t>Appendix C: Agencies, groups and individuals consulted by the Interim Inspector-General of Biosecurity</w:t>
      </w:r>
      <w:r>
        <w:rPr>
          <w:noProof/>
        </w:rPr>
        <w:tab/>
      </w:r>
      <w:r w:rsidR="00BE1D5A">
        <w:rPr>
          <w:noProof/>
        </w:rPr>
        <w:fldChar w:fldCharType="begin"/>
      </w:r>
      <w:r>
        <w:rPr>
          <w:noProof/>
        </w:rPr>
        <w:instrText xml:space="preserve"> PAGEREF _Toc413220609 \h </w:instrText>
      </w:r>
      <w:r w:rsidR="00BE1D5A">
        <w:rPr>
          <w:noProof/>
        </w:rPr>
      </w:r>
      <w:r w:rsidR="00BE1D5A">
        <w:rPr>
          <w:noProof/>
        </w:rPr>
        <w:fldChar w:fldCharType="separate"/>
      </w:r>
      <w:r w:rsidR="00AC1767">
        <w:rPr>
          <w:noProof/>
        </w:rPr>
        <w:t>39</w:t>
      </w:r>
      <w:r w:rsidR="00BE1D5A">
        <w:rPr>
          <w:noProof/>
        </w:rPr>
        <w:fldChar w:fldCharType="end"/>
      </w:r>
    </w:p>
    <w:p w:rsidR="0073263E" w:rsidRDefault="0073263E">
      <w:pPr>
        <w:pStyle w:val="TOC1"/>
        <w:tabs>
          <w:tab w:val="right" w:pos="8302"/>
        </w:tabs>
        <w:rPr>
          <w:rFonts w:asciiTheme="minorHAnsi" w:eastAsiaTheme="minorEastAsia" w:hAnsiTheme="minorHAnsi" w:cstheme="minorBidi"/>
          <w:b w:val="0"/>
          <w:bCs w:val="0"/>
          <w:noProof/>
          <w:sz w:val="22"/>
          <w:szCs w:val="22"/>
        </w:rPr>
      </w:pPr>
      <w:r>
        <w:rPr>
          <w:noProof/>
        </w:rPr>
        <w:t>References</w:t>
      </w:r>
      <w:r>
        <w:rPr>
          <w:noProof/>
        </w:rPr>
        <w:tab/>
      </w:r>
      <w:r w:rsidR="00BE1D5A">
        <w:rPr>
          <w:noProof/>
        </w:rPr>
        <w:fldChar w:fldCharType="begin"/>
      </w:r>
      <w:r>
        <w:rPr>
          <w:noProof/>
        </w:rPr>
        <w:instrText xml:space="preserve"> PAGEREF _Toc413220610 \h </w:instrText>
      </w:r>
      <w:r w:rsidR="00BE1D5A">
        <w:rPr>
          <w:noProof/>
        </w:rPr>
      </w:r>
      <w:r w:rsidR="00BE1D5A">
        <w:rPr>
          <w:noProof/>
        </w:rPr>
        <w:fldChar w:fldCharType="separate"/>
      </w:r>
      <w:r w:rsidR="00AC1767">
        <w:rPr>
          <w:noProof/>
        </w:rPr>
        <w:t>40</w:t>
      </w:r>
      <w:r w:rsidR="00BE1D5A">
        <w:rPr>
          <w:noProof/>
        </w:rPr>
        <w:fldChar w:fldCharType="end"/>
      </w:r>
    </w:p>
    <w:p w:rsidR="00A12467" w:rsidRPr="00DC452F" w:rsidRDefault="00BE1D5A" w:rsidP="008710D8">
      <w:pPr>
        <w:pStyle w:val="TOCHeading"/>
      </w:pPr>
      <w:r>
        <w:fldChar w:fldCharType="end"/>
      </w:r>
      <w:r w:rsidR="00FE2286">
        <w:br w:type="page"/>
      </w:r>
      <w:bookmarkStart w:id="9" w:name="_Toc376871893"/>
      <w:r w:rsidR="00A12467" w:rsidRPr="00DC452F">
        <w:lastRenderedPageBreak/>
        <w:t>Glossary</w:t>
      </w:r>
      <w:bookmarkEnd w:id="7"/>
      <w:bookmarkEnd w:id="8"/>
      <w:bookmarkEnd w:id="9"/>
    </w:p>
    <w:tbl>
      <w:tblPr>
        <w:tblW w:w="8505" w:type="dxa"/>
        <w:tblInd w:w="108" w:type="dxa"/>
        <w:tblLook w:val="04A0"/>
      </w:tblPr>
      <w:tblGrid>
        <w:gridCol w:w="2127"/>
        <w:gridCol w:w="6378"/>
      </w:tblGrid>
      <w:tr w:rsidR="00D670F6" w:rsidRPr="00864127" w:rsidTr="00906A4F">
        <w:tc>
          <w:tcPr>
            <w:tcW w:w="2127" w:type="dxa"/>
          </w:tcPr>
          <w:p w:rsidR="00D670F6" w:rsidRPr="00D91C1F" w:rsidRDefault="00D82BD0" w:rsidP="005511A7">
            <w:pPr>
              <w:pStyle w:val="tabletext"/>
              <w:spacing w:before="80" w:after="80"/>
              <w:rPr>
                <w:highlight w:val="yellow"/>
              </w:rPr>
            </w:pPr>
            <w:r w:rsidRPr="00D91C1F">
              <w:t xml:space="preserve">AQIS Import Management System </w:t>
            </w:r>
            <w:r w:rsidR="00D670F6" w:rsidRPr="00D91C1F">
              <w:t>(AIMS)</w:t>
            </w:r>
          </w:p>
        </w:tc>
        <w:tc>
          <w:tcPr>
            <w:tcW w:w="6378" w:type="dxa"/>
          </w:tcPr>
          <w:p w:rsidR="009E4622" w:rsidRDefault="00C9527C" w:rsidP="005511A7">
            <w:pPr>
              <w:pStyle w:val="tabletext"/>
              <w:spacing w:before="80" w:after="80"/>
            </w:pPr>
            <w:r>
              <w:t xml:space="preserve">Managed </w:t>
            </w:r>
            <w:r w:rsidR="00EA6A6C">
              <w:t xml:space="preserve">by the </w:t>
            </w:r>
            <w:r w:rsidR="00EA6A6C" w:rsidRPr="00C06E04">
              <w:t>Department</w:t>
            </w:r>
            <w:r w:rsidR="00EA6A6C">
              <w:t xml:space="preserve"> o</w:t>
            </w:r>
            <w:r w:rsidR="00EA6A6C" w:rsidRPr="00C06E04">
              <w:t>f Agriculture</w:t>
            </w:r>
            <w:r w:rsidR="00EA6A6C">
              <w:t xml:space="preserve">, </w:t>
            </w:r>
            <w:r>
              <w:t xml:space="preserve">AIMS </w:t>
            </w:r>
            <w:r w:rsidR="000F79B4">
              <w:t>has</w:t>
            </w:r>
            <w:r w:rsidR="00D670F6" w:rsidRPr="00C06E04">
              <w:t xml:space="preserve"> records of quarantine entries for </w:t>
            </w:r>
            <w:r w:rsidR="00D670F6" w:rsidRPr="00D77BF7">
              <w:t xml:space="preserve">goods entering Australia. </w:t>
            </w:r>
            <w:r w:rsidR="00653AE8">
              <w:t>It</w:t>
            </w:r>
            <w:r w:rsidR="00D670F6" w:rsidRPr="00D77BF7">
              <w:t xml:space="preserve"> provides quarantine management of imported goods and non-commodity items, records </w:t>
            </w:r>
            <w:r w:rsidR="00975325" w:rsidRPr="00D77BF7">
              <w:t>the department</w:t>
            </w:r>
            <w:r w:rsidR="00D670F6" w:rsidRPr="00D77BF7">
              <w:t>’s decision</w:t>
            </w:r>
            <w:r w:rsidR="000F79B4">
              <w:t>s</w:t>
            </w:r>
            <w:r w:rsidR="00D670F6" w:rsidRPr="00D77BF7">
              <w:t xml:space="preserve"> and communicates this information to the importer</w:t>
            </w:r>
            <w:r w:rsidR="00EB20AD">
              <w:t>/broker</w:t>
            </w:r>
            <w:r w:rsidR="00D670F6" w:rsidRPr="00D77BF7">
              <w:t>.</w:t>
            </w:r>
            <w:r w:rsidR="009E4622">
              <w:t xml:space="preserve"> AIMS is used to</w:t>
            </w:r>
            <w:r w:rsidR="00ED63A7">
              <w:t>:</w:t>
            </w:r>
          </w:p>
          <w:p w:rsidR="009E4622" w:rsidRDefault="009E4622" w:rsidP="00C02F46">
            <w:pPr>
              <w:pStyle w:val="tabletext"/>
              <w:numPr>
                <w:ilvl w:val="0"/>
                <w:numId w:val="7"/>
              </w:numPr>
              <w:spacing w:before="80" w:after="80" w:line="360" w:lineRule="auto"/>
            </w:pPr>
            <w:r>
              <w:t>manage biosecurity and food safety risks associated with imported cargo</w:t>
            </w:r>
          </w:p>
          <w:p w:rsidR="009E4622" w:rsidRDefault="009E4622" w:rsidP="00C02F46">
            <w:pPr>
              <w:pStyle w:val="tabletext"/>
              <w:numPr>
                <w:ilvl w:val="0"/>
                <w:numId w:val="7"/>
              </w:numPr>
              <w:spacing w:before="80" w:after="80" w:line="360" w:lineRule="auto"/>
            </w:pPr>
            <w:r>
              <w:t>track and record imported consignments</w:t>
            </w:r>
          </w:p>
          <w:p w:rsidR="00D670F6" w:rsidRPr="00C06E04" w:rsidRDefault="009E4622" w:rsidP="00C02F46">
            <w:pPr>
              <w:pStyle w:val="tabletext"/>
              <w:numPr>
                <w:ilvl w:val="0"/>
                <w:numId w:val="7"/>
              </w:numPr>
              <w:spacing w:before="80" w:after="80" w:line="360" w:lineRule="auto"/>
            </w:pPr>
            <w:proofErr w:type="gramStart"/>
            <w:r>
              <w:t>assign</w:t>
            </w:r>
            <w:proofErr w:type="gramEnd"/>
            <w:r>
              <w:t xml:space="preserve"> </w:t>
            </w:r>
            <w:r w:rsidR="00ED63A7">
              <w:t xml:space="preserve">departmental </w:t>
            </w:r>
            <w:r>
              <w:t>fees and collect revenue on imported cargo.</w:t>
            </w:r>
          </w:p>
        </w:tc>
      </w:tr>
      <w:tr w:rsidR="00D670F6" w:rsidRPr="00864127" w:rsidTr="00906A4F">
        <w:tc>
          <w:tcPr>
            <w:tcW w:w="2127" w:type="dxa"/>
          </w:tcPr>
          <w:p w:rsidR="00D670F6" w:rsidRPr="00D91C1F" w:rsidRDefault="00D670F6" w:rsidP="005511A7">
            <w:pPr>
              <w:pStyle w:val="tabletext"/>
              <w:spacing w:before="80" w:after="80"/>
            </w:pPr>
            <w:r w:rsidRPr="00D91C1F">
              <w:t>Beale review</w:t>
            </w:r>
          </w:p>
        </w:tc>
        <w:tc>
          <w:tcPr>
            <w:tcW w:w="6378" w:type="dxa"/>
          </w:tcPr>
          <w:p w:rsidR="00D670F6" w:rsidRPr="00445176" w:rsidRDefault="00653AE8" w:rsidP="005511A7">
            <w:pPr>
              <w:pStyle w:val="tabletext"/>
              <w:spacing w:before="80" w:after="80"/>
            </w:pPr>
            <w:r>
              <w:t>I</w:t>
            </w:r>
            <w:r w:rsidR="00D670F6" w:rsidRPr="00445176">
              <w:t>ndependent review of Australia’s quarantine and biosecurity arrangements</w:t>
            </w:r>
            <w:r w:rsidR="00B74C50" w:rsidRPr="00445176">
              <w:t xml:space="preserve"> by a panel chaired by Mr Roger Beale </w:t>
            </w:r>
            <w:r w:rsidR="00D670F6" w:rsidRPr="00445176">
              <w:t xml:space="preserve">AO. The report </w:t>
            </w:r>
            <w:r w:rsidR="00D670F6" w:rsidRPr="00445176">
              <w:rPr>
                <w:i/>
              </w:rPr>
              <w:t>One biosecurity: a working partnership</w:t>
            </w:r>
            <w:r w:rsidR="00D670F6" w:rsidRPr="00445176">
              <w:t xml:space="preserve"> was released by the Australian Government on 18 December 2008.</w:t>
            </w:r>
          </w:p>
        </w:tc>
      </w:tr>
      <w:tr w:rsidR="00D670F6" w:rsidRPr="00864127" w:rsidTr="00906A4F">
        <w:tc>
          <w:tcPr>
            <w:tcW w:w="2127" w:type="dxa"/>
          </w:tcPr>
          <w:p w:rsidR="00D670F6" w:rsidRPr="00D91C1F" w:rsidRDefault="00D670F6" w:rsidP="005511A7">
            <w:pPr>
              <w:pStyle w:val="tabletext"/>
              <w:spacing w:before="80" w:after="80"/>
              <w:rPr>
                <w:highlight w:val="yellow"/>
              </w:rPr>
            </w:pPr>
            <w:r w:rsidRPr="00D91C1F">
              <w:t>biosecurity risk</w:t>
            </w:r>
          </w:p>
        </w:tc>
        <w:tc>
          <w:tcPr>
            <w:tcW w:w="6378" w:type="dxa"/>
          </w:tcPr>
          <w:p w:rsidR="00D670F6" w:rsidRPr="006D4319" w:rsidRDefault="00D670F6" w:rsidP="005511A7">
            <w:pPr>
              <w:pStyle w:val="tabletext"/>
              <w:spacing w:before="80" w:after="80"/>
            </w:pPr>
            <w:r w:rsidRPr="006D4319">
              <w:t xml:space="preserve">Potential harm to the economy, environment and human health from the negative </w:t>
            </w:r>
            <w:r w:rsidR="001C2CF9">
              <w:t>impacts</w:t>
            </w:r>
            <w:r w:rsidR="001C2CF9" w:rsidRPr="006D4319">
              <w:t xml:space="preserve"> </w:t>
            </w:r>
            <w:r w:rsidRPr="006D4319">
              <w:t>associated with entry, establishment or spread of exotic pests and diseases.</w:t>
            </w:r>
          </w:p>
        </w:tc>
      </w:tr>
      <w:tr w:rsidR="00334A4C" w:rsidRPr="00334A4C" w:rsidTr="00906A4F">
        <w:tc>
          <w:tcPr>
            <w:tcW w:w="2127" w:type="dxa"/>
          </w:tcPr>
          <w:p w:rsidR="00334A4C" w:rsidRPr="00397DD0" w:rsidRDefault="00334A4C" w:rsidP="005511A7">
            <w:pPr>
              <w:pStyle w:val="tabletext"/>
              <w:spacing w:before="80" w:after="80"/>
            </w:pPr>
            <w:r w:rsidRPr="00397DD0">
              <w:t>CAPEC</w:t>
            </w:r>
          </w:p>
        </w:tc>
        <w:tc>
          <w:tcPr>
            <w:tcW w:w="6378" w:type="dxa"/>
          </w:tcPr>
          <w:p w:rsidR="00334A4C" w:rsidRPr="00334A4C" w:rsidRDefault="00334A4C" w:rsidP="005511A7">
            <w:pPr>
              <w:pStyle w:val="tabletext"/>
              <w:spacing w:before="80" w:after="80"/>
            </w:pPr>
            <w:r w:rsidRPr="00397DD0">
              <w:t>Conference of Asia Pacific Express C</w:t>
            </w:r>
            <w:r w:rsidR="0058045F" w:rsidRPr="00397DD0">
              <w:t xml:space="preserve">ouriers (DHL, </w:t>
            </w:r>
            <w:r w:rsidR="00397DD0">
              <w:t xml:space="preserve">FedEx, </w:t>
            </w:r>
            <w:r w:rsidR="0058045F" w:rsidRPr="00397DD0">
              <w:t xml:space="preserve">TNT </w:t>
            </w:r>
            <w:r w:rsidR="00397DD0">
              <w:t>and</w:t>
            </w:r>
            <w:r w:rsidR="00397DD0" w:rsidRPr="00397DD0">
              <w:t xml:space="preserve"> </w:t>
            </w:r>
            <w:r w:rsidR="0058045F" w:rsidRPr="00397DD0">
              <w:t>UPS).</w:t>
            </w:r>
          </w:p>
        </w:tc>
      </w:tr>
      <w:tr w:rsidR="006E183F" w:rsidRPr="00864127" w:rsidTr="00906A4F">
        <w:tc>
          <w:tcPr>
            <w:tcW w:w="2127" w:type="dxa"/>
          </w:tcPr>
          <w:p w:rsidR="006E183F" w:rsidRPr="001D7DE8" w:rsidRDefault="006E183F" w:rsidP="005511A7">
            <w:pPr>
              <w:pStyle w:val="tabletext"/>
              <w:spacing w:before="80" w:after="80"/>
            </w:pPr>
            <w:r w:rsidRPr="001D7DE8">
              <w:t>Import Conditions (ICON) database</w:t>
            </w:r>
          </w:p>
        </w:tc>
        <w:tc>
          <w:tcPr>
            <w:tcW w:w="6378" w:type="dxa"/>
          </w:tcPr>
          <w:p w:rsidR="006E183F" w:rsidRPr="001D7DE8" w:rsidRDefault="00C9527C" w:rsidP="005511A7">
            <w:pPr>
              <w:pStyle w:val="tabletext"/>
              <w:spacing w:before="80" w:after="80"/>
            </w:pPr>
            <w:r>
              <w:t>M</w:t>
            </w:r>
            <w:r w:rsidRPr="001D7DE8">
              <w:t>anage</w:t>
            </w:r>
            <w:r>
              <w:t>s</w:t>
            </w:r>
            <w:r w:rsidRPr="001D7DE8">
              <w:t xml:space="preserve"> </w:t>
            </w:r>
            <w:r w:rsidR="006E183F" w:rsidRPr="001D7DE8">
              <w:t>and makes publicly available Australian quarantine import conditions for more than 20 000 plant, animal, mineral and human commodities. ICON is managed by the Department of Agriculture and specifies the documentation requirements for the clearance process.</w:t>
            </w:r>
          </w:p>
        </w:tc>
      </w:tr>
      <w:tr w:rsidR="006E183F" w:rsidRPr="00864127" w:rsidTr="00906A4F">
        <w:tc>
          <w:tcPr>
            <w:tcW w:w="2127" w:type="dxa"/>
          </w:tcPr>
          <w:p w:rsidR="006E183F" w:rsidRPr="00C9527C" w:rsidRDefault="006E183F" w:rsidP="005511A7">
            <w:pPr>
              <w:pStyle w:val="tabletext"/>
              <w:spacing w:before="80" w:after="80"/>
            </w:pPr>
            <w:r w:rsidRPr="00C9527C">
              <w:t>Integrated Cargo System (ICS)</w:t>
            </w:r>
          </w:p>
        </w:tc>
        <w:tc>
          <w:tcPr>
            <w:tcW w:w="6378" w:type="dxa"/>
          </w:tcPr>
          <w:p w:rsidR="006E183F" w:rsidRPr="001D7DE8" w:rsidRDefault="006E183F" w:rsidP="000F79B4">
            <w:pPr>
              <w:pStyle w:val="tabletext"/>
              <w:spacing w:before="80" w:after="80"/>
            </w:pPr>
            <w:r w:rsidRPr="00C9527C">
              <w:t xml:space="preserve">Software application for all import and export reporting and processing procedures. </w:t>
            </w:r>
            <w:r w:rsidR="000F79B4">
              <w:t>ICS provides</w:t>
            </w:r>
            <w:r w:rsidRPr="00C9527C">
              <w:t xml:space="preserve"> electronic reporting </w:t>
            </w:r>
            <w:r w:rsidR="000F79B4">
              <w:t>of</w:t>
            </w:r>
            <w:r w:rsidRPr="00C9527C">
              <w:t xml:space="preserve"> movement of goods across Australia’s borders, </w:t>
            </w:r>
            <w:r w:rsidR="000F79B4">
              <w:t>and</w:t>
            </w:r>
            <w:r w:rsidRPr="00C9527C">
              <w:t xml:space="preserve"> is managed by the Australian Customs and Border Protection Service.</w:t>
            </w:r>
          </w:p>
        </w:tc>
      </w:tr>
      <w:tr w:rsidR="006E183F" w:rsidRPr="00864127" w:rsidTr="00906A4F">
        <w:tc>
          <w:tcPr>
            <w:tcW w:w="2127" w:type="dxa"/>
          </w:tcPr>
          <w:p w:rsidR="006E183F" w:rsidRPr="001D7DE8" w:rsidRDefault="006E183F" w:rsidP="005511A7">
            <w:pPr>
              <w:pStyle w:val="tabletext"/>
              <w:spacing w:before="80" w:after="80"/>
            </w:pPr>
            <w:r w:rsidRPr="001D7DE8">
              <w:t>minimum document requirements policy</w:t>
            </w:r>
          </w:p>
        </w:tc>
        <w:tc>
          <w:tcPr>
            <w:tcW w:w="6378" w:type="dxa"/>
          </w:tcPr>
          <w:p w:rsidR="006E183F" w:rsidRPr="001D7DE8" w:rsidRDefault="006E183F" w:rsidP="000F79B4">
            <w:pPr>
              <w:pStyle w:val="tabletext"/>
              <w:spacing w:before="80" w:after="80"/>
            </w:pPr>
            <w:r w:rsidRPr="001D7DE8">
              <w:t>Defines minimum requirements that must be met for all documents presented to the department to support risk assessment of imported cargo and/or packaging, for quarantine or food safety purposes.</w:t>
            </w:r>
          </w:p>
        </w:tc>
      </w:tr>
      <w:tr w:rsidR="00906A4F" w:rsidRPr="00864127" w:rsidTr="00906A4F">
        <w:tc>
          <w:tcPr>
            <w:tcW w:w="2127" w:type="dxa"/>
          </w:tcPr>
          <w:p w:rsidR="00906A4F" w:rsidRPr="00BD7A95" w:rsidRDefault="00906A4F" w:rsidP="005511A7">
            <w:pPr>
              <w:pStyle w:val="tabletext"/>
              <w:spacing w:before="80" w:after="80"/>
            </w:pPr>
            <w:r w:rsidRPr="00BD7A95">
              <w:t>quarantine approved premises (QAP)</w:t>
            </w:r>
          </w:p>
        </w:tc>
        <w:tc>
          <w:tcPr>
            <w:tcW w:w="6378" w:type="dxa"/>
          </w:tcPr>
          <w:p w:rsidR="00906A4F" w:rsidRPr="00BD7A95" w:rsidRDefault="00CA66A8" w:rsidP="000F79B4">
            <w:pPr>
              <w:pStyle w:val="tabletext"/>
              <w:spacing w:before="80" w:after="80"/>
            </w:pPr>
            <w:r>
              <w:t>P</w:t>
            </w:r>
            <w:r w:rsidR="000F79B4">
              <w:t>remises</w:t>
            </w:r>
            <w:r w:rsidR="00906A4F" w:rsidRPr="00BD7A95">
              <w:t xml:space="preserve"> approved by the department under section 46A of the</w:t>
            </w:r>
            <w:r w:rsidR="00906A4F" w:rsidRPr="00BD7A95">
              <w:rPr>
                <w:i/>
              </w:rPr>
              <w:t xml:space="preserve"> Quarantine </w:t>
            </w:r>
            <w:r w:rsidR="00535538" w:rsidRPr="00BD7A95">
              <w:rPr>
                <w:i/>
              </w:rPr>
              <w:t>Act</w:t>
            </w:r>
            <w:r w:rsidR="00535538">
              <w:rPr>
                <w:i/>
              </w:rPr>
              <w:t> </w:t>
            </w:r>
            <w:r w:rsidR="00906A4F" w:rsidRPr="00BD7A95">
              <w:rPr>
                <w:i/>
              </w:rPr>
              <w:t>1908</w:t>
            </w:r>
            <w:r w:rsidR="00906A4F" w:rsidRPr="00BD7A95">
              <w:t xml:space="preserve"> as a place where goods of a specified class </w:t>
            </w:r>
            <w:proofErr w:type="gramStart"/>
            <w:r w:rsidR="00906A4F" w:rsidRPr="00BD7A95">
              <w:t>that are</w:t>
            </w:r>
            <w:proofErr w:type="gramEnd"/>
            <w:r w:rsidR="00906A4F" w:rsidRPr="00BD7A95">
              <w:t xml:space="preserve"> subject to quarantine may be </w:t>
            </w:r>
            <w:r w:rsidR="000F79B4">
              <w:t xml:space="preserve">stored, </w:t>
            </w:r>
            <w:r w:rsidR="00906A4F" w:rsidRPr="00BD7A95">
              <w:t>treated or otherwise dealt with.</w:t>
            </w:r>
          </w:p>
        </w:tc>
      </w:tr>
      <w:tr w:rsidR="00334A4C" w:rsidRPr="00864127" w:rsidTr="00906A4F">
        <w:tc>
          <w:tcPr>
            <w:tcW w:w="2127" w:type="dxa"/>
          </w:tcPr>
          <w:p w:rsidR="00334A4C" w:rsidRPr="00253401" w:rsidRDefault="00334A4C" w:rsidP="005511A7">
            <w:pPr>
              <w:pStyle w:val="tabletext"/>
              <w:spacing w:before="80" w:after="80"/>
            </w:pPr>
            <w:r w:rsidRPr="00D44DA3">
              <w:t>Self Assessed Clearance (SAC)</w:t>
            </w:r>
          </w:p>
        </w:tc>
        <w:tc>
          <w:tcPr>
            <w:tcW w:w="6378" w:type="dxa"/>
          </w:tcPr>
          <w:p w:rsidR="00334A4C" w:rsidRPr="00253401" w:rsidRDefault="00F60E64" w:rsidP="005511A7">
            <w:pPr>
              <w:pStyle w:val="tabletext"/>
              <w:spacing w:before="80" w:after="80"/>
            </w:pPr>
            <w:r>
              <w:t>Clearance procedure for i</w:t>
            </w:r>
            <w:r w:rsidR="00334A4C">
              <w:t>mported</w:t>
            </w:r>
            <w:r w:rsidR="00334A4C" w:rsidRPr="00D44DA3">
              <w:t xml:space="preserve"> </w:t>
            </w:r>
            <w:r w:rsidR="00334A4C">
              <w:t>goods that have</w:t>
            </w:r>
            <w:r w:rsidR="00334A4C" w:rsidRPr="00D44DA3">
              <w:t xml:space="preserve"> </w:t>
            </w:r>
            <w:r w:rsidR="000F79B4">
              <w:t xml:space="preserve">a </w:t>
            </w:r>
            <w:r w:rsidR="00334A4C">
              <w:t>value equal or less than AUD$1</w:t>
            </w:r>
            <w:r w:rsidR="003753CF">
              <w:t> </w:t>
            </w:r>
            <w:r w:rsidR="00334A4C" w:rsidRPr="00D44DA3">
              <w:t>000</w:t>
            </w:r>
            <w:r w:rsidR="00334A4C">
              <w:t>.</w:t>
            </w:r>
          </w:p>
        </w:tc>
      </w:tr>
    </w:tbl>
    <w:p w:rsidR="00682159" w:rsidRDefault="00682159" w:rsidP="004315F2">
      <w:pPr>
        <w:pStyle w:val="Heading1"/>
        <w:sectPr w:rsidR="00682159" w:rsidSect="00682159">
          <w:headerReference w:type="even" r:id="rId12"/>
          <w:headerReference w:type="default" r:id="rId13"/>
          <w:footerReference w:type="default" r:id="rId14"/>
          <w:headerReference w:type="first" r:id="rId15"/>
          <w:footerReference w:type="first" r:id="rId16"/>
          <w:pgSz w:w="11906" w:h="16838"/>
          <w:pgMar w:top="1440" w:right="1797" w:bottom="1440" w:left="1797" w:header="709" w:footer="709" w:gutter="0"/>
          <w:pgNumType w:fmt="lowerRoman" w:start="2"/>
          <w:cols w:space="708"/>
          <w:titlePg/>
          <w:docGrid w:linePitch="360"/>
        </w:sectPr>
      </w:pPr>
      <w:bookmarkStart w:id="10" w:name="_Toc332894760"/>
    </w:p>
    <w:p w:rsidR="001E5DBD" w:rsidRPr="0001395C" w:rsidRDefault="00C815F4" w:rsidP="004315F2">
      <w:pPr>
        <w:pStyle w:val="Heading1"/>
      </w:pPr>
      <w:bookmarkStart w:id="11" w:name="_Toc375315626"/>
      <w:bookmarkStart w:id="12" w:name="_Toc376871894"/>
      <w:bookmarkStart w:id="13" w:name="_Toc413220595"/>
      <w:r>
        <w:lastRenderedPageBreak/>
        <w:t>S</w:t>
      </w:r>
      <w:bookmarkEnd w:id="10"/>
      <w:bookmarkEnd w:id="11"/>
      <w:bookmarkEnd w:id="12"/>
      <w:r w:rsidR="002035E6" w:rsidRPr="0001395C">
        <w:t>ummary</w:t>
      </w:r>
      <w:bookmarkEnd w:id="13"/>
    </w:p>
    <w:p w:rsidR="005A6D75" w:rsidRPr="005A6D75" w:rsidRDefault="005A6D75" w:rsidP="005A6D75">
      <w:pPr>
        <w:pStyle w:val="Heading2"/>
      </w:pPr>
      <w:bookmarkStart w:id="14" w:name="_Toc413220596"/>
      <w:r>
        <w:t>Context</w:t>
      </w:r>
      <w:bookmarkEnd w:id="14"/>
    </w:p>
    <w:p w:rsidR="00ED31D3" w:rsidRPr="00C004AE" w:rsidRDefault="007B286B" w:rsidP="007B286B">
      <w:pPr>
        <w:pStyle w:val="NormalNumbering"/>
        <w:numPr>
          <w:ilvl w:val="0"/>
          <w:numId w:val="4"/>
        </w:numPr>
        <w:ind w:left="0" w:firstLine="0"/>
        <w:rPr>
          <w:rFonts w:eastAsia="Times New Roman" w:cs="Calibri"/>
        </w:rPr>
      </w:pPr>
      <w:r w:rsidRPr="007B286B">
        <w:rPr>
          <w:rFonts w:eastAsia="Times New Roman" w:cs="Calibri"/>
        </w:rPr>
        <w:t xml:space="preserve">The Interim Inspector‐General of Biosecurity (IIGB), as part of his audit work plan, examined the effectiveness of controls used by the Department of Agriculture </w:t>
      </w:r>
      <w:r w:rsidR="000F79B4">
        <w:rPr>
          <w:rFonts w:eastAsia="Times New Roman" w:cs="Calibri"/>
        </w:rPr>
        <w:t xml:space="preserve">(the department) </w:t>
      </w:r>
      <w:r w:rsidRPr="007B286B">
        <w:rPr>
          <w:rFonts w:eastAsia="Times New Roman" w:cs="Calibri"/>
        </w:rPr>
        <w:t>to manage biosecurity risks associated with</w:t>
      </w:r>
      <w:r>
        <w:rPr>
          <w:rFonts w:eastAsia="Times New Roman" w:cs="Calibri"/>
        </w:rPr>
        <w:t xml:space="preserve"> </w:t>
      </w:r>
      <w:r w:rsidR="00ED31D3">
        <w:t>international online purchases</w:t>
      </w:r>
      <w:r w:rsidR="008B5E89">
        <w:t xml:space="preserve"> entering Australia</w:t>
      </w:r>
      <w:r w:rsidR="00ED31D3" w:rsidRPr="00E82DCE">
        <w:t>.</w:t>
      </w:r>
    </w:p>
    <w:p w:rsidR="0028201D" w:rsidRDefault="00CD3482" w:rsidP="0028201D">
      <w:pPr>
        <w:pStyle w:val="NormalNumbering"/>
        <w:numPr>
          <w:ilvl w:val="0"/>
          <w:numId w:val="4"/>
        </w:numPr>
        <w:ind w:left="0" w:firstLine="0"/>
        <w:rPr>
          <w:rFonts w:eastAsia="Times New Roman" w:cs="Calibri"/>
        </w:rPr>
      </w:pPr>
      <w:r w:rsidRPr="00B113A5">
        <w:t xml:space="preserve">Online shopping is a form of </w:t>
      </w:r>
      <w:hyperlink r:id="rId17" w:tooltip="Electronic commerce" w:history="1">
        <w:r w:rsidRPr="00B113A5">
          <w:t>electronic commerce</w:t>
        </w:r>
      </w:hyperlink>
      <w:r w:rsidRPr="00B113A5">
        <w:t xml:space="preserve"> </w:t>
      </w:r>
      <w:r>
        <w:t>that</w:t>
      </w:r>
      <w:r w:rsidRPr="00B113A5">
        <w:t xml:space="preserve"> allows </w:t>
      </w:r>
      <w:r>
        <w:t>customers</w:t>
      </w:r>
      <w:r w:rsidRPr="00B113A5">
        <w:t xml:space="preserve"> to </w:t>
      </w:r>
      <w:r>
        <w:t>use the internet to purchase</w:t>
      </w:r>
      <w:r w:rsidRPr="00B113A5">
        <w:t xml:space="preserve"> goods </w:t>
      </w:r>
      <w:r>
        <w:t xml:space="preserve">or </w:t>
      </w:r>
      <w:hyperlink r:id="rId18" w:tooltip="Service (economics)" w:history="1">
        <w:r w:rsidRPr="00B113A5">
          <w:t>services</w:t>
        </w:r>
      </w:hyperlink>
      <w:r w:rsidRPr="00B113A5">
        <w:t xml:space="preserve"> </w:t>
      </w:r>
      <w:r>
        <w:t xml:space="preserve">directly </w:t>
      </w:r>
      <w:r w:rsidRPr="00B113A5">
        <w:t xml:space="preserve">from a </w:t>
      </w:r>
      <w:r>
        <w:t>seller</w:t>
      </w:r>
      <w:r w:rsidRPr="00B113A5">
        <w:t xml:space="preserve"> </w:t>
      </w:r>
      <w:r>
        <w:t xml:space="preserve">anywhere in world. Customers can shop anywhere, at any time, from a range of </w:t>
      </w:r>
      <w:r w:rsidR="000F79B4">
        <w:t xml:space="preserve">electronic </w:t>
      </w:r>
      <w:r>
        <w:t>devices and this has increased the convenience of online shopping</w:t>
      </w:r>
      <w:r w:rsidR="00C004AE" w:rsidRPr="00C004AE">
        <w:rPr>
          <w:rFonts w:eastAsia="Times New Roman" w:cs="Calibri"/>
        </w:rPr>
        <w:t>. Customers can browse/seek multiple products across several sellers</w:t>
      </w:r>
      <w:r w:rsidR="00ED2CAE">
        <w:rPr>
          <w:rFonts w:eastAsia="Times New Roman" w:cs="Calibri"/>
        </w:rPr>
        <w:t xml:space="preserve"> and</w:t>
      </w:r>
      <w:r w:rsidR="00C004AE" w:rsidRPr="00C004AE">
        <w:rPr>
          <w:rFonts w:eastAsia="Times New Roman" w:cs="Calibri"/>
        </w:rPr>
        <w:t xml:space="preserve"> often find products for lower prices.</w:t>
      </w:r>
      <w:r w:rsidR="0028201D">
        <w:rPr>
          <w:rFonts w:eastAsia="Times New Roman" w:cs="Calibri"/>
        </w:rPr>
        <w:t xml:space="preserve"> </w:t>
      </w:r>
      <w:r w:rsidR="0028201D" w:rsidRPr="00C004AE">
        <w:rPr>
          <w:rFonts w:eastAsia="Times New Roman" w:cs="Calibri"/>
        </w:rPr>
        <w:t xml:space="preserve">According to </w:t>
      </w:r>
      <w:r w:rsidR="000F79B4">
        <w:rPr>
          <w:rFonts w:eastAsia="Times New Roman" w:cs="Calibri"/>
        </w:rPr>
        <w:t xml:space="preserve">the </w:t>
      </w:r>
      <w:r w:rsidR="0028201D" w:rsidRPr="00C004AE">
        <w:rPr>
          <w:rFonts w:eastAsia="Times New Roman" w:cs="Calibri"/>
        </w:rPr>
        <w:t>Australian Bureau of Statistics, 76 per</w:t>
      </w:r>
      <w:r w:rsidR="002751A9">
        <w:rPr>
          <w:rFonts w:eastAsia="Times New Roman" w:cs="Calibri"/>
        </w:rPr>
        <w:t xml:space="preserve"> </w:t>
      </w:r>
      <w:r w:rsidR="0028201D" w:rsidRPr="00C004AE">
        <w:rPr>
          <w:rFonts w:eastAsia="Times New Roman" w:cs="Calibri"/>
        </w:rPr>
        <w:t xml:space="preserve">cent of </w:t>
      </w:r>
      <w:r w:rsidR="00216FDB" w:rsidRPr="00C004AE">
        <w:rPr>
          <w:rFonts w:eastAsia="Times New Roman" w:cs="Calibri"/>
        </w:rPr>
        <w:t>Australia</w:t>
      </w:r>
      <w:r w:rsidR="00216FDB">
        <w:rPr>
          <w:rFonts w:eastAsia="Times New Roman" w:cs="Calibri"/>
        </w:rPr>
        <w:t>’</w:t>
      </w:r>
      <w:r w:rsidR="00216FDB" w:rsidRPr="00C004AE">
        <w:rPr>
          <w:rFonts w:eastAsia="Times New Roman" w:cs="Calibri"/>
        </w:rPr>
        <w:t xml:space="preserve">s </w:t>
      </w:r>
      <w:r w:rsidR="0028201D" w:rsidRPr="00C004AE">
        <w:rPr>
          <w:rFonts w:eastAsia="Times New Roman" w:cs="Calibri"/>
        </w:rPr>
        <w:t>15.4 million internet users made a purchase or order over the internet in 2012</w:t>
      </w:r>
      <w:r w:rsidR="00216FDB">
        <w:rPr>
          <w:rFonts w:eastAsia="Times New Roman" w:cs="Calibri"/>
        </w:rPr>
        <w:t>–</w:t>
      </w:r>
      <w:r w:rsidR="0028201D" w:rsidRPr="00C004AE">
        <w:rPr>
          <w:rFonts w:eastAsia="Times New Roman" w:cs="Calibri"/>
        </w:rPr>
        <w:t>13 (ABS 2014)</w:t>
      </w:r>
      <w:r w:rsidR="00484743">
        <w:rPr>
          <w:rFonts w:eastAsia="Times New Roman" w:cs="Calibri"/>
        </w:rPr>
        <w:t>.</w:t>
      </w:r>
    </w:p>
    <w:p w:rsidR="008810A7" w:rsidRPr="00DB6F3A" w:rsidRDefault="00CD3482" w:rsidP="00DB6F3A">
      <w:pPr>
        <w:pStyle w:val="NormalNumbering"/>
        <w:numPr>
          <w:ilvl w:val="0"/>
          <w:numId w:val="4"/>
        </w:numPr>
        <w:ind w:left="0" w:firstLine="0"/>
        <w:rPr>
          <w:rFonts w:eastAsia="Times New Roman" w:cs="Calibri"/>
        </w:rPr>
      </w:pPr>
      <w:r>
        <w:rPr>
          <w:rFonts w:eastAsia="Times New Roman" w:cs="Calibri"/>
        </w:rPr>
        <w:t>Australian</w:t>
      </w:r>
      <w:r w:rsidR="009E6EB3" w:rsidRPr="0028201D">
        <w:rPr>
          <w:rFonts w:eastAsia="Times New Roman" w:cs="Calibri"/>
        </w:rPr>
        <w:t xml:space="preserve"> </w:t>
      </w:r>
      <w:r w:rsidR="00C004AE" w:rsidRPr="0028201D">
        <w:rPr>
          <w:rFonts w:eastAsia="Times New Roman" w:cs="Calibri"/>
        </w:rPr>
        <w:t xml:space="preserve">online customers can purchase almost anything from anywhere </w:t>
      </w:r>
      <w:r w:rsidR="009E6EB3">
        <w:rPr>
          <w:rFonts w:eastAsia="Times New Roman" w:cs="Calibri"/>
        </w:rPr>
        <w:t>in</w:t>
      </w:r>
      <w:r w:rsidR="00C004AE" w:rsidRPr="0028201D">
        <w:rPr>
          <w:rFonts w:eastAsia="Times New Roman" w:cs="Calibri"/>
        </w:rPr>
        <w:t xml:space="preserve"> the world, including items </w:t>
      </w:r>
      <w:r w:rsidR="009E6EB3">
        <w:rPr>
          <w:rFonts w:eastAsia="Times New Roman" w:cs="Calibri"/>
        </w:rPr>
        <w:t>that</w:t>
      </w:r>
      <w:r w:rsidR="00C004AE" w:rsidRPr="0028201D">
        <w:rPr>
          <w:rFonts w:eastAsia="Times New Roman" w:cs="Calibri"/>
        </w:rPr>
        <w:t xml:space="preserve"> pose high bi</w:t>
      </w:r>
      <w:r w:rsidR="0028201D">
        <w:rPr>
          <w:rFonts w:eastAsia="Times New Roman" w:cs="Calibri"/>
        </w:rPr>
        <w:t>osecurity risks to Australia</w:t>
      </w:r>
      <w:r w:rsidR="002751A9">
        <w:rPr>
          <w:rFonts w:eastAsia="Times New Roman" w:cs="Calibri"/>
        </w:rPr>
        <w:t>—</w:t>
      </w:r>
      <w:r w:rsidR="008710D8">
        <w:rPr>
          <w:rFonts w:eastAsia="Times New Roman" w:cs="Calibri"/>
        </w:rPr>
        <w:t xml:space="preserve">such as </w:t>
      </w:r>
      <w:r w:rsidR="0028201D" w:rsidRPr="005D6581">
        <w:rPr>
          <w:rFonts w:eastAsia="Times New Roman" w:cs="Calibri"/>
        </w:rPr>
        <w:t xml:space="preserve">seeds </w:t>
      </w:r>
      <w:r w:rsidR="005D6581">
        <w:rPr>
          <w:rFonts w:eastAsia="Times New Roman" w:cs="Calibri"/>
        </w:rPr>
        <w:t>or</w:t>
      </w:r>
      <w:r w:rsidR="0028201D" w:rsidRPr="005D6581">
        <w:rPr>
          <w:rFonts w:eastAsia="Times New Roman" w:cs="Calibri"/>
        </w:rPr>
        <w:t xml:space="preserve"> animal vaccines</w:t>
      </w:r>
      <w:r w:rsidR="0028201D">
        <w:rPr>
          <w:rFonts w:eastAsia="Times New Roman" w:cs="Calibri"/>
        </w:rPr>
        <w:t xml:space="preserve">. </w:t>
      </w:r>
      <w:r w:rsidR="00C004AE" w:rsidRPr="0028201D">
        <w:rPr>
          <w:rFonts w:eastAsia="Times New Roman" w:cs="Calibri"/>
        </w:rPr>
        <w:t xml:space="preserve">Shipping options are </w:t>
      </w:r>
      <w:r w:rsidR="002751A9">
        <w:rPr>
          <w:rFonts w:eastAsia="Times New Roman" w:cs="Calibri"/>
        </w:rPr>
        <w:t xml:space="preserve">either </w:t>
      </w:r>
      <w:r w:rsidR="00C004AE" w:rsidRPr="0028201D">
        <w:rPr>
          <w:rFonts w:eastAsia="Times New Roman" w:cs="Calibri"/>
        </w:rPr>
        <w:t xml:space="preserve">restricted or selected by the customer at the time of purchase. </w:t>
      </w:r>
      <w:r w:rsidR="008710D8" w:rsidRPr="00A86100">
        <w:rPr>
          <w:rFonts w:eastAsia="Times New Roman" w:cs="Calibri"/>
        </w:rPr>
        <w:t>O</w:t>
      </w:r>
      <w:r w:rsidR="002751A9" w:rsidRPr="00A86100">
        <w:rPr>
          <w:rFonts w:eastAsia="Times New Roman" w:cs="Calibri"/>
        </w:rPr>
        <w:t xml:space="preserve">ptions </w:t>
      </w:r>
      <w:r w:rsidR="009E6EB3" w:rsidRPr="00A86100">
        <w:rPr>
          <w:rFonts w:eastAsia="Times New Roman" w:cs="Calibri"/>
        </w:rPr>
        <w:t>are</w:t>
      </w:r>
      <w:r w:rsidR="00A9650D">
        <w:rPr>
          <w:rFonts w:eastAsia="Times New Roman" w:cs="Calibri"/>
        </w:rPr>
        <w:t xml:space="preserve"> </w:t>
      </w:r>
      <w:r w:rsidR="00C004AE" w:rsidRPr="0028201D">
        <w:rPr>
          <w:rFonts w:eastAsia="Times New Roman" w:cs="Calibri"/>
        </w:rPr>
        <w:t>international mail (post)</w:t>
      </w:r>
      <w:r w:rsidR="009E6EB3">
        <w:rPr>
          <w:rFonts w:eastAsia="Times New Roman" w:cs="Calibri"/>
        </w:rPr>
        <w:t>,</w:t>
      </w:r>
      <w:r w:rsidR="00C004AE" w:rsidRPr="0028201D">
        <w:rPr>
          <w:rFonts w:eastAsia="Times New Roman" w:cs="Calibri"/>
        </w:rPr>
        <w:t xml:space="preserve"> which is handled by Australia Post</w:t>
      </w:r>
      <w:r w:rsidR="009E6EB3">
        <w:rPr>
          <w:rFonts w:eastAsia="Times New Roman" w:cs="Calibri"/>
        </w:rPr>
        <w:t>,</w:t>
      </w:r>
      <w:r w:rsidR="00C004AE" w:rsidRPr="0028201D">
        <w:rPr>
          <w:rFonts w:eastAsia="Times New Roman" w:cs="Calibri"/>
        </w:rPr>
        <w:t xml:space="preserve"> or air/sea cargo</w:t>
      </w:r>
      <w:r w:rsidR="009E6EB3">
        <w:rPr>
          <w:rFonts w:eastAsia="Times New Roman" w:cs="Calibri"/>
        </w:rPr>
        <w:t>,</w:t>
      </w:r>
      <w:r w:rsidR="00C004AE" w:rsidRPr="0028201D">
        <w:rPr>
          <w:rFonts w:eastAsia="Times New Roman" w:cs="Calibri"/>
        </w:rPr>
        <w:t xml:space="preserve"> which is handled by courier companies or freight forwarders.</w:t>
      </w:r>
    </w:p>
    <w:p w:rsidR="003D34AE" w:rsidRDefault="003D34AE" w:rsidP="0028201D">
      <w:pPr>
        <w:pStyle w:val="NormalNumbering"/>
        <w:numPr>
          <w:ilvl w:val="0"/>
          <w:numId w:val="4"/>
        </w:numPr>
        <w:ind w:left="0" w:firstLine="0"/>
        <w:rPr>
          <w:rFonts w:eastAsia="Times New Roman" w:cs="Calibri"/>
        </w:rPr>
      </w:pPr>
      <w:r>
        <w:rPr>
          <w:rFonts w:eastAsia="Times New Roman" w:cs="Calibri"/>
        </w:rPr>
        <w:t xml:space="preserve">In </w:t>
      </w:r>
      <w:r w:rsidRPr="00C004AE">
        <w:rPr>
          <w:rFonts w:eastAsia="Times New Roman" w:cs="Calibri"/>
        </w:rPr>
        <w:t>2012</w:t>
      </w:r>
      <w:r>
        <w:rPr>
          <w:rFonts w:eastAsia="Times New Roman" w:cs="Calibri"/>
        </w:rPr>
        <w:t>–</w:t>
      </w:r>
      <w:r w:rsidRPr="00C004AE">
        <w:rPr>
          <w:rFonts w:eastAsia="Times New Roman" w:cs="Calibri"/>
        </w:rPr>
        <w:t>13</w:t>
      </w:r>
      <w:r>
        <w:rPr>
          <w:rFonts w:eastAsia="Times New Roman" w:cs="Calibri"/>
        </w:rPr>
        <w:t xml:space="preserve"> approximately</w:t>
      </w:r>
      <w:r w:rsidR="00CD3482">
        <w:rPr>
          <w:rFonts w:eastAsia="Times New Roman" w:cs="Calibri"/>
        </w:rPr>
        <w:t xml:space="preserve"> </w:t>
      </w:r>
      <w:r>
        <w:rPr>
          <w:rFonts w:eastAsia="Times New Roman" w:cs="Calibri"/>
        </w:rPr>
        <w:t xml:space="preserve">186 million </w:t>
      </w:r>
      <w:r w:rsidR="00FF7EF0">
        <w:rPr>
          <w:rFonts w:eastAsia="Times New Roman" w:cs="Calibri"/>
        </w:rPr>
        <w:t xml:space="preserve">items entered Australia </w:t>
      </w:r>
      <w:r w:rsidR="00792A5E">
        <w:rPr>
          <w:rFonts w:eastAsia="Times New Roman" w:cs="Calibri"/>
        </w:rPr>
        <w:t xml:space="preserve">as international mail </w:t>
      </w:r>
      <w:r w:rsidR="00CD3482">
        <w:rPr>
          <w:rFonts w:eastAsia="Times New Roman" w:cs="Calibri"/>
        </w:rPr>
        <w:t>and the remaining</w:t>
      </w:r>
      <w:r w:rsidR="00C53CC8">
        <w:rPr>
          <w:rFonts w:eastAsia="Times New Roman" w:cs="Calibri"/>
        </w:rPr>
        <w:t xml:space="preserve"> 25</w:t>
      </w:r>
      <w:r w:rsidR="00792A5E">
        <w:rPr>
          <w:rFonts w:eastAsia="Times New Roman" w:cs="Calibri"/>
        </w:rPr>
        <w:t xml:space="preserve"> million </w:t>
      </w:r>
      <w:r w:rsidR="00FF7EF0">
        <w:rPr>
          <w:rFonts w:eastAsia="Times New Roman" w:cs="Calibri"/>
        </w:rPr>
        <w:t xml:space="preserve">items </w:t>
      </w:r>
      <w:r w:rsidR="00792A5E">
        <w:rPr>
          <w:rFonts w:eastAsia="Times New Roman" w:cs="Calibri"/>
        </w:rPr>
        <w:t>arrived as</w:t>
      </w:r>
      <w:r w:rsidR="00CD3482">
        <w:rPr>
          <w:rFonts w:eastAsia="Times New Roman" w:cs="Calibri"/>
        </w:rPr>
        <w:t xml:space="preserve"> </w:t>
      </w:r>
      <w:r w:rsidR="00FF7EF0">
        <w:rPr>
          <w:rFonts w:eastAsia="Times New Roman" w:cs="Calibri"/>
        </w:rPr>
        <w:t>self-assessed clearance (</w:t>
      </w:r>
      <w:r w:rsidR="00CD3482">
        <w:t>SAC</w:t>
      </w:r>
      <w:r w:rsidR="00FF7EF0">
        <w:t>)</w:t>
      </w:r>
      <w:r w:rsidR="00CD3482">
        <w:t xml:space="preserve"> goods</w:t>
      </w:r>
      <w:r w:rsidR="00792A5E">
        <w:rPr>
          <w:rFonts w:eastAsia="Times New Roman" w:cs="Calibri"/>
        </w:rPr>
        <w:t xml:space="preserve"> </w:t>
      </w:r>
      <w:r w:rsidR="00792A5E">
        <w:t>which were handled as</w:t>
      </w:r>
      <w:r w:rsidR="00CD3482" w:rsidRPr="00CD3482">
        <w:t xml:space="preserve"> </w:t>
      </w:r>
      <w:r w:rsidR="00CD3482">
        <w:t>air/sea cargo</w:t>
      </w:r>
      <w:r w:rsidR="00792A5E">
        <w:t>.</w:t>
      </w:r>
      <w:r w:rsidR="00FF7EF0">
        <w:t xml:space="preserve"> This is a total of approximately 211 million items which entered Australia in </w:t>
      </w:r>
      <w:r w:rsidR="00FF7EF0" w:rsidRPr="00C004AE">
        <w:rPr>
          <w:rFonts w:eastAsia="Times New Roman" w:cs="Calibri"/>
        </w:rPr>
        <w:t>2012</w:t>
      </w:r>
      <w:r w:rsidR="00FF7EF0">
        <w:rPr>
          <w:rFonts w:eastAsia="Times New Roman" w:cs="Calibri"/>
        </w:rPr>
        <w:t>–</w:t>
      </w:r>
      <w:r w:rsidR="00FF7EF0" w:rsidRPr="00C004AE">
        <w:rPr>
          <w:rFonts w:eastAsia="Times New Roman" w:cs="Calibri"/>
        </w:rPr>
        <w:t>13</w:t>
      </w:r>
      <w:r w:rsidR="00FF7EF0">
        <w:t>, highlight</w:t>
      </w:r>
      <w:r w:rsidR="000F79B4">
        <w:t>ing</w:t>
      </w:r>
      <w:r w:rsidR="00FF7EF0">
        <w:t xml:space="preserve"> the large volume of items which need to be assessed by the department.</w:t>
      </w:r>
      <w:r w:rsidR="00AD54B0">
        <w:t xml:space="preserve"> These figures represent the total of imported goods arriving in Australia</w:t>
      </w:r>
      <w:r w:rsidR="00891151">
        <w:t>; data for international online</w:t>
      </w:r>
      <w:r w:rsidR="00AD54B0">
        <w:t xml:space="preserve"> purchases</w:t>
      </w:r>
      <w:r w:rsidR="00891151">
        <w:t xml:space="preserve"> </w:t>
      </w:r>
      <w:r w:rsidR="004C5EA0">
        <w:t>are</w:t>
      </w:r>
      <w:r w:rsidR="00891151">
        <w:t xml:space="preserve"> not readily available</w:t>
      </w:r>
      <w:r w:rsidR="00AD54B0">
        <w:t>.</w:t>
      </w:r>
    </w:p>
    <w:p w:rsidR="00803ECB" w:rsidRPr="0001395C" w:rsidRDefault="008B5E89" w:rsidP="00803ECB">
      <w:pPr>
        <w:pStyle w:val="Heading2"/>
        <w:spacing w:after="120"/>
      </w:pPr>
      <w:bookmarkStart w:id="15" w:name="_Toc375315628"/>
      <w:bookmarkStart w:id="16" w:name="_Toc376871896"/>
      <w:bookmarkStart w:id="17" w:name="_Toc413220597"/>
      <w:r>
        <w:t>Audit</w:t>
      </w:r>
      <w:r w:rsidR="00574FBC">
        <w:t xml:space="preserve"> </w:t>
      </w:r>
      <w:r w:rsidR="00DF22D8">
        <w:t>o</w:t>
      </w:r>
      <w:r w:rsidR="00803ECB" w:rsidRPr="0001395C">
        <w:t>bjective</w:t>
      </w:r>
      <w:bookmarkEnd w:id="15"/>
      <w:bookmarkEnd w:id="16"/>
      <w:bookmarkEnd w:id="17"/>
    </w:p>
    <w:p w:rsidR="00ED31D3" w:rsidRDefault="00ED31D3" w:rsidP="00ED31D3">
      <w:pPr>
        <w:pStyle w:val="NormalNumbering"/>
        <w:numPr>
          <w:ilvl w:val="0"/>
          <w:numId w:val="4"/>
        </w:numPr>
        <w:ind w:left="0" w:firstLine="0"/>
      </w:pPr>
      <w:bookmarkStart w:id="18" w:name="_Toc332894762"/>
      <w:bookmarkStart w:id="19" w:name="_Toc375315629"/>
      <w:bookmarkStart w:id="20" w:name="_Toc376871897"/>
      <w:r>
        <w:t>To examine the effectiveness of controls to manage biosecurity risks associated with international online purchases entering Australia.</w:t>
      </w:r>
    </w:p>
    <w:p w:rsidR="00EB02EC" w:rsidRPr="0001395C" w:rsidRDefault="008B5E89" w:rsidP="00EB20AD">
      <w:pPr>
        <w:pStyle w:val="Heading2"/>
        <w:keepNext/>
        <w:spacing w:after="120"/>
      </w:pPr>
      <w:bookmarkStart w:id="21" w:name="_Toc413220598"/>
      <w:r>
        <w:t>Audit</w:t>
      </w:r>
      <w:r w:rsidR="00EB02EC" w:rsidRPr="0001395C">
        <w:t xml:space="preserve"> scope</w:t>
      </w:r>
      <w:bookmarkEnd w:id="18"/>
      <w:bookmarkEnd w:id="19"/>
      <w:bookmarkEnd w:id="20"/>
      <w:bookmarkEnd w:id="21"/>
    </w:p>
    <w:p w:rsidR="00ED31D3" w:rsidRPr="00ED31D3" w:rsidRDefault="00ED31D3" w:rsidP="00ED31D3">
      <w:pPr>
        <w:pStyle w:val="NormalNumbering"/>
        <w:numPr>
          <w:ilvl w:val="0"/>
          <w:numId w:val="4"/>
        </w:numPr>
        <w:ind w:left="0" w:firstLine="0"/>
      </w:pPr>
      <w:bookmarkStart w:id="22" w:name="_Toc332894766"/>
      <w:bookmarkStart w:id="23" w:name="_Toc375315630"/>
      <w:bookmarkStart w:id="24" w:name="_Toc376871898"/>
      <w:r w:rsidRPr="008C30BD">
        <w:t xml:space="preserve">This audit </w:t>
      </w:r>
      <w:r w:rsidR="008B5E89">
        <w:t>was</w:t>
      </w:r>
      <w:r w:rsidRPr="008C30BD">
        <w:t xml:space="preserve"> limited to </w:t>
      </w:r>
      <w:r>
        <w:t>the department’s</w:t>
      </w:r>
      <w:r w:rsidRPr="008C30BD">
        <w:t xml:space="preserve"> risk identification processes and controls to manage identified biosecurity risks</w:t>
      </w:r>
      <w:r>
        <w:t xml:space="preserve"> for</w:t>
      </w:r>
      <w:r w:rsidRPr="00CC7EF9">
        <w:t xml:space="preserve"> </w:t>
      </w:r>
      <w:r>
        <w:t>international online purchases entering Australia</w:t>
      </w:r>
      <w:r w:rsidRPr="00E82DCE">
        <w:t>.</w:t>
      </w:r>
    </w:p>
    <w:p w:rsidR="00EB02EC" w:rsidRDefault="00DC0976" w:rsidP="0071086E">
      <w:pPr>
        <w:pStyle w:val="Heading2"/>
        <w:keepNext/>
        <w:spacing w:after="120"/>
      </w:pPr>
      <w:bookmarkStart w:id="25" w:name="_Toc413220599"/>
      <w:r>
        <w:t>Key</w:t>
      </w:r>
      <w:r w:rsidR="00EB02EC" w:rsidRPr="0001395C">
        <w:t xml:space="preserve"> findings</w:t>
      </w:r>
      <w:bookmarkEnd w:id="22"/>
      <w:bookmarkEnd w:id="23"/>
      <w:bookmarkEnd w:id="24"/>
      <w:bookmarkEnd w:id="25"/>
    </w:p>
    <w:p w:rsidR="00D07466" w:rsidRPr="006A2435" w:rsidRDefault="00CD4A4F" w:rsidP="006A2435">
      <w:pPr>
        <w:pStyle w:val="Findingsub-heading"/>
        <w:rPr>
          <w:sz w:val="28"/>
          <w:szCs w:val="28"/>
        </w:rPr>
      </w:pPr>
      <w:r>
        <w:rPr>
          <w:sz w:val="28"/>
          <w:szCs w:val="28"/>
        </w:rPr>
        <w:t>International mail</w:t>
      </w:r>
    </w:p>
    <w:p w:rsidR="00A77CC7" w:rsidRDefault="00E85DC9" w:rsidP="00F9439D">
      <w:pPr>
        <w:pStyle w:val="NormalNumbering"/>
        <w:numPr>
          <w:ilvl w:val="0"/>
          <w:numId w:val="4"/>
        </w:numPr>
        <w:ind w:left="0" w:firstLine="0"/>
      </w:pPr>
      <w:r>
        <w:t>Since 2008, t</w:t>
      </w:r>
      <w:r w:rsidR="003F49A3">
        <w:t xml:space="preserve">he </w:t>
      </w:r>
      <w:r w:rsidR="00D07466">
        <w:t xml:space="preserve">department has moved from </w:t>
      </w:r>
      <w:r w:rsidR="003F49A3">
        <w:t>i</w:t>
      </w:r>
      <w:r w:rsidR="00D07466" w:rsidRPr="00D1352D">
        <w:t xml:space="preserve">ncreased </w:t>
      </w:r>
      <w:r w:rsidR="003F49A3">
        <w:t>q</w:t>
      </w:r>
      <w:r w:rsidR="00D07466" w:rsidRPr="00D1352D">
        <w:t xml:space="preserve">uarantine </w:t>
      </w:r>
      <w:r w:rsidR="003F49A3">
        <w:t>i</w:t>
      </w:r>
      <w:r w:rsidR="00D07466" w:rsidRPr="00D1352D">
        <w:t>ntervention</w:t>
      </w:r>
      <w:r w:rsidR="00D07466">
        <w:t xml:space="preserve"> (where officers screen</w:t>
      </w:r>
      <w:r w:rsidR="003F49A3">
        <w:t>ed</w:t>
      </w:r>
      <w:r w:rsidR="00D07466">
        <w:t xml:space="preserve"> and interven</w:t>
      </w:r>
      <w:r w:rsidR="003F49A3">
        <w:t>ed</w:t>
      </w:r>
      <w:r w:rsidR="00D07466">
        <w:t xml:space="preserve"> </w:t>
      </w:r>
      <w:r w:rsidR="005D6581">
        <w:t>with</w:t>
      </w:r>
      <w:r w:rsidR="003F49A3">
        <w:t xml:space="preserve"> the</w:t>
      </w:r>
      <w:r w:rsidR="00D07466">
        <w:t xml:space="preserve"> majority of international mail items) to a </w:t>
      </w:r>
      <w:r w:rsidR="00D07466" w:rsidRPr="00482ADB">
        <w:t xml:space="preserve">targeted </w:t>
      </w:r>
      <w:r w:rsidR="003F49A3" w:rsidRPr="00482ADB">
        <w:t xml:space="preserve">risk-return </w:t>
      </w:r>
      <w:r w:rsidR="00D07466" w:rsidRPr="00482ADB">
        <w:t>intervention strategy</w:t>
      </w:r>
      <w:r w:rsidR="00D07466">
        <w:t xml:space="preserve">. The organisational culture had to change and adapt, which was challenging for many staff. </w:t>
      </w:r>
      <w:r w:rsidR="003F49A3">
        <w:t xml:space="preserve">The infrastructure of several </w:t>
      </w:r>
      <w:r w:rsidR="00D07466">
        <w:t>mail centres</w:t>
      </w:r>
      <w:r w:rsidR="0071086E">
        <w:t xml:space="preserve"> </w:t>
      </w:r>
      <w:r w:rsidR="003F49A3">
        <w:t xml:space="preserve">had been </w:t>
      </w:r>
      <w:r w:rsidR="00D07466">
        <w:t xml:space="preserve">designed and operated for </w:t>
      </w:r>
      <w:r w:rsidR="003F49A3" w:rsidRPr="00D1352D">
        <w:t>increased quarantine intervention</w:t>
      </w:r>
      <w:r w:rsidR="003F49A3">
        <w:t xml:space="preserve"> </w:t>
      </w:r>
      <w:r w:rsidR="00D07466">
        <w:t xml:space="preserve">rather than </w:t>
      </w:r>
      <w:r w:rsidR="003F49A3">
        <w:t>risk-based intervention</w:t>
      </w:r>
      <w:r w:rsidR="00D07466">
        <w:t>.</w:t>
      </w:r>
    </w:p>
    <w:p w:rsidR="00C3741F" w:rsidRPr="00CD3482" w:rsidRDefault="00AD54B0" w:rsidP="00CD3482">
      <w:pPr>
        <w:pStyle w:val="NormalNumbering"/>
        <w:numPr>
          <w:ilvl w:val="0"/>
          <w:numId w:val="4"/>
        </w:numPr>
        <w:ind w:left="0" w:firstLine="0"/>
      </w:pPr>
      <w:r>
        <w:lastRenderedPageBreak/>
        <w:t xml:space="preserve">In the larger facilities, </w:t>
      </w:r>
      <w:r w:rsidR="00D07466">
        <w:t xml:space="preserve">Australia Post has difficulty separating and presenting international mail of interest to the department. Consequently, more international mail items than necessary </w:t>
      </w:r>
      <w:r w:rsidR="006F6B6C">
        <w:t xml:space="preserve">are screened </w:t>
      </w:r>
      <w:r w:rsidR="00D07466">
        <w:t xml:space="preserve">to ensure items of interest are assessed. Improvements </w:t>
      </w:r>
      <w:r w:rsidR="006F74E7">
        <w:t xml:space="preserve">in </w:t>
      </w:r>
      <w:r w:rsidR="00D07466">
        <w:t>the presentation of mail</w:t>
      </w:r>
      <w:r w:rsidR="0071086E">
        <w:t xml:space="preserve"> </w:t>
      </w:r>
      <w:r w:rsidR="006F6B6C">
        <w:t xml:space="preserve">of interest to </w:t>
      </w:r>
      <w:r w:rsidR="0071086E">
        <w:t xml:space="preserve">the department </w:t>
      </w:r>
      <w:r w:rsidR="00D07466">
        <w:t>would reduce the amount of mail that the department screens</w:t>
      </w:r>
      <w:r w:rsidR="00B72288">
        <w:t xml:space="preserve"> and</w:t>
      </w:r>
      <w:r w:rsidR="00D07466">
        <w:t xml:space="preserve"> increas</w:t>
      </w:r>
      <w:r w:rsidR="00B72288">
        <w:t>e</w:t>
      </w:r>
      <w:r w:rsidR="00D07466">
        <w:t xml:space="preserve"> the </w:t>
      </w:r>
      <w:r w:rsidR="00B72288">
        <w:t xml:space="preserve">mail clearance </w:t>
      </w:r>
      <w:r w:rsidR="00D07466">
        <w:t>rate.</w:t>
      </w:r>
    </w:p>
    <w:p w:rsidR="00D07466" w:rsidRPr="00D07466" w:rsidRDefault="006A2435" w:rsidP="006A2435">
      <w:pPr>
        <w:pStyle w:val="Findingsub-heading"/>
      </w:pPr>
      <w:r>
        <w:t>P</w:t>
      </w:r>
      <w:r w:rsidR="00D07466" w:rsidRPr="00D07466">
        <w:t>rofiles</w:t>
      </w:r>
    </w:p>
    <w:p w:rsidR="009F72DA" w:rsidRDefault="006F6B6C" w:rsidP="009F72DA">
      <w:pPr>
        <w:pStyle w:val="NormalNumbering"/>
        <w:numPr>
          <w:ilvl w:val="0"/>
          <w:numId w:val="4"/>
        </w:numPr>
        <w:ind w:left="0" w:firstLine="0"/>
      </w:pPr>
      <w:r w:rsidRPr="00F9439D">
        <w:t xml:space="preserve">National </w:t>
      </w:r>
      <w:r w:rsidR="00D07466" w:rsidRPr="00F9439D">
        <w:t xml:space="preserve">profiles </w:t>
      </w:r>
      <w:r w:rsidR="00156100">
        <w:t>introduc</w:t>
      </w:r>
      <w:r w:rsidR="00D07466" w:rsidRPr="00F9439D">
        <w:t xml:space="preserve">ed in 2011 have not been reviewed or updated since. </w:t>
      </w:r>
      <w:r>
        <w:t xml:space="preserve">As </w:t>
      </w:r>
      <w:r w:rsidRPr="00F9439D">
        <w:t xml:space="preserve">national </w:t>
      </w:r>
      <w:r w:rsidR="00D07466" w:rsidRPr="00F9439D">
        <w:t xml:space="preserve">profiles are </w:t>
      </w:r>
      <w:r w:rsidR="00EC25BE">
        <w:t>vital</w:t>
      </w:r>
      <w:r w:rsidR="00D07466" w:rsidRPr="00F9439D">
        <w:t xml:space="preserve"> </w:t>
      </w:r>
      <w:r>
        <w:t xml:space="preserve">to effective </w:t>
      </w:r>
      <w:r w:rsidR="00D07466" w:rsidRPr="00F9439D">
        <w:t>international mail</w:t>
      </w:r>
      <w:r>
        <w:t xml:space="preserve"> assessment</w:t>
      </w:r>
      <w:r w:rsidR="00D07466" w:rsidRPr="00F9439D">
        <w:t xml:space="preserve">, </w:t>
      </w:r>
      <w:r w:rsidR="0023164E">
        <w:t xml:space="preserve">they should be </w:t>
      </w:r>
      <w:r w:rsidR="00D07466" w:rsidRPr="00F9439D">
        <w:t>review</w:t>
      </w:r>
      <w:r w:rsidR="0023164E">
        <w:t>ed</w:t>
      </w:r>
      <w:r w:rsidR="00D07466" w:rsidRPr="00F9439D">
        <w:t xml:space="preserve"> and updat</w:t>
      </w:r>
      <w:r w:rsidR="0023164E">
        <w:t>ed</w:t>
      </w:r>
      <w:r w:rsidR="00D07466" w:rsidRPr="00F9439D">
        <w:t xml:space="preserve"> more regular</w:t>
      </w:r>
      <w:r w:rsidR="0023164E">
        <w:t>ly</w:t>
      </w:r>
      <w:r w:rsidR="00D07466" w:rsidRPr="00F9439D">
        <w:t xml:space="preserve">. The benefit </w:t>
      </w:r>
      <w:r>
        <w:t xml:space="preserve">would be </w:t>
      </w:r>
      <w:r w:rsidR="00D07466" w:rsidRPr="00F9439D">
        <w:t xml:space="preserve">that </w:t>
      </w:r>
      <w:r w:rsidRPr="00F9439D">
        <w:t xml:space="preserve">staff </w:t>
      </w:r>
      <w:r>
        <w:t xml:space="preserve">could </w:t>
      </w:r>
      <w:r w:rsidR="00D07466" w:rsidRPr="00F9439D">
        <w:t xml:space="preserve">target </w:t>
      </w:r>
      <w:r w:rsidR="00B85801">
        <w:t xml:space="preserve">mail </w:t>
      </w:r>
      <w:r w:rsidR="00156100" w:rsidRPr="00F9439D">
        <w:t xml:space="preserve">items </w:t>
      </w:r>
      <w:r w:rsidR="00156100">
        <w:t xml:space="preserve">of </w:t>
      </w:r>
      <w:r w:rsidR="00D07466" w:rsidRPr="00F9439D">
        <w:t>current biosecurity</w:t>
      </w:r>
      <w:r w:rsidR="00156100">
        <w:t xml:space="preserve"> concern</w:t>
      </w:r>
      <w:r w:rsidR="00D07466" w:rsidRPr="00F9439D">
        <w:t xml:space="preserve">, rather than </w:t>
      </w:r>
      <w:r w:rsidR="00B85801">
        <w:t xml:space="preserve">mail </w:t>
      </w:r>
      <w:r w:rsidR="00D07466" w:rsidRPr="00F9439D">
        <w:t>items that are no longer of concern. This w</w:t>
      </w:r>
      <w:r w:rsidR="00156100">
        <w:t>ould</w:t>
      </w:r>
      <w:r w:rsidR="00D07466" w:rsidRPr="00F9439D">
        <w:t xml:space="preserve"> increase productivity and allow </w:t>
      </w:r>
      <w:r w:rsidR="00E52878">
        <w:t xml:space="preserve">more efficient clearance of </w:t>
      </w:r>
      <w:r w:rsidR="00B85801">
        <w:t xml:space="preserve">mail </w:t>
      </w:r>
      <w:r w:rsidR="00D07466" w:rsidRPr="00F9439D">
        <w:t>items.</w:t>
      </w:r>
    </w:p>
    <w:p w:rsidR="0045639A" w:rsidRPr="00F9439D" w:rsidRDefault="0045639A" w:rsidP="009F72DA">
      <w:pPr>
        <w:pStyle w:val="NormalNumbering"/>
        <w:numPr>
          <w:ilvl w:val="0"/>
          <w:numId w:val="4"/>
        </w:numPr>
        <w:ind w:left="0" w:firstLine="0"/>
      </w:pPr>
      <w:r>
        <w:t>The effectiveness of national profiles will improve with the availability of pre-arrival information for international mail items. The department’s support for Australia Post’s involvement in the Universal Postal Union trial of pre-arrival data sharing is commended. The department should continue to support similar activities, as and when the opportunity arises.</w:t>
      </w:r>
    </w:p>
    <w:p w:rsidR="00D07466" w:rsidRDefault="00D07466" w:rsidP="00D07466">
      <w:pPr>
        <w:pStyle w:val="Findingsub-heading"/>
      </w:pPr>
      <w:r w:rsidRPr="00D07466">
        <w:t>Communications</w:t>
      </w:r>
    </w:p>
    <w:p w:rsidR="009F72DA" w:rsidRDefault="003D7051" w:rsidP="009F72DA">
      <w:pPr>
        <w:pStyle w:val="NormalNumbering"/>
        <w:numPr>
          <w:ilvl w:val="0"/>
          <w:numId w:val="4"/>
        </w:numPr>
        <w:ind w:left="0" w:firstLine="0"/>
      </w:pPr>
      <w:r>
        <w:t xml:space="preserve">During </w:t>
      </w:r>
      <w:r w:rsidR="00AA3D9D">
        <w:t xml:space="preserve">initial </w:t>
      </w:r>
      <w:r>
        <w:t>fieldwork, t</w:t>
      </w:r>
      <w:r w:rsidR="00F9439D" w:rsidRPr="00F9439D">
        <w:t xml:space="preserve">he IIGB noted that communication and information sharing between Mail Program and Cargo Program </w:t>
      </w:r>
      <w:r w:rsidR="00BA0BA6">
        <w:t xml:space="preserve">officers </w:t>
      </w:r>
      <w:r w:rsidR="000F79B4">
        <w:t>regarding</w:t>
      </w:r>
      <w:r w:rsidR="00F9439D" w:rsidRPr="00F9439D">
        <w:t xml:space="preserve"> emerging risks</w:t>
      </w:r>
      <w:r w:rsidR="009E6DA2">
        <w:t xml:space="preserve"> </w:t>
      </w:r>
      <w:r w:rsidR="00891151">
        <w:t>appeared to be</w:t>
      </w:r>
      <w:r w:rsidR="009E6DA2">
        <w:t xml:space="preserve"> limited</w:t>
      </w:r>
      <w:r w:rsidR="00F9439D" w:rsidRPr="00F9439D">
        <w:t xml:space="preserve">. Given that </w:t>
      </w:r>
      <w:r w:rsidR="00BA0BA6">
        <w:t xml:space="preserve">the </w:t>
      </w:r>
      <w:r w:rsidR="00F9439D" w:rsidRPr="00F9439D">
        <w:t>programs deal</w:t>
      </w:r>
      <w:r w:rsidR="00AA3D9D">
        <w:t>t</w:t>
      </w:r>
      <w:r w:rsidR="00F9439D" w:rsidRPr="00F9439D">
        <w:t xml:space="preserve"> with similar products, especially international online purchases, the</w:t>
      </w:r>
      <w:r w:rsidR="00AA3D9D">
        <w:t>re appeared to be</w:t>
      </w:r>
      <w:r w:rsidR="00F9439D" w:rsidRPr="00F9439D">
        <w:t xml:space="preserve"> benefit</w:t>
      </w:r>
      <w:r w:rsidR="00AA3D9D">
        <w:t>s in</w:t>
      </w:r>
      <w:r w:rsidR="00BA0BA6">
        <w:t xml:space="preserve"> </w:t>
      </w:r>
      <w:r w:rsidR="00F9439D" w:rsidRPr="00F9439D">
        <w:t>sharing information on trends, risks and detections.</w:t>
      </w:r>
      <w:r>
        <w:t xml:space="preserve"> </w:t>
      </w:r>
      <w:r w:rsidR="003D74A1">
        <w:t>It should be noted that s</w:t>
      </w:r>
      <w:r w:rsidR="00891151">
        <w:t>ince</w:t>
      </w:r>
      <w:r w:rsidR="008771DA">
        <w:t xml:space="preserve"> 1 May 2014, the Compliance Division has been restr</w:t>
      </w:r>
      <w:r w:rsidR="00891151">
        <w:t>uctured, with a merging of the</w:t>
      </w:r>
      <w:r w:rsidR="008771DA">
        <w:t xml:space="preserve"> mail and cargo section</w:t>
      </w:r>
      <w:r w:rsidR="00891151">
        <w:t>s; this has enhanced</w:t>
      </w:r>
      <w:r w:rsidR="008771DA">
        <w:t xml:space="preserve"> the sharing of information.</w:t>
      </w:r>
    </w:p>
    <w:p w:rsidR="009F72DA" w:rsidRPr="00280FFC" w:rsidRDefault="009E6DA2" w:rsidP="009F72DA">
      <w:pPr>
        <w:pStyle w:val="NormalNumbering"/>
        <w:numPr>
          <w:ilvl w:val="0"/>
          <w:numId w:val="4"/>
        </w:numPr>
        <w:ind w:left="0" w:firstLine="0"/>
      </w:pPr>
      <w:r>
        <w:rPr>
          <w:rFonts w:cs="Calibri"/>
          <w:color w:val="000000"/>
        </w:rPr>
        <w:t xml:space="preserve">Each month the </w:t>
      </w:r>
      <w:r w:rsidR="009F72DA">
        <w:rPr>
          <w:rFonts w:cs="Calibri"/>
          <w:color w:val="000000"/>
        </w:rPr>
        <w:t>department compiles detailed performance indicator statistics</w:t>
      </w:r>
      <w:r w:rsidR="009F72DA" w:rsidRPr="00542A9C">
        <w:rPr>
          <w:rFonts w:cs="Calibri"/>
          <w:color w:val="000000"/>
        </w:rPr>
        <w:t xml:space="preserve"> nationally and for each mail centre</w:t>
      </w:r>
      <w:r w:rsidR="009F72DA">
        <w:rPr>
          <w:rFonts w:cs="Calibri"/>
          <w:color w:val="000000"/>
        </w:rPr>
        <w:t xml:space="preserve">. </w:t>
      </w:r>
      <w:r w:rsidR="003D74A1">
        <w:rPr>
          <w:rFonts w:cs="Calibri"/>
          <w:color w:val="000000"/>
        </w:rPr>
        <w:t xml:space="preserve">The information reflected in the monthly reports </w:t>
      </w:r>
      <w:r w:rsidR="00DB6F3A">
        <w:rPr>
          <w:rFonts w:cs="Calibri"/>
          <w:color w:val="000000"/>
        </w:rPr>
        <w:t>is</w:t>
      </w:r>
      <w:r w:rsidR="003D74A1">
        <w:rPr>
          <w:rFonts w:cs="Calibri"/>
          <w:color w:val="000000"/>
        </w:rPr>
        <w:t xml:space="preserve"> </w:t>
      </w:r>
      <w:r w:rsidR="009F72DA">
        <w:rPr>
          <w:rFonts w:cs="Calibri"/>
          <w:color w:val="000000"/>
        </w:rPr>
        <w:t>complex. During fieldwork the IIGB was informed that operational staff in the mail centres d</w:t>
      </w:r>
      <w:r w:rsidR="00BA0BA6">
        <w:rPr>
          <w:rFonts w:cs="Calibri"/>
          <w:color w:val="000000"/>
        </w:rPr>
        <w:t>id</w:t>
      </w:r>
      <w:r w:rsidR="009F72DA">
        <w:rPr>
          <w:rFonts w:cs="Calibri"/>
          <w:color w:val="000000"/>
        </w:rPr>
        <w:t xml:space="preserve"> not use these statistics </w:t>
      </w:r>
      <w:r w:rsidR="00542A9C">
        <w:rPr>
          <w:rFonts w:cs="Calibri"/>
          <w:color w:val="000000"/>
        </w:rPr>
        <w:t xml:space="preserve">because </w:t>
      </w:r>
      <w:r w:rsidR="009F72DA">
        <w:rPr>
          <w:rFonts w:cs="Calibri"/>
          <w:color w:val="000000"/>
        </w:rPr>
        <w:t xml:space="preserve">they </w:t>
      </w:r>
      <w:r w:rsidR="00BA0BA6">
        <w:rPr>
          <w:rFonts w:cs="Calibri"/>
          <w:color w:val="000000"/>
        </w:rPr>
        <w:t xml:space="preserve">could not </w:t>
      </w:r>
      <w:r w:rsidR="009F72DA">
        <w:rPr>
          <w:rFonts w:cs="Calibri"/>
          <w:color w:val="000000"/>
        </w:rPr>
        <w:t>understand the information. The information in the monthly reports is useful and informative</w:t>
      </w:r>
      <w:r w:rsidR="00BA0BA6">
        <w:rPr>
          <w:rFonts w:cs="Calibri"/>
          <w:color w:val="000000"/>
        </w:rPr>
        <w:t>;</w:t>
      </w:r>
      <w:r w:rsidR="009F72DA">
        <w:rPr>
          <w:rFonts w:cs="Calibri"/>
          <w:color w:val="000000"/>
        </w:rPr>
        <w:t xml:space="preserve"> however, the </w:t>
      </w:r>
      <w:r w:rsidR="00F564EF">
        <w:rPr>
          <w:rFonts w:cs="Calibri"/>
          <w:color w:val="000000"/>
        </w:rPr>
        <w:t xml:space="preserve">department should consider its </w:t>
      </w:r>
      <w:r w:rsidR="009F72DA">
        <w:rPr>
          <w:rFonts w:cs="Calibri"/>
          <w:color w:val="000000"/>
        </w:rPr>
        <w:t xml:space="preserve">target audience when </w:t>
      </w:r>
      <w:r w:rsidR="003D74A1">
        <w:rPr>
          <w:rFonts w:cs="Calibri"/>
          <w:color w:val="000000"/>
        </w:rPr>
        <w:t>disseminating</w:t>
      </w:r>
      <w:r w:rsidR="009F72DA">
        <w:rPr>
          <w:rFonts w:cs="Calibri"/>
          <w:color w:val="000000"/>
        </w:rPr>
        <w:t xml:space="preserve"> information.</w:t>
      </w:r>
    </w:p>
    <w:p w:rsidR="00280FFC" w:rsidRDefault="00280FFC" w:rsidP="009F72DA">
      <w:pPr>
        <w:pStyle w:val="NormalNumbering"/>
        <w:numPr>
          <w:ilvl w:val="0"/>
          <w:numId w:val="4"/>
        </w:numPr>
        <w:ind w:left="0" w:firstLine="0"/>
      </w:pPr>
      <w:r>
        <w:rPr>
          <w:rFonts w:cs="Calibri"/>
          <w:color w:val="000000"/>
        </w:rPr>
        <w:t xml:space="preserve">The department has been liaising with major online marketing sites such as eBay and Amazon, to encourage the presentation of warnings </w:t>
      </w:r>
      <w:r w:rsidR="00CB3789">
        <w:rPr>
          <w:rFonts w:cs="Calibri"/>
          <w:color w:val="000000"/>
        </w:rPr>
        <w:t xml:space="preserve">to users intending to sell and buy items of biosecurity concern.  Other overseas suppliers have been contacted regarding Australia’s biosecurity requirements, and those sites monitored.  In addition to media and promotional activities to increase public awareness, the department has also initiated specific education campaigns. </w:t>
      </w:r>
    </w:p>
    <w:p w:rsidR="00F9439D" w:rsidRDefault="009F72DA" w:rsidP="009F72DA">
      <w:pPr>
        <w:pStyle w:val="Findingsub-heading"/>
      </w:pPr>
      <w:r>
        <w:t>Fees and charges</w:t>
      </w:r>
    </w:p>
    <w:p w:rsidR="009F72DA" w:rsidRDefault="009F72DA" w:rsidP="009F72DA">
      <w:pPr>
        <w:pStyle w:val="NormalNumbering"/>
        <w:numPr>
          <w:ilvl w:val="0"/>
          <w:numId w:val="4"/>
        </w:numPr>
        <w:ind w:left="0" w:firstLine="0"/>
      </w:pPr>
      <w:r w:rsidRPr="00E5760E">
        <w:t>The Mail Program is funded through government appropriation, with some funding received from Australia Post</w:t>
      </w:r>
      <w:r>
        <w:t xml:space="preserve">. </w:t>
      </w:r>
      <w:r w:rsidR="00552183">
        <w:t>Unlike</w:t>
      </w:r>
      <w:r w:rsidRPr="00552183">
        <w:t xml:space="preserve"> air cargo</w:t>
      </w:r>
      <w:r>
        <w:t xml:space="preserve">, </w:t>
      </w:r>
      <w:r w:rsidR="00701D97">
        <w:t xml:space="preserve">the department does not charge </w:t>
      </w:r>
      <w:r>
        <w:t xml:space="preserve">the importer/online customer/recipient of international </w:t>
      </w:r>
      <w:r w:rsidR="002B4226">
        <w:t xml:space="preserve">mail items </w:t>
      </w:r>
      <w:r w:rsidR="00701D97">
        <w:t>a fee for inspection</w:t>
      </w:r>
      <w:r>
        <w:t>.</w:t>
      </w:r>
    </w:p>
    <w:p w:rsidR="00CD4A4F" w:rsidRDefault="00CD4A4F" w:rsidP="006A2435">
      <w:pPr>
        <w:pStyle w:val="Findingsub-heading"/>
        <w:rPr>
          <w:sz w:val="28"/>
          <w:szCs w:val="28"/>
        </w:rPr>
      </w:pPr>
    </w:p>
    <w:p w:rsidR="00CD4A4F" w:rsidRDefault="00CD4A4F" w:rsidP="006A2435">
      <w:pPr>
        <w:pStyle w:val="Findingsub-heading"/>
        <w:rPr>
          <w:sz w:val="28"/>
          <w:szCs w:val="28"/>
        </w:rPr>
      </w:pPr>
    </w:p>
    <w:p w:rsidR="00A77CC7" w:rsidRDefault="004231F1" w:rsidP="006A2435">
      <w:pPr>
        <w:pStyle w:val="Findingsub-heading"/>
      </w:pPr>
      <w:r w:rsidRPr="006A2435">
        <w:rPr>
          <w:sz w:val="28"/>
          <w:szCs w:val="28"/>
        </w:rPr>
        <w:lastRenderedPageBreak/>
        <w:t xml:space="preserve">Air </w:t>
      </w:r>
      <w:r w:rsidR="00BA0BA6" w:rsidRPr="006A2435">
        <w:rPr>
          <w:sz w:val="28"/>
          <w:szCs w:val="28"/>
        </w:rPr>
        <w:t>c</w:t>
      </w:r>
      <w:r w:rsidRPr="006A2435">
        <w:rPr>
          <w:sz w:val="28"/>
          <w:szCs w:val="28"/>
        </w:rPr>
        <w:t>argo</w:t>
      </w:r>
    </w:p>
    <w:p w:rsidR="00615EA1" w:rsidRDefault="00615EA1" w:rsidP="00615EA1">
      <w:pPr>
        <w:pStyle w:val="NormalNumbering"/>
        <w:numPr>
          <w:ilvl w:val="0"/>
          <w:numId w:val="4"/>
        </w:numPr>
        <w:ind w:left="0" w:firstLine="0"/>
      </w:pPr>
      <w:r>
        <w:t>A</w:t>
      </w:r>
      <w:r w:rsidRPr="00D44DA3">
        <w:t xml:space="preserve">ll cargo imported into Australia is </w:t>
      </w:r>
      <w:r w:rsidR="00A06433">
        <w:t xml:space="preserve">recorded </w:t>
      </w:r>
      <w:r w:rsidRPr="00D44DA3">
        <w:t xml:space="preserve">in the </w:t>
      </w:r>
      <w:r>
        <w:t>Integrated Cargo System (ICS), which is managed by the Australian Customs and Border Protection Service.</w:t>
      </w:r>
      <w:r w:rsidRPr="00D44DA3">
        <w:t xml:space="preserve"> </w:t>
      </w:r>
      <w:r>
        <w:t>As highlighted in previous IIGB reports, the importer/broker/freight forwarder is responsible for entering accurate information into the system</w:t>
      </w:r>
      <w:r w:rsidR="00675AC2">
        <w:t xml:space="preserve"> and</w:t>
      </w:r>
      <w:r w:rsidR="00675AC2" w:rsidRPr="00675AC2">
        <w:t xml:space="preserve"> </w:t>
      </w:r>
      <w:r w:rsidR="00675AC2">
        <w:t xml:space="preserve">the </w:t>
      </w:r>
      <w:r w:rsidR="00792A5E">
        <w:t>department</w:t>
      </w:r>
      <w:r w:rsidR="00675AC2">
        <w:t xml:space="preserve"> relies on their integrity and honesty</w:t>
      </w:r>
      <w:r w:rsidR="000F79B4">
        <w:t xml:space="preserve"> in assessing the relevant biosecurity risks</w:t>
      </w:r>
      <w:r w:rsidR="00675AC2">
        <w:t>.</w:t>
      </w:r>
    </w:p>
    <w:p w:rsidR="004231F1" w:rsidRDefault="004231F1" w:rsidP="009458BE">
      <w:pPr>
        <w:pStyle w:val="Findingsub-heading"/>
      </w:pPr>
      <w:r>
        <w:t>Profiles</w:t>
      </w:r>
    </w:p>
    <w:p w:rsidR="00F9439D" w:rsidRDefault="00F9439D" w:rsidP="00F9439D">
      <w:pPr>
        <w:pStyle w:val="NormalNumbering"/>
        <w:numPr>
          <w:ilvl w:val="0"/>
          <w:numId w:val="4"/>
        </w:numPr>
        <w:ind w:left="0" w:firstLine="0"/>
      </w:pPr>
      <w:r>
        <w:t>Profiles are</w:t>
      </w:r>
      <w:r w:rsidR="00EC25BE">
        <w:t xml:space="preserve"> </w:t>
      </w:r>
      <w:r w:rsidR="000F79B4">
        <w:t>pivotal in</w:t>
      </w:r>
      <w:r>
        <w:t xml:space="preserve"> assessing biosecurity risks </w:t>
      </w:r>
      <w:r w:rsidR="002709D0">
        <w:t>in</w:t>
      </w:r>
      <w:r>
        <w:t xml:space="preserve"> </w:t>
      </w:r>
      <w:r w:rsidR="009F72DA">
        <w:t>self</w:t>
      </w:r>
      <w:r w:rsidR="002709D0">
        <w:t>-</w:t>
      </w:r>
      <w:r w:rsidR="009F72DA">
        <w:t>assessed clearance</w:t>
      </w:r>
      <w:r w:rsidR="00615EA1">
        <w:t xml:space="preserve"> </w:t>
      </w:r>
      <w:r w:rsidR="00156100">
        <w:t>(</w:t>
      </w:r>
      <w:r w:rsidR="00615EA1">
        <w:t>SAC</w:t>
      </w:r>
      <w:r w:rsidR="00156100">
        <w:t>)</w:t>
      </w:r>
      <w:r>
        <w:t xml:space="preserve"> consignments</w:t>
      </w:r>
      <w:r w:rsidR="002709D0">
        <w:t>.</w:t>
      </w:r>
      <w:r w:rsidR="00615EA1">
        <w:t xml:space="preserve"> </w:t>
      </w:r>
      <w:r>
        <w:t xml:space="preserve">The department should </w:t>
      </w:r>
      <w:r w:rsidR="006804CB">
        <w:t xml:space="preserve">regularly </w:t>
      </w:r>
      <w:r>
        <w:t xml:space="preserve">review a system-generated report (produced </w:t>
      </w:r>
      <w:r w:rsidR="006804CB">
        <w:t xml:space="preserve">directly </w:t>
      </w:r>
      <w:r>
        <w:t xml:space="preserve">from the ICS) to determine </w:t>
      </w:r>
      <w:r w:rsidR="000F79B4">
        <w:t xml:space="preserve">any </w:t>
      </w:r>
      <w:r w:rsidR="006804CB">
        <w:t xml:space="preserve">appropriate </w:t>
      </w:r>
      <w:r>
        <w:t xml:space="preserve">profile changes. </w:t>
      </w:r>
      <w:r w:rsidR="00BE43FA">
        <w:t xml:space="preserve">Department staff without privileged access should examine and scrutinise the </w:t>
      </w:r>
      <w:r>
        <w:t xml:space="preserve">report. This independence and segregation of duties is important. Privileged access </w:t>
      </w:r>
      <w:r w:rsidR="00BE43FA">
        <w:t>must</w:t>
      </w:r>
      <w:r>
        <w:t xml:space="preserve"> be monitored and supervised closely to ensure </w:t>
      </w:r>
      <w:r w:rsidR="00BE43FA">
        <w:t>it</w:t>
      </w:r>
      <w:r>
        <w:t xml:space="preserve"> is not misused. At present, profiles </w:t>
      </w:r>
      <w:r w:rsidR="00BE43FA">
        <w:t xml:space="preserve">may be </w:t>
      </w:r>
      <w:r>
        <w:t xml:space="preserve">changed, either intentionally or by accident, which could lead to </w:t>
      </w:r>
      <w:r w:rsidR="00473ABF">
        <w:t xml:space="preserve">release of </w:t>
      </w:r>
      <w:r w:rsidR="009F72DA">
        <w:t>goods of</w:t>
      </w:r>
      <w:r>
        <w:t xml:space="preserve"> biosecurity concern.</w:t>
      </w:r>
    </w:p>
    <w:p w:rsidR="00F9439D" w:rsidRDefault="00F9439D" w:rsidP="00F9439D">
      <w:pPr>
        <w:pStyle w:val="NormalNumbering"/>
        <w:numPr>
          <w:ilvl w:val="0"/>
          <w:numId w:val="4"/>
        </w:numPr>
        <w:ind w:left="0" w:firstLine="0"/>
      </w:pPr>
      <w:r>
        <w:t xml:space="preserve">Privileged access should be restricted to staff </w:t>
      </w:r>
      <w:r w:rsidR="000F79B4">
        <w:t>who</w:t>
      </w:r>
      <w:r>
        <w:t xml:space="preserve"> absolutely require</w:t>
      </w:r>
      <w:r w:rsidR="00140FDE">
        <w:t xml:space="preserve"> this level of</w:t>
      </w:r>
      <w:r>
        <w:t xml:space="preserve"> access.</w:t>
      </w:r>
      <w:r w:rsidR="009F72DA">
        <w:t xml:space="preserve"> </w:t>
      </w:r>
      <w:r w:rsidR="00615EA1">
        <w:t>Consequently, p</w:t>
      </w:r>
      <w:r w:rsidR="009F72DA">
        <w:t xml:space="preserve">rivileged access should be reviewed regularly to ensure </w:t>
      </w:r>
      <w:r w:rsidR="00BE43FA">
        <w:t>it</w:t>
      </w:r>
      <w:r w:rsidR="009F72DA">
        <w:t xml:space="preserve"> is essential.</w:t>
      </w:r>
    </w:p>
    <w:p w:rsidR="00F9439D" w:rsidRDefault="00F9439D" w:rsidP="009F72DA">
      <w:pPr>
        <w:pStyle w:val="Findingsub-heading"/>
      </w:pPr>
      <w:r>
        <w:t>Free line surveillance</w:t>
      </w:r>
      <w:r w:rsidR="00697B6D">
        <w:t xml:space="preserve"> </w:t>
      </w:r>
    </w:p>
    <w:p w:rsidR="00F9439D" w:rsidRPr="00361DE5" w:rsidRDefault="00F9439D" w:rsidP="00361DE5">
      <w:pPr>
        <w:pStyle w:val="NormalNumbering"/>
        <w:ind w:left="0" w:firstLine="0"/>
      </w:pPr>
      <w:r w:rsidRPr="00361DE5">
        <w:t xml:space="preserve">Free line air cargo surveillance is </w:t>
      </w:r>
      <w:r w:rsidR="000F79B4">
        <w:t>important in</w:t>
      </w:r>
      <w:r w:rsidRPr="00361DE5">
        <w:t xml:space="preserve"> ensuring that the department’s profiles</w:t>
      </w:r>
      <w:r w:rsidR="00D94676" w:rsidRPr="00361DE5">
        <w:t xml:space="preserve"> and</w:t>
      </w:r>
      <w:r w:rsidRPr="00361DE5">
        <w:t xml:space="preserve"> assessment and screening techniques are working efficiently and effectively.</w:t>
      </w:r>
      <w:r w:rsidR="008A5BB3">
        <w:t xml:space="preserve"> A random sample of air cargo is screened using X-ray equipment to ensure it contains no articles of biosecurity concern. </w:t>
      </w:r>
      <w:r w:rsidR="00AB3117" w:rsidRPr="00361DE5">
        <w:t xml:space="preserve">Regional air cargo staff record free line surveillance </w:t>
      </w:r>
      <w:r w:rsidR="003F7ECB" w:rsidRPr="00361DE5">
        <w:t xml:space="preserve">results </w:t>
      </w:r>
      <w:r w:rsidR="00AB3117" w:rsidRPr="00361DE5">
        <w:t xml:space="preserve">on the Air Cargo SharePoint site. </w:t>
      </w:r>
      <w:r w:rsidR="00011E62">
        <w:t xml:space="preserve"> The IIGB has been advised that</w:t>
      </w:r>
      <w:r w:rsidR="00AB3117" w:rsidRPr="00361DE5">
        <w:t xml:space="preserve"> </w:t>
      </w:r>
      <w:r w:rsidR="006B6F30">
        <w:t>one location</w:t>
      </w:r>
      <w:r w:rsidR="00011E62">
        <w:t xml:space="preserve"> is not undertaking free</w:t>
      </w:r>
      <w:r w:rsidR="00002056">
        <w:t xml:space="preserve"> </w:t>
      </w:r>
      <w:r w:rsidR="00011E62">
        <w:t>line surveillance due to difficulties accessing cargo during deconsolidation.</w:t>
      </w:r>
    </w:p>
    <w:p w:rsidR="00615EA1" w:rsidRDefault="00615EA1" w:rsidP="00615EA1">
      <w:pPr>
        <w:pStyle w:val="Findingsub-heading"/>
      </w:pPr>
      <w:r>
        <w:t>Pre-inspection clearances</w:t>
      </w:r>
    </w:p>
    <w:p w:rsidR="00615EA1" w:rsidRDefault="002D7EFE" w:rsidP="00615EA1">
      <w:pPr>
        <w:pStyle w:val="NormalNumbering"/>
        <w:numPr>
          <w:ilvl w:val="0"/>
          <w:numId w:val="4"/>
        </w:numPr>
        <w:ind w:left="0" w:firstLine="0"/>
      </w:pPr>
      <w:r>
        <w:t xml:space="preserve">Officers in some </w:t>
      </w:r>
      <w:r w:rsidR="00615EA1">
        <w:t xml:space="preserve">regions informed the IIGB that some consignments </w:t>
      </w:r>
      <w:r>
        <w:t>we</w:t>
      </w:r>
      <w:r w:rsidR="00615EA1">
        <w:t xml:space="preserve">re cleared and released without the required inspection. </w:t>
      </w:r>
      <w:r>
        <w:t xml:space="preserve">The officers </w:t>
      </w:r>
      <w:r w:rsidR="00615EA1">
        <w:t>explained that they ha</w:t>
      </w:r>
      <w:r>
        <w:t>d</w:t>
      </w:r>
      <w:r w:rsidR="00615EA1">
        <w:t xml:space="preserve"> the </w:t>
      </w:r>
      <w:r w:rsidR="003870DB">
        <w:t xml:space="preserve">necessary </w:t>
      </w:r>
      <w:r w:rsidR="00615EA1">
        <w:t>knowledge and experience to clear goods without inspection, because they underst</w:t>
      </w:r>
      <w:r>
        <w:t>oo</w:t>
      </w:r>
      <w:r w:rsidR="00615EA1">
        <w:t xml:space="preserve">d the environment and what </w:t>
      </w:r>
      <w:r>
        <w:t>was</w:t>
      </w:r>
      <w:r w:rsidR="00615EA1">
        <w:t xml:space="preserve"> being imported into their region. </w:t>
      </w:r>
      <w:r w:rsidR="009C750D">
        <w:t>The officers explained that o</w:t>
      </w:r>
      <w:r w:rsidR="00615EA1">
        <w:t xml:space="preserve">nly goods </w:t>
      </w:r>
      <w:r w:rsidR="003870DB">
        <w:t>of</w:t>
      </w:r>
      <w:r w:rsidR="00615EA1">
        <w:t xml:space="preserve"> no biosecurity concern are released without inspection. While this </w:t>
      </w:r>
      <w:r w:rsidR="009C750D">
        <w:t>approach</w:t>
      </w:r>
      <w:r w:rsidR="00336C2E">
        <w:t xml:space="preserve"> is sound</w:t>
      </w:r>
      <w:r w:rsidR="00615EA1">
        <w:t>, it is important that the department verif</w:t>
      </w:r>
      <w:r w:rsidR="00B974EF">
        <w:t>y</w:t>
      </w:r>
      <w:r w:rsidR="00615EA1">
        <w:t xml:space="preserve"> what goods are being released without inspection. This information c</w:t>
      </w:r>
      <w:r w:rsidR="00336C2E">
        <w:t>ould</w:t>
      </w:r>
      <w:r w:rsidR="00615EA1">
        <w:t xml:space="preserve"> be used to improve profiles to ensure these goods are not sent for inspection in the future.</w:t>
      </w:r>
    </w:p>
    <w:p w:rsidR="005762F6" w:rsidRDefault="00615EA1" w:rsidP="005762F6">
      <w:pPr>
        <w:pStyle w:val="Findingsub-heading"/>
      </w:pPr>
      <w:r>
        <w:t xml:space="preserve">Import </w:t>
      </w:r>
      <w:r w:rsidR="00B87EF8">
        <w:t>p</w:t>
      </w:r>
      <w:r>
        <w:t>ermits</w:t>
      </w:r>
    </w:p>
    <w:p w:rsidR="005762F6" w:rsidRDefault="00615EA1" w:rsidP="005762F6">
      <w:pPr>
        <w:pStyle w:val="NormalNumbering"/>
        <w:numPr>
          <w:ilvl w:val="0"/>
          <w:numId w:val="4"/>
        </w:numPr>
        <w:ind w:left="0" w:firstLine="0"/>
      </w:pPr>
      <w:r w:rsidRPr="005762F6">
        <w:t>Similar to international mail</w:t>
      </w:r>
      <w:r w:rsidR="00B87EF8" w:rsidRPr="005762F6">
        <w:t xml:space="preserve"> items</w:t>
      </w:r>
      <w:r w:rsidRPr="005762F6">
        <w:t xml:space="preserve">, </w:t>
      </w:r>
      <w:r w:rsidR="00B87EF8" w:rsidRPr="005762F6">
        <w:t>i</w:t>
      </w:r>
      <w:r w:rsidRPr="005762F6">
        <w:t xml:space="preserve">tems </w:t>
      </w:r>
      <w:r w:rsidR="00B87EF8" w:rsidRPr="005762F6">
        <w:t xml:space="preserve">that </w:t>
      </w:r>
      <w:r w:rsidRPr="005762F6">
        <w:t xml:space="preserve">enter Australia as SAC consignments </w:t>
      </w:r>
      <w:r w:rsidR="00B87EF8" w:rsidRPr="005762F6">
        <w:t>and</w:t>
      </w:r>
      <w:r w:rsidR="00B87EF8">
        <w:t xml:space="preserve"> </w:t>
      </w:r>
      <w:r>
        <w:t>require an import permit are not readily identifiable. The IIGB was advised that</w:t>
      </w:r>
      <w:r w:rsidR="00B87EF8">
        <w:t>,</w:t>
      </w:r>
      <w:r>
        <w:t xml:space="preserve"> on some occasions, </w:t>
      </w:r>
      <w:r w:rsidR="00792A5E">
        <w:t xml:space="preserve">SAC consignments </w:t>
      </w:r>
      <w:r>
        <w:t xml:space="preserve">that required import permits were released without inspection. </w:t>
      </w:r>
      <w:r w:rsidR="00B87EF8">
        <w:t xml:space="preserve">Where </w:t>
      </w:r>
      <w:r>
        <w:t xml:space="preserve">SAC consignments </w:t>
      </w:r>
      <w:r w:rsidR="00B87EF8">
        <w:t>are</w:t>
      </w:r>
      <w:r>
        <w:t xml:space="preserve"> delivered to quarantine approved premises without the appropriate inspection, the operator </w:t>
      </w:r>
      <w:r w:rsidR="00B87EF8">
        <w:t xml:space="preserve">must </w:t>
      </w:r>
      <w:r>
        <w:t xml:space="preserve">advise the department that they have received an item without inspection and </w:t>
      </w:r>
      <w:r w:rsidR="008710D8">
        <w:t xml:space="preserve">the department initiates </w:t>
      </w:r>
      <w:r w:rsidR="008710D8" w:rsidRPr="00464683">
        <w:t>appropriate action</w:t>
      </w:r>
      <w:r>
        <w:t xml:space="preserve">. </w:t>
      </w:r>
    </w:p>
    <w:p w:rsidR="005762F6" w:rsidRDefault="005762F6" w:rsidP="005762F6">
      <w:pPr>
        <w:pStyle w:val="Findingsub-heading"/>
      </w:pPr>
    </w:p>
    <w:p w:rsidR="00F9439D" w:rsidRPr="005762F6" w:rsidRDefault="007C6BA6" w:rsidP="005762F6">
      <w:pPr>
        <w:pStyle w:val="Findingsub-heading"/>
        <w:rPr>
          <w:rFonts w:ascii="Cambria" w:hAnsi="Cambria"/>
          <w:b w:val="0"/>
          <w:sz w:val="28"/>
          <w:szCs w:val="28"/>
        </w:rPr>
      </w:pPr>
      <w:r w:rsidRPr="005762F6">
        <w:rPr>
          <w:rFonts w:ascii="Cambria" w:hAnsi="Cambria"/>
          <w:sz w:val="28"/>
          <w:szCs w:val="28"/>
        </w:rPr>
        <w:lastRenderedPageBreak/>
        <w:t>Conclusion</w:t>
      </w:r>
    </w:p>
    <w:p w:rsidR="00F9439D" w:rsidRPr="00D37634" w:rsidRDefault="00F9439D" w:rsidP="00F9439D">
      <w:pPr>
        <w:pStyle w:val="NormalNumbering"/>
        <w:numPr>
          <w:ilvl w:val="0"/>
          <w:numId w:val="4"/>
        </w:numPr>
        <w:ind w:left="0" w:firstLine="0"/>
      </w:pPr>
      <w:r w:rsidRPr="00D37634">
        <w:t xml:space="preserve">Items that have been purchased internationally online are not easily identifiable to Australia Post, courier companies, freight forwarders or the department. Consequently, online purchases are assessed with all other mail </w:t>
      </w:r>
      <w:r w:rsidR="00FB09A4" w:rsidRPr="00D37634">
        <w:t>and</w:t>
      </w:r>
      <w:r w:rsidRPr="00D37634">
        <w:t xml:space="preserve"> </w:t>
      </w:r>
      <w:r w:rsidR="004E5A4C" w:rsidRPr="00D37634">
        <w:t>cargo</w:t>
      </w:r>
      <w:r w:rsidRPr="00D37634">
        <w:t xml:space="preserve"> items arriving in Australia.</w:t>
      </w:r>
    </w:p>
    <w:p w:rsidR="00615EA1" w:rsidRPr="00D37634" w:rsidRDefault="00AE27B7" w:rsidP="00615EA1">
      <w:pPr>
        <w:pStyle w:val="NormalNumbering"/>
        <w:numPr>
          <w:ilvl w:val="0"/>
          <w:numId w:val="4"/>
        </w:numPr>
        <w:ind w:left="0" w:firstLine="0"/>
      </w:pPr>
      <w:r w:rsidRPr="00D37634">
        <w:t>P</w:t>
      </w:r>
      <w:r w:rsidR="00FB392D" w:rsidRPr="00D37634">
        <w:t xml:space="preserve">re-arrival information for items </w:t>
      </w:r>
      <w:r w:rsidR="00615EA1" w:rsidRPr="00D37634">
        <w:t>arriving as cargo</w:t>
      </w:r>
      <w:r w:rsidRPr="00D37634">
        <w:t xml:space="preserve"> must be supplied to the department</w:t>
      </w:r>
      <w:r w:rsidR="00615EA1" w:rsidRPr="00D37634">
        <w:t xml:space="preserve">, which allows </w:t>
      </w:r>
      <w:r w:rsidR="00FB392D" w:rsidRPr="00D37634">
        <w:t>them</w:t>
      </w:r>
      <w:r w:rsidR="00615EA1" w:rsidRPr="00D37634">
        <w:t xml:space="preserve"> to be screened and assessed </w:t>
      </w:r>
      <w:r w:rsidR="00FB392D" w:rsidRPr="00D37634">
        <w:t xml:space="preserve">before </w:t>
      </w:r>
      <w:r w:rsidR="00615EA1" w:rsidRPr="00D37634">
        <w:t>arriv</w:t>
      </w:r>
      <w:r w:rsidR="00FB392D" w:rsidRPr="00D37634">
        <w:t>al</w:t>
      </w:r>
      <w:r w:rsidR="00615EA1" w:rsidRPr="00D37634">
        <w:t xml:space="preserve"> at the Australian border. By contrast, </w:t>
      </w:r>
      <w:r w:rsidR="00FB392D" w:rsidRPr="00D37634">
        <w:t xml:space="preserve">for items arriving at the Australian border as </w:t>
      </w:r>
      <w:r w:rsidR="00615EA1" w:rsidRPr="00D37634">
        <w:t>international mail</w:t>
      </w:r>
      <w:r w:rsidR="00FB392D" w:rsidRPr="00D37634">
        <w:t>,</w:t>
      </w:r>
      <w:r w:rsidR="00615EA1" w:rsidRPr="00D37634">
        <w:t xml:space="preserve"> pre-arrival information </w:t>
      </w:r>
      <w:r w:rsidR="00FB392D" w:rsidRPr="00D37634">
        <w:t>is</w:t>
      </w:r>
      <w:r w:rsidR="000C4147" w:rsidRPr="00D37634">
        <w:t xml:space="preserve"> generally</w:t>
      </w:r>
      <w:r w:rsidR="00FB392D" w:rsidRPr="00D37634">
        <w:t xml:space="preserve"> not </w:t>
      </w:r>
      <w:r w:rsidR="00615EA1" w:rsidRPr="00D37634">
        <w:t xml:space="preserve">available. Consequently, border </w:t>
      </w:r>
      <w:r w:rsidR="00620A4C" w:rsidRPr="00D37634">
        <w:t xml:space="preserve">clearance </w:t>
      </w:r>
      <w:r w:rsidR="00615EA1" w:rsidRPr="00D37634">
        <w:t xml:space="preserve">processes </w:t>
      </w:r>
      <w:r w:rsidR="00FB392D" w:rsidRPr="00D37634">
        <w:t xml:space="preserve">for </w:t>
      </w:r>
      <w:r w:rsidR="00615EA1" w:rsidRPr="00D37634">
        <w:t xml:space="preserve">mail are more labour intensive </w:t>
      </w:r>
      <w:r w:rsidR="00FB392D" w:rsidRPr="00D37634">
        <w:t>than for</w:t>
      </w:r>
      <w:r w:rsidR="00615EA1" w:rsidRPr="00D37634">
        <w:t xml:space="preserve"> cargo.</w:t>
      </w:r>
    </w:p>
    <w:p w:rsidR="004E5A4C" w:rsidRPr="00D37634" w:rsidRDefault="004E5A4C" w:rsidP="00615EA1">
      <w:pPr>
        <w:pStyle w:val="NormalNumbering"/>
        <w:numPr>
          <w:ilvl w:val="0"/>
          <w:numId w:val="4"/>
        </w:numPr>
        <w:ind w:left="0" w:firstLine="0"/>
      </w:pPr>
      <w:r w:rsidRPr="00D37634">
        <w:t>It is accepted that the department cannot</w:t>
      </w:r>
      <w:r w:rsidR="0035068E" w:rsidRPr="00D37634">
        <w:t xml:space="preserve"> physically</w:t>
      </w:r>
      <w:r w:rsidRPr="00D37634">
        <w:t xml:space="preserve"> inspect all goods imported into Australia</w:t>
      </w:r>
      <w:r w:rsidR="00BB1ED2" w:rsidRPr="00D37634">
        <w:t xml:space="preserve"> </w:t>
      </w:r>
      <w:r w:rsidR="00E13566" w:rsidRPr="00D37634">
        <w:t xml:space="preserve">due </w:t>
      </w:r>
      <w:r w:rsidR="00BB1ED2" w:rsidRPr="00D37634">
        <w:t>to the extremely large volume of mail and cargo items entering Australia</w:t>
      </w:r>
      <w:r w:rsidR="00C53CC8" w:rsidRPr="00D37634">
        <w:t xml:space="preserve"> (approximately 211 million items in </w:t>
      </w:r>
      <w:r w:rsidR="00C53CC8" w:rsidRPr="00D37634">
        <w:rPr>
          <w:rFonts w:eastAsia="Times New Roman" w:cs="Calibri"/>
        </w:rPr>
        <w:t>2012–13)</w:t>
      </w:r>
      <w:r w:rsidRPr="00D37634">
        <w:t>. The department relies on information available to</w:t>
      </w:r>
      <w:r w:rsidR="00BB1ED2" w:rsidRPr="00D37634">
        <w:t xml:space="preserve"> assess biosecurity risks. </w:t>
      </w:r>
      <w:r w:rsidR="00E13566" w:rsidRPr="00D37634">
        <w:t xml:space="preserve">Items </w:t>
      </w:r>
      <w:r w:rsidR="00BB1ED2" w:rsidRPr="00D37634">
        <w:t xml:space="preserve">are </w:t>
      </w:r>
      <w:r w:rsidR="00E13566" w:rsidRPr="00D37634">
        <w:t xml:space="preserve">sometimes </w:t>
      </w:r>
      <w:r w:rsidR="00BB1ED2" w:rsidRPr="00D37634">
        <w:t>released without the necessary checks.</w:t>
      </w:r>
    </w:p>
    <w:p w:rsidR="00F9439D" w:rsidRDefault="00F22466" w:rsidP="00F9439D">
      <w:pPr>
        <w:pStyle w:val="NormalNumbering"/>
        <w:numPr>
          <w:ilvl w:val="0"/>
          <w:numId w:val="4"/>
        </w:numPr>
        <w:ind w:left="0" w:firstLine="0"/>
      </w:pPr>
      <w:r>
        <w:t xml:space="preserve">International </w:t>
      </w:r>
      <w:r w:rsidR="00F9439D">
        <w:t xml:space="preserve">mail and cargo </w:t>
      </w:r>
      <w:r>
        <w:t xml:space="preserve">are </w:t>
      </w:r>
      <w:r w:rsidR="00F9439D">
        <w:t>assess</w:t>
      </w:r>
      <w:r>
        <w:t>ed for</w:t>
      </w:r>
      <w:r w:rsidR="00F9439D">
        <w:t xml:space="preserve"> biosecurity risks</w:t>
      </w:r>
      <w:r>
        <w:t xml:space="preserve"> differently</w:t>
      </w:r>
      <w:r w:rsidR="00143B54">
        <w:t>, with</w:t>
      </w:r>
      <w:r w:rsidR="00F9439D">
        <w:t xml:space="preserve"> different risk categorisations for commodities being imported into Australia</w:t>
      </w:r>
      <w:r w:rsidR="00143B54">
        <w:t>. T</w:t>
      </w:r>
      <w:r w:rsidR="00F9439D">
        <w:t xml:space="preserve">his is primarily due </w:t>
      </w:r>
      <w:r>
        <w:t xml:space="preserve">to </w:t>
      </w:r>
      <w:r w:rsidR="00F9439D">
        <w:t>the commercial and non-commercial nature of the goods being imported. Generally, the Cargo Program manage</w:t>
      </w:r>
      <w:r w:rsidR="00143B54">
        <w:t>d</w:t>
      </w:r>
      <w:r w:rsidR="00F9439D">
        <w:t xml:space="preserve"> commodities imported in bulk for commercial purposes</w:t>
      </w:r>
      <w:r>
        <w:t xml:space="preserve"> and</w:t>
      </w:r>
      <w:r w:rsidR="00F9439D">
        <w:t xml:space="preserve"> the Mail Program manage</w:t>
      </w:r>
      <w:r w:rsidR="00143B54">
        <w:t>d</w:t>
      </w:r>
      <w:r w:rsidR="00F9439D">
        <w:t xml:space="preserve"> </w:t>
      </w:r>
      <w:r w:rsidR="00F9439D" w:rsidRPr="00482ADB">
        <w:t>non</w:t>
      </w:r>
      <w:r w:rsidR="00D2762C" w:rsidRPr="00482ADB">
        <w:noBreakHyphen/>
      </w:r>
      <w:r w:rsidR="00F9439D" w:rsidRPr="00482ADB">
        <w:t>commercial goods.</w:t>
      </w:r>
      <w:r w:rsidR="004A6141" w:rsidRPr="00482ADB">
        <w:t xml:space="preserve">  It </w:t>
      </w:r>
      <w:r w:rsidR="00143B54">
        <w:t>should be</w:t>
      </w:r>
      <w:r w:rsidR="004A6141" w:rsidRPr="00482ADB">
        <w:t xml:space="preserve"> noted that these programs have now been merged under the</w:t>
      </w:r>
      <w:r w:rsidR="004A6141">
        <w:t xml:space="preserve"> Compliance Division.</w:t>
      </w:r>
    </w:p>
    <w:p w:rsidR="00F9439D" w:rsidRDefault="00A12263" w:rsidP="00F9439D">
      <w:pPr>
        <w:pStyle w:val="NormalNumbering"/>
        <w:numPr>
          <w:ilvl w:val="0"/>
          <w:numId w:val="4"/>
        </w:numPr>
        <w:ind w:left="0" w:firstLine="0"/>
      </w:pPr>
      <w:r>
        <w:t xml:space="preserve">Volumes </w:t>
      </w:r>
      <w:r w:rsidR="00A77CC7">
        <w:t>of international mail and car</w:t>
      </w:r>
      <w:r w:rsidR="00AD4B57">
        <w:t xml:space="preserve">go items </w:t>
      </w:r>
      <w:r>
        <w:t xml:space="preserve">are </w:t>
      </w:r>
      <w:r w:rsidR="00AD4B57">
        <w:t>likely to increase</w:t>
      </w:r>
      <w:r w:rsidR="00F22466">
        <w:t>,</w:t>
      </w:r>
      <w:r w:rsidR="00A77CC7">
        <w:t xml:space="preserve"> </w:t>
      </w:r>
      <w:r>
        <w:t xml:space="preserve">as is </w:t>
      </w:r>
      <w:r w:rsidR="00A77CC7">
        <w:t>availability of prohibited or high biosecurity risk</w:t>
      </w:r>
      <w:r w:rsidR="00F22466">
        <w:t xml:space="preserve"> items</w:t>
      </w:r>
      <w:r w:rsidR="00A77CC7">
        <w:t xml:space="preserve">, </w:t>
      </w:r>
      <w:r>
        <w:t xml:space="preserve">so </w:t>
      </w:r>
      <w:r w:rsidR="00A77CC7">
        <w:t xml:space="preserve">the department </w:t>
      </w:r>
      <w:r w:rsidR="00F22466">
        <w:t>must</w:t>
      </w:r>
      <w:r w:rsidR="00A77CC7">
        <w:t xml:space="preserve"> continue </w:t>
      </w:r>
      <w:r w:rsidR="00F22466">
        <w:t>to improve</w:t>
      </w:r>
      <w:r w:rsidR="00A77CC7">
        <w:t xml:space="preserve"> its systems to ensure that items of biosecurity concern are located and assessed effectively and efficiently.</w:t>
      </w:r>
    </w:p>
    <w:p w:rsidR="00615EA1" w:rsidRPr="00507822" w:rsidRDefault="00F620F1" w:rsidP="00F9439D">
      <w:pPr>
        <w:pStyle w:val="NormalNumbering"/>
        <w:numPr>
          <w:ilvl w:val="0"/>
          <w:numId w:val="4"/>
        </w:numPr>
        <w:ind w:left="0" w:firstLine="0"/>
      </w:pPr>
      <w:r w:rsidRPr="00507822">
        <w:t>The department should continue working with online businesses such as eBay</w:t>
      </w:r>
      <w:r w:rsidR="00280FFC">
        <w:t xml:space="preserve"> and Amazon</w:t>
      </w:r>
      <w:r w:rsidRPr="00507822">
        <w:t xml:space="preserve"> to increase online shoppers’ awareness of biosecurity risks when purchasing goods to be sent to Australia.  Overseas online sellers also should be made aware of Australia’s biosecurity requirements, where relevant and practicable.</w:t>
      </w:r>
      <w:r w:rsidR="00280FFC">
        <w:t xml:space="preserve">  The department’s efforts in proactively contacting overseas suppliers and monitoring sites for items of </w:t>
      </w:r>
      <w:proofErr w:type="gramStart"/>
      <w:r w:rsidR="00280FFC">
        <w:t>concern,</w:t>
      </w:r>
      <w:proofErr w:type="gramEnd"/>
      <w:r w:rsidR="00280FFC">
        <w:t xml:space="preserve"> are acknowledged. </w:t>
      </w:r>
    </w:p>
    <w:p w:rsidR="00615EA1" w:rsidRPr="004213E1" w:rsidRDefault="00AD4B57" w:rsidP="00F9439D">
      <w:pPr>
        <w:pStyle w:val="NormalNumbering"/>
        <w:numPr>
          <w:ilvl w:val="0"/>
          <w:numId w:val="4"/>
        </w:numPr>
        <w:ind w:left="0" w:firstLine="0"/>
      </w:pPr>
      <w:r w:rsidRPr="006B72DF">
        <w:t xml:space="preserve">The increase in volumes of international </w:t>
      </w:r>
      <w:r w:rsidR="006E1E48" w:rsidRPr="006B72DF">
        <w:t>mail and air cargo entering</w:t>
      </w:r>
      <w:r w:rsidR="00C70D76" w:rsidRPr="006B72DF">
        <w:t xml:space="preserve"> Australia, and the potential biosecurity risks associated with a significant proportion of these items, justifies </w:t>
      </w:r>
      <w:r w:rsidR="00C35F5C">
        <w:t xml:space="preserve">the department’s </w:t>
      </w:r>
      <w:r w:rsidR="00C70D76" w:rsidRPr="006B72DF">
        <w:t>ongoin</w:t>
      </w:r>
      <w:r w:rsidR="004E5A4C" w:rsidRPr="006B72DF">
        <w:t xml:space="preserve">g attention. </w:t>
      </w:r>
      <w:r w:rsidR="00C70D76" w:rsidRPr="006B72DF">
        <w:t>In general, the department is managing the risks app</w:t>
      </w:r>
      <w:r w:rsidR="004E5A4C" w:rsidRPr="006B72DF">
        <w:t>ropriate</w:t>
      </w:r>
      <w:r w:rsidR="00F22466">
        <w:t>ly</w:t>
      </w:r>
      <w:r w:rsidR="00C45609">
        <w:t xml:space="preserve"> but </w:t>
      </w:r>
      <w:r w:rsidR="00D2762C">
        <w:t xml:space="preserve">the recommendations </w:t>
      </w:r>
      <w:r w:rsidR="003870DB">
        <w:t xml:space="preserve">in this report </w:t>
      </w:r>
      <w:r w:rsidR="00D2762C">
        <w:t xml:space="preserve">reflect areas for possible </w:t>
      </w:r>
      <w:r w:rsidR="00C70D76" w:rsidRPr="004213E1">
        <w:t>improvement.</w:t>
      </w:r>
    </w:p>
    <w:p w:rsidR="003870DB" w:rsidRPr="004213E1" w:rsidRDefault="003870DB" w:rsidP="00F9439D">
      <w:pPr>
        <w:pStyle w:val="NormalNumbering"/>
        <w:numPr>
          <w:ilvl w:val="0"/>
          <w:numId w:val="4"/>
        </w:numPr>
        <w:ind w:left="0" w:firstLine="0"/>
      </w:pPr>
      <w:r w:rsidRPr="004213E1">
        <w:t xml:space="preserve">It is noted that the Australian National Audit Office has recently undertaken a separate performance audit in the department and the Australian Customs and Border Protection Service, </w:t>
      </w:r>
      <w:r w:rsidRPr="004213E1">
        <w:rPr>
          <w:i/>
        </w:rPr>
        <w:t>Screening of international mail</w:t>
      </w:r>
      <w:r w:rsidR="004213E1" w:rsidRPr="004213E1">
        <w:rPr>
          <w:i/>
        </w:rPr>
        <w:t xml:space="preserve"> </w:t>
      </w:r>
      <w:r w:rsidR="00620A4C" w:rsidRPr="004213E1">
        <w:t>(</w:t>
      </w:r>
      <w:r w:rsidR="00BE14D0" w:rsidRPr="004213E1">
        <w:t>ANAO 2014</w:t>
      </w:r>
      <w:r w:rsidR="00620A4C" w:rsidRPr="004213E1">
        <w:t>)</w:t>
      </w:r>
      <w:r w:rsidR="004213E1" w:rsidRPr="004213E1">
        <w:t>.</w:t>
      </w:r>
      <w:r w:rsidR="00620A4C" w:rsidRPr="004213E1">
        <w:t xml:space="preserve"> </w:t>
      </w:r>
      <w:r w:rsidR="004213E1" w:rsidRPr="004213E1">
        <w:t>While this IIGB report covers a broader range of pathways, related to online purchases, the ANAO report deals with screening of international mail in more detail.</w:t>
      </w:r>
    </w:p>
    <w:p w:rsidR="001D5D6F" w:rsidRDefault="00AC4515" w:rsidP="004315F2">
      <w:pPr>
        <w:pStyle w:val="Heading1"/>
      </w:pPr>
      <w:r>
        <w:br w:type="page"/>
      </w:r>
      <w:bookmarkStart w:id="26" w:name="_Toc375315631"/>
      <w:bookmarkStart w:id="27" w:name="_Toc376871899"/>
      <w:bookmarkStart w:id="28" w:name="_Toc413220600"/>
      <w:r w:rsidR="001D5D6F">
        <w:lastRenderedPageBreak/>
        <w:t>Recommendations</w:t>
      </w:r>
      <w:bookmarkEnd w:id="26"/>
      <w:bookmarkEnd w:id="27"/>
      <w:bookmarkEnd w:id="28"/>
    </w:p>
    <w:p w:rsidR="00335EA5" w:rsidRPr="00F95709" w:rsidRDefault="00335EA5" w:rsidP="00335EA5">
      <w:r w:rsidRPr="00F95709">
        <w:t xml:space="preserve">The full department response to the recommendations is at </w:t>
      </w:r>
      <w:r>
        <w:t>A</w:t>
      </w:r>
      <w:r w:rsidRPr="00F95709">
        <w:t>ppendix A.</w:t>
      </w:r>
    </w:p>
    <w:p w:rsidR="00221F64" w:rsidRPr="00221F64" w:rsidRDefault="00221F64" w:rsidP="00E438D0">
      <w:pPr>
        <w:spacing w:after="0" w:line="240" w:lineRule="auto"/>
        <w:ind w:left="142"/>
        <w:rPr>
          <w:b/>
        </w:rPr>
      </w:pPr>
      <w:r w:rsidRPr="00221F64">
        <w:rPr>
          <w:b/>
        </w:rPr>
        <w:t>Recommendation 1</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6237"/>
      </w:tblGrid>
      <w:tr w:rsidR="00C11AED" w:rsidRPr="00864127">
        <w:tc>
          <w:tcPr>
            <w:tcW w:w="2127" w:type="dxa"/>
            <w:shd w:val="clear" w:color="auto" w:fill="FFFFFF"/>
          </w:tcPr>
          <w:p w:rsidR="00C11AED" w:rsidRPr="00864127" w:rsidRDefault="001367E4" w:rsidP="00E57D7C">
            <w:pPr>
              <w:ind w:left="34"/>
            </w:pPr>
            <w:r>
              <w:t>paragraph 3.</w:t>
            </w:r>
            <w:r w:rsidR="00E57D7C">
              <w:t>26</w:t>
            </w:r>
          </w:p>
        </w:tc>
        <w:tc>
          <w:tcPr>
            <w:tcW w:w="6237" w:type="dxa"/>
          </w:tcPr>
          <w:p w:rsidR="001367E4" w:rsidRDefault="001367E4" w:rsidP="001367E4">
            <w:pPr>
              <w:pStyle w:val="FindingsNormalNumbering"/>
              <w:numPr>
                <w:ilvl w:val="0"/>
                <w:numId w:val="0"/>
              </w:numPr>
            </w:pPr>
            <w:r>
              <w:t xml:space="preserve">The department should </w:t>
            </w:r>
            <w:r w:rsidR="00CD6817">
              <w:t xml:space="preserve">regularly </w:t>
            </w:r>
            <w:r>
              <w:t xml:space="preserve">review and </w:t>
            </w:r>
            <w:r w:rsidR="007277F8">
              <w:t xml:space="preserve">where necessary </w:t>
            </w:r>
            <w:r>
              <w:t xml:space="preserve">update national profiles for international mail </w:t>
            </w:r>
            <w:r w:rsidR="00CD6817">
              <w:t xml:space="preserve">for </w:t>
            </w:r>
            <w:r>
              <w:t>curren</w:t>
            </w:r>
            <w:r w:rsidR="00CD6817">
              <w:t xml:space="preserve">cy, </w:t>
            </w:r>
            <w:r>
              <w:t>efficien</w:t>
            </w:r>
            <w:r w:rsidR="00CD6817">
              <w:t>c</w:t>
            </w:r>
            <w:r>
              <w:t>y and effective</w:t>
            </w:r>
            <w:r w:rsidR="00CD6817">
              <w:t>ness</w:t>
            </w:r>
            <w:r>
              <w:t>.</w:t>
            </w:r>
          </w:p>
          <w:p w:rsidR="001A25BD" w:rsidRDefault="001367E4">
            <w:pPr>
              <w:pStyle w:val="FindingsNormalNumbering"/>
              <w:numPr>
                <w:ilvl w:val="0"/>
                <w:numId w:val="0"/>
              </w:numPr>
              <w:spacing w:line="240" w:lineRule="auto"/>
              <w:rPr>
                <w:b/>
              </w:rPr>
            </w:pPr>
            <w:r w:rsidRPr="00D82EFE">
              <w:rPr>
                <w:b/>
              </w:rPr>
              <w:t xml:space="preserve">Department’s response: </w:t>
            </w:r>
            <w:r w:rsidR="00DB2E82" w:rsidRPr="00DB2E82">
              <w:t>Agreed</w:t>
            </w:r>
          </w:p>
        </w:tc>
      </w:tr>
    </w:tbl>
    <w:p w:rsidR="005762F6" w:rsidRDefault="005762F6" w:rsidP="005762F6">
      <w:pPr>
        <w:spacing w:before="0" w:after="0" w:line="240" w:lineRule="auto"/>
        <w:ind w:left="142"/>
        <w:rPr>
          <w:b/>
        </w:rPr>
      </w:pPr>
    </w:p>
    <w:p w:rsidR="00221F64" w:rsidRPr="00221F64" w:rsidRDefault="00221F64" w:rsidP="00E438D0">
      <w:pPr>
        <w:spacing w:after="0" w:line="240" w:lineRule="auto"/>
        <w:ind w:left="142"/>
        <w:rPr>
          <w:b/>
        </w:rPr>
      </w:pPr>
      <w:r w:rsidRPr="00221F64">
        <w:rPr>
          <w:b/>
        </w:rPr>
        <w:t>Recommendation 2</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6237"/>
      </w:tblGrid>
      <w:tr w:rsidR="001D5D6F" w:rsidRPr="00864127">
        <w:tc>
          <w:tcPr>
            <w:tcW w:w="2127" w:type="dxa"/>
            <w:shd w:val="clear" w:color="auto" w:fill="FFFFFF"/>
          </w:tcPr>
          <w:p w:rsidR="001D5D6F" w:rsidRPr="00864127" w:rsidRDefault="001367E4" w:rsidP="007E220B">
            <w:pPr>
              <w:ind w:left="34"/>
              <w:rPr>
                <w:b/>
              </w:rPr>
            </w:pPr>
            <w:r>
              <w:t>paragraph 3.</w:t>
            </w:r>
            <w:r w:rsidR="007E220B">
              <w:t>32</w:t>
            </w:r>
          </w:p>
        </w:tc>
        <w:tc>
          <w:tcPr>
            <w:tcW w:w="6237" w:type="dxa"/>
          </w:tcPr>
          <w:p w:rsidR="00390648" w:rsidRDefault="00390648" w:rsidP="00390648">
            <w:pPr>
              <w:pStyle w:val="FindingsNormalNumbering"/>
              <w:numPr>
                <w:ilvl w:val="0"/>
                <w:numId w:val="0"/>
              </w:numPr>
            </w:pPr>
            <w:r>
              <w:t xml:space="preserve">The department should grant relevant Mail Program </w:t>
            </w:r>
            <w:r w:rsidR="00105DE3">
              <w:t xml:space="preserve">staff </w:t>
            </w:r>
            <w:r>
              <w:t>in Canberra and regions</w:t>
            </w:r>
            <w:r w:rsidR="00C55ED6">
              <w:t>,</w:t>
            </w:r>
            <w:r>
              <w:t xml:space="preserve"> access to appropriate internet sites such as online shopping sites</w:t>
            </w:r>
            <w:r w:rsidR="00C55ED6">
              <w:t>,</w:t>
            </w:r>
            <w:r>
              <w:t xml:space="preserve"> </w:t>
            </w:r>
            <w:r w:rsidR="00105DE3">
              <w:t>for work use</w:t>
            </w:r>
            <w:r>
              <w:rPr>
                <w:rFonts w:cs="Calibri"/>
                <w:color w:val="000000"/>
              </w:rPr>
              <w:t>.</w:t>
            </w:r>
          </w:p>
          <w:p w:rsidR="001A25BD" w:rsidRDefault="001367E4">
            <w:pPr>
              <w:pStyle w:val="FindingsNormalNumbering"/>
              <w:numPr>
                <w:ilvl w:val="0"/>
                <w:numId w:val="0"/>
              </w:numPr>
              <w:spacing w:line="240" w:lineRule="auto"/>
              <w:rPr>
                <w:b/>
              </w:rPr>
            </w:pPr>
            <w:r w:rsidRPr="00D82EFE">
              <w:rPr>
                <w:b/>
              </w:rPr>
              <w:t xml:space="preserve">Department’s response: </w:t>
            </w:r>
            <w:r w:rsidR="00DB2E82" w:rsidRPr="00DB2E82">
              <w:t>Agreed</w:t>
            </w:r>
          </w:p>
        </w:tc>
      </w:tr>
    </w:tbl>
    <w:p w:rsidR="005762F6" w:rsidRDefault="005762F6" w:rsidP="005762F6">
      <w:pPr>
        <w:spacing w:before="0" w:after="0" w:line="240" w:lineRule="auto"/>
        <w:ind w:left="142"/>
        <w:rPr>
          <w:b/>
        </w:rPr>
      </w:pPr>
    </w:p>
    <w:p w:rsidR="00D046F0" w:rsidRPr="00221F64" w:rsidRDefault="0013451C" w:rsidP="00D046F0">
      <w:pPr>
        <w:spacing w:after="0" w:line="240" w:lineRule="auto"/>
        <w:ind w:left="142"/>
        <w:rPr>
          <w:b/>
        </w:rPr>
      </w:pPr>
      <w:r>
        <w:rPr>
          <w:b/>
        </w:rPr>
        <w:t>Recommendation 3</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6237"/>
      </w:tblGrid>
      <w:tr w:rsidR="00D046F0" w:rsidRPr="00864127" w:rsidTr="00D046F0">
        <w:tc>
          <w:tcPr>
            <w:tcW w:w="2127" w:type="dxa"/>
          </w:tcPr>
          <w:p w:rsidR="00D046F0" w:rsidRPr="00864127" w:rsidRDefault="001367E4" w:rsidP="00D37797">
            <w:pPr>
              <w:ind w:left="34"/>
            </w:pPr>
            <w:r>
              <w:t>paragraph 3.</w:t>
            </w:r>
            <w:r w:rsidR="00D37797">
              <w:t>39</w:t>
            </w:r>
          </w:p>
        </w:tc>
        <w:tc>
          <w:tcPr>
            <w:tcW w:w="6237" w:type="dxa"/>
          </w:tcPr>
          <w:p w:rsidR="001367E4" w:rsidRDefault="001367E4" w:rsidP="001367E4">
            <w:pPr>
              <w:pStyle w:val="FindingsNormalNumbering"/>
              <w:numPr>
                <w:ilvl w:val="0"/>
                <w:numId w:val="0"/>
              </w:numPr>
            </w:pPr>
            <w:r>
              <w:t xml:space="preserve">The department should </w:t>
            </w:r>
            <w:r w:rsidR="00415B24">
              <w:t xml:space="preserve">ensure its </w:t>
            </w:r>
            <w:r w:rsidR="000F0F70">
              <w:t>monthly performance reports</w:t>
            </w:r>
            <w:r>
              <w:t xml:space="preserve"> </w:t>
            </w:r>
            <w:r w:rsidR="000F0F70">
              <w:t xml:space="preserve">to mail centre managers </w:t>
            </w:r>
            <w:r w:rsidR="00415B24">
              <w:t xml:space="preserve">include </w:t>
            </w:r>
            <w:r w:rsidR="00620A4C">
              <w:t xml:space="preserve">simplified </w:t>
            </w:r>
            <w:r w:rsidR="000F0F70">
              <w:t xml:space="preserve">relevant information to improve service delivery. For example, </w:t>
            </w:r>
            <w:r w:rsidR="00AB5F68">
              <w:t>reports</w:t>
            </w:r>
            <w:r w:rsidR="00415B24">
              <w:t xml:space="preserve"> should identify </w:t>
            </w:r>
            <w:r w:rsidR="00620A4C">
              <w:t>processes</w:t>
            </w:r>
            <w:r w:rsidR="000F0F70">
              <w:t xml:space="preserve"> performing satisfactor</w:t>
            </w:r>
            <w:r w:rsidR="00F60E64">
              <w:t>il</w:t>
            </w:r>
            <w:r w:rsidR="000F0F70">
              <w:t xml:space="preserve">y and </w:t>
            </w:r>
            <w:r w:rsidR="009B3059">
              <w:t xml:space="preserve">any </w:t>
            </w:r>
            <w:r w:rsidR="000F0F70">
              <w:t xml:space="preserve">areas </w:t>
            </w:r>
            <w:r w:rsidR="00415B24">
              <w:t>for</w:t>
            </w:r>
            <w:r w:rsidR="000F0F70">
              <w:t xml:space="preserve"> improvement.</w:t>
            </w:r>
          </w:p>
          <w:p w:rsidR="001A25BD" w:rsidRDefault="001367E4">
            <w:pPr>
              <w:pStyle w:val="FindingsNormalNumbering"/>
              <w:numPr>
                <w:ilvl w:val="0"/>
                <w:numId w:val="0"/>
              </w:numPr>
              <w:tabs>
                <w:tab w:val="left" w:pos="3945"/>
              </w:tabs>
              <w:spacing w:line="240" w:lineRule="auto"/>
              <w:rPr>
                <w:b/>
              </w:rPr>
            </w:pPr>
            <w:r w:rsidRPr="00D82EFE">
              <w:rPr>
                <w:b/>
              </w:rPr>
              <w:t xml:space="preserve">Department’s response: </w:t>
            </w:r>
            <w:r w:rsidR="00DB2E82" w:rsidRPr="00DB2E82">
              <w:t>Agreed</w:t>
            </w:r>
          </w:p>
        </w:tc>
      </w:tr>
    </w:tbl>
    <w:p w:rsidR="005762F6" w:rsidRDefault="005762F6" w:rsidP="005762F6">
      <w:pPr>
        <w:spacing w:before="0" w:after="0" w:line="240" w:lineRule="auto"/>
        <w:ind w:left="142"/>
        <w:rPr>
          <w:b/>
        </w:rPr>
      </w:pPr>
    </w:p>
    <w:p w:rsidR="00E438D0" w:rsidRPr="00221F64" w:rsidRDefault="0013451C" w:rsidP="00E438D0">
      <w:pPr>
        <w:spacing w:after="0" w:line="240" w:lineRule="auto"/>
        <w:ind w:left="142"/>
        <w:rPr>
          <w:b/>
        </w:rPr>
      </w:pPr>
      <w:r>
        <w:rPr>
          <w:b/>
        </w:rPr>
        <w:t>Recommendation 4</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6237"/>
      </w:tblGrid>
      <w:tr w:rsidR="001D5D6F" w:rsidRPr="00864127">
        <w:tc>
          <w:tcPr>
            <w:tcW w:w="2127" w:type="dxa"/>
          </w:tcPr>
          <w:p w:rsidR="001D5D6F" w:rsidRPr="00864127" w:rsidRDefault="00D52C6A" w:rsidP="00E438D0">
            <w:pPr>
              <w:ind w:left="34"/>
            </w:pPr>
            <w:r>
              <w:t>paragraph 4.</w:t>
            </w:r>
            <w:r w:rsidR="00435122">
              <w:t>2</w:t>
            </w:r>
            <w:r w:rsidR="00D37797">
              <w:t>5</w:t>
            </w:r>
          </w:p>
        </w:tc>
        <w:tc>
          <w:tcPr>
            <w:tcW w:w="6237" w:type="dxa"/>
          </w:tcPr>
          <w:p w:rsidR="00835D56" w:rsidRPr="0038604E" w:rsidRDefault="00415B24" w:rsidP="00835D56">
            <w:pPr>
              <w:pStyle w:val="FindingsNormalNumbering"/>
              <w:numPr>
                <w:ilvl w:val="0"/>
                <w:numId w:val="0"/>
              </w:numPr>
            </w:pPr>
            <w:r>
              <w:t xml:space="preserve">An independent department officer without privileged access should review Integrated Cargo System </w:t>
            </w:r>
            <w:r w:rsidR="00835D56">
              <w:t xml:space="preserve">reports regularly to ensure </w:t>
            </w:r>
            <w:r>
              <w:t xml:space="preserve">all profile amendments are </w:t>
            </w:r>
            <w:r w:rsidR="00835D56">
              <w:t>authorised and amended</w:t>
            </w:r>
            <w:r>
              <w:t xml:space="preserve"> correctly</w:t>
            </w:r>
            <w:r w:rsidR="00835D56">
              <w:t>.</w:t>
            </w:r>
          </w:p>
          <w:p w:rsidR="001A25BD" w:rsidRDefault="00D52C6A">
            <w:pPr>
              <w:pStyle w:val="FindingsNormalNumbering"/>
              <w:numPr>
                <w:ilvl w:val="0"/>
                <w:numId w:val="0"/>
              </w:numPr>
              <w:spacing w:line="240" w:lineRule="auto"/>
              <w:rPr>
                <w:b/>
              </w:rPr>
            </w:pPr>
            <w:r w:rsidRPr="00D82EFE">
              <w:rPr>
                <w:b/>
              </w:rPr>
              <w:t xml:space="preserve">Department’s response: </w:t>
            </w:r>
            <w:r w:rsidR="00DB2E82" w:rsidRPr="00DB2E82">
              <w:t>Agreed</w:t>
            </w:r>
          </w:p>
        </w:tc>
      </w:tr>
    </w:tbl>
    <w:p w:rsidR="005762F6" w:rsidRDefault="005762F6" w:rsidP="005762F6">
      <w:pPr>
        <w:spacing w:before="0" w:after="0" w:line="240" w:lineRule="auto"/>
        <w:ind w:left="142"/>
        <w:rPr>
          <w:b/>
        </w:rPr>
      </w:pPr>
    </w:p>
    <w:p w:rsidR="00D52C6A" w:rsidRPr="00221F64" w:rsidRDefault="0013451C" w:rsidP="00D52C6A">
      <w:pPr>
        <w:spacing w:after="0" w:line="240" w:lineRule="auto"/>
        <w:ind w:left="142"/>
        <w:rPr>
          <w:b/>
        </w:rPr>
      </w:pPr>
      <w:r>
        <w:rPr>
          <w:b/>
        </w:rPr>
        <w:t>Recommendation 5</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6237"/>
      </w:tblGrid>
      <w:tr w:rsidR="00D52C6A" w:rsidRPr="00864127" w:rsidTr="00D52C6A">
        <w:tc>
          <w:tcPr>
            <w:tcW w:w="2127" w:type="dxa"/>
          </w:tcPr>
          <w:p w:rsidR="00D52C6A" w:rsidRPr="00864127" w:rsidRDefault="00D52C6A" w:rsidP="00E57D7C">
            <w:pPr>
              <w:ind w:left="34"/>
            </w:pPr>
            <w:r>
              <w:t>paragraph 4.</w:t>
            </w:r>
            <w:r w:rsidR="00E57D7C">
              <w:t>2</w:t>
            </w:r>
            <w:r w:rsidR="00D37797">
              <w:t>7</w:t>
            </w:r>
          </w:p>
        </w:tc>
        <w:tc>
          <w:tcPr>
            <w:tcW w:w="6237" w:type="dxa"/>
          </w:tcPr>
          <w:p w:rsidR="00D52C6A" w:rsidRPr="0038604E" w:rsidRDefault="00D52C6A" w:rsidP="00D52C6A">
            <w:pPr>
              <w:pStyle w:val="FindingsNormalNumbering"/>
              <w:numPr>
                <w:ilvl w:val="0"/>
                <w:numId w:val="0"/>
              </w:numPr>
            </w:pPr>
            <w:r>
              <w:t xml:space="preserve">The department should regularly review </w:t>
            </w:r>
            <w:r w:rsidR="007E5460">
              <w:t>officers’ access to</w:t>
            </w:r>
            <w:r w:rsidR="00A5501D">
              <w:t xml:space="preserve"> the</w:t>
            </w:r>
            <w:r w:rsidR="007E5460">
              <w:t xml:space="preserve"> </w:t>
            </w:r>
            <w:r w:rsidR="006E490C">
              <w:t>Integrated Cargo System</w:t>
            </w:r>
            <w:r>
              <w:t>, particular</w:t>
            </w:r>
            <w:r w:rsidR="007E5460">
              <w:t>ly</w:t>
            </w:r>
            <w:r>
              <w:t xml:space="preserve"> </w:t>
            </w:r>
            <w:r w:rsidR="006E490C">
              <w:t xml:space="preserve">for </w:t>
            </w:r>
            <w:r>
              <w:t>privileged access to amend or deactiv</w:t>
            </w:r>
            <w:r w:rsidR="00E323B8">
              <w:t>ate SAC profiles</w:t>
            </w:r>
            <w:r w:rsidR="007E5460">
              <w:t>,</w:t>
            </w:r>
            <w:r w:rsidR="00E323B8">
              <w:t xml:space="preserve"> to ensure </w:t>
            </w:r>
            <w:r w:rsidR="00C55ED6">
              <w:t>such access</w:t>
            </w:r>
            <w:r>
              <w:t xml:space="preserve"> is necessary.</w:t>
            </w:r>
          </w:p>
          <w:p w:rsidR="001A25BD" w:rsidRDefault="00D52C6A">
            <w:pPr>
              <w:pStyle w:val="FindingsNormalNumbering"/>
              <w:numPr>
                <w:ilvl w:val="0"/>
                <w:numId w:val="0"/>
              </w:numPr>
              <w:spacing w:line="240" w:lineRule="auto"/>
              <w:rPr>
                <w:b/>
              </w:rPr>
            </w:pPr>
            <w:r w:rsidRPr="00D82EFE">
              <w:rPr>
                <w:b/>
              </w:rPr>
              <w:t xml:space="preserve">Department’s response: </w:t>
            </w:r>
            <w:r w:rsidR="00DB2E82" w:rsidRPr="00DB2E82">
              <w:t>Agreed</w:t>
            </w:r>
          </w:p>
        </w:tc>
      </w:tr>
    </w:tbl>
    <w:p w:rsidR="00A7174A" w:rsidRDefault="00A7174A" w:rsidP="00E323B8">
      <w:pPr>
        <w:spacing w:after="0" w:line="240" w:lineRule="auto"/>
        <w:ind w:left="142"/>
        <w:rPr>
          <w:b/>
        </w:rPr>
      </w:pPr>
    </w:p>
    <w:p w:rsidR="00A7174A" w:rsidRDefault="00A7174A">
      <w:pPr>
        <w:spacing w:before="0" w:after="0" w:line="240" w:lineRule="auto"/>
        <w:rPr>
          <w:b/>
        </w:rPr>
      </w:pPr>
      <w:r>
        <w:rPr>
          <w:b/>
        </w:rPr>
        <w:br w:type="page"/>
      </w:r>
    </w:p>
    <w:p w:rsidR="00335EA5" w:rsidRDefault="00335EA5" w:rsidP="00E323B8">
      <w:pPr>
        <w:spacing w:after="0" w:line="240" w:lineRule="auto"/>
        <w:ind w:left="142"/>
        <w:rPr>
          <w:b/>
        </w:rPr>
      </w:pPr>
    </w:p>
    <w:p w:rsidR="00E323B8" w:rsidRPr="00221F64" w:rsidRDefault="0013451C" w:rsidP="00E323B8">
      <w:pPr>
        <w:spacing w:after="0" w:line="240" w:lineRule="auto"/>
        <w:ind w:left="142"/>
        <w:rPr>
          <w:b/>
        </w:rPr>
      </w:pPr>
      <w:r>
        <w:rPr>
          <w:b/>
        </w:rPr>
        <w:t>Recommendation 6</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6237"/>
      </w:tblGrid>
      <w:tr w:rsidR="00E323B8" w:rsidRPr="00864127" w:rsidTr="00E323B8">
        <w:tc>
          <w:tcPr>
            <w:tcW w:w="2127" w:type="dxa"/>
          </w:tcPr>
          <w:p w:rsidR="00E323B8" w:rsidRPr="0013742F" w:rsidRDefault="006C4FA0" w:rsidP="00E57D7C">
            <w:pPr>
              <w:ind w:left="34"/>
            </w:pPr>
            <w:r>
              <w:t>paragraph 4.32</w:t>
            </w:r>
          </w:p>
        </w:tc>
        <w:tc>
          <w:tcPr>
            <w:tcW w:w="6237" w:type="dxa"/>
          </w:tcPr>
          <w:p w:rsidR="00E94BD4" w:rsidRPr="0013742F" w:rsidRDefault="006C4FA0" w:rsidP="00E94BD4">
            <w:pPr>
              <w:pStyle w:val="FindingsNormalNumbering"/>
              <w:numPr>
                <w:ilvl w:val="0"/>
                <w:numId w:val="0"/>
              </w:numPr>
            </w:pPr>
            <w:r>
              <w:t>The department should ensure that all regions perform free line surveillance activities regularly to determine if the department’s profiles and assessment and screening techniques are efficient and effective.</w:t>
            </w:r>
          </w:p>
          <w:p w:rsidR="001A25BD" w:rsidRPr="001A25BD" w:rsidRDefault="006C4FA0">
            <w:pPr>
              <w:pStyle w:val="FindingsNormalNumbering"/>
              <w:numPr>
                <w:ilvl w:val="0"/>
                <w:numId w:val="0"/>
              </w:numPr>
              <w:spacing w:line="240" w:lineRule="auto"/>
            </w:pPr>
            <w:r>
              <w:rPr>
                <w:b/>
              </w:rPr>
              <w:t xml:space="preserve">Department’s response: </w:t>
            </w:r>
            <w:r w:rsidR="00DB2E82" w:rsidRPr="00DB2E82">
              <w:t>Agreed</w:t>
            </w:r>
          </w:p>
        </w:tc>
      </w:tr>
    </w:tbl>
    <w:p w:rsidR="006B2DFF" w:rsidRDefault="006B2DFF" w:rsidP="00E438D0">
      <w:pPr>
        <w:pStyle w:val="FindingsNormalNumbering"/>
        <w:numPr>
          <w:ilvl w:val="0"/>
          <w:numId w:val="0"/>
        </w:numPr>
        <w:shd w:val="clear" w:color="auto" w:fill="FFFFFF"/>
        <w:spacing w:line="240" w:lineRule="auto"/>
      </w:pPr>
    </w:p>
    <w:p w:rsidR="009D7B6A" w:rsidRDefault="009D7B6A" w:rsidP="00E438D0">
      <w:pPr>
        <w:pStyle w:val="FindingsNormalNumbering"/>
        <w:numPr>
          <w:ilvl w:val="0"/>
          <w:numId w:val="0"/>
        </w:numPr>
        <w:shd w:val="clear" w:color="auto" w:fill="FFFFFF"/>
        <w:spacing w:line="240" w:lineRule="auto"/>
      </w:pPr>
    </w:p>
    <w:p w:rsidR="00F33CD9" w:rsidRDefault="00F33CD9" w:rsidP="00E438D0">
      <w:pPr>
        <w:pStyle w:val="FindingsNormalNumbering"/>
        <w:numPr>
          <w:ilvl w:val="0"/>
          <w:numId w:val="0"/>
        </w:numPr>
        <w:shd w:val="clear" w:color="auto" w:fill="FFFFFF"/>
        <w:spacing w:line="240" w:lineRule="auto"/>
      </w:pPr>
    </w:p>
    <w:p w:rsidR="005762F6" w:rsidRDefault="005762F6" w:rsidP="00E438D0">
      <w:pPr>
        <w:pStyle w:val="FindingsNormalNumbering"/>
        <w:numPr>
          <w:ilvl w:val="0"/>
          <w:numId w:val="0"/>
        </w:numPr>
        <w:shd w:val="clear" w:color="auto" w:fill="FFFFFF"/>
        <w:spacing w:line="240" w:lineRule="auto"/>
      </w:pPr>
    </w:p>
    <w:p w:rsidR="005762F6" w:rsidRDefault="005762F6" w:rsidP="00E438D0">
      <w:pPr>
        <w:pStyle w:val="FindingsNormalNumbering"/>
        <w:numPr>
          <w:ilvl w:val="0"/>
          <w:numId w:val="0"/>
        </w:numPr>
        <w:shd w:val="clear" w:color="auto" w:fill="FFFFFF"/>
        <w:spacing w:line="240" w:lineRule="auto"/>
      </w:pPr>
    </w:p>
    <w:p w:rsidR="00F33CD9" w:rsidRDefault="00F33CD9" w:rsidP="00E438D0">
      <w:pPr>
        <w:pStyle w:val="FindingsNormalNumbering"/>
        <w:numPr>
          <w:ilvl w:val="0"/>
          <w:numId w:val="0"/>
        </w:numPr>
        <w:shd w:val="clear" w:color="auto" w:fill="FFFFFF"/>
        <w:spacing w:line="240" w:lineRule="auto"/>
      </w:pPr>
    </w:p>
    <w:p w:rsidR="00F33CD9" w:rsidRDefault="00F33CD9" w:rsidP="00E438D0">
      <w:pPr>
        <w:pStyle w:val="FindingsNormalNumbering"/>
        <w:numPr>
          <w:ilvl w:val="0"/>
          <w:numId w:val="0"/>
        </w:numPr>
        <w:shd w:val="clear" w:color="auto" w:fill="FFFFFF"/>
        <w:spacing w:line="240" w:lineRule="auto"/>
      </w:pPr>
    </w:p>
    <w:tbl>
      <w:tblPr>
        <w:tblW w:w="0" w:type="auto"/>
        <w:tblInd w:w="108" w:type="dxa"/>
        <w:tblLook w:val="01E0"/>
      </w:tblPr>
      <w:tblGrid>
        <w:gridCol w:w="5280"/>
      </w:tblGrid>
      <w:tr w:rsidR="00B00E96" w:rsidRPr="00864127">
        <w:tc>
          <w:tcPr>
            <w:tcW w:w="5280" w:type="dxa"/>
            <w:tcBorders>
              <w:top w:val="single" w:sz="4" w:space="0" w:color="auto"/>
            </w:tcBorders>
            <w:vAlign w:val="center"/>
          </w:tcPr>
          <w:p w:rsidR="00B00E96" w:rsidRPr="00864127" w:rsidRDefault="006B2DFF" w:rsidP="00F152E3">
            <w:r>
              <w:t>D</w:t>
            </w:r>
            <w:r w:rsidR="00F35FC5" w:rsidRPr="00864127">
              <w:t>r Michael Bond</w:t>
            </w:r>
            <w:r w:rsidR="00384A23" w:rsidRPr="00864127">
              <w:br/>
              <w:t>Interim Inspector-</w:t>
            </w:r>
            <w:r w:rsidR="00E438D0" w:rsidRPr="00864127">
              <w:t>General of Biosecurity</w:t>
            </w:r>
            <w:r w:rsidR="00E438D0" w:rsidRPr="00864127">
              <w:br/>
            </w:r>
            <w:r w:rsidR="00DB2E82" w:rsidRPr="00DB2E82">
              <w:t>4</w:t>
            </w:r>
            <w:r w:rsidR="006C4FA0" w:rsidRPr="00F152E3">
              <w:t xml:space="preserve"> March 2015</w:t>
            </w:r>
          </w:p>
        </w:tc>
      </w:tr>
    </w:tbl>
    <w:p w:rsidR="005762F6" w:rsidRDefault="005762F6" w:rsidP="00334A4C">
      <w:pPr>
        <w:rPr>
          <w:b/>
        </w:rPr>
      </w:pPr>
    </w:p>
    <w:p w:rsidR="00697B6D" w:rsidRDefault="00E94BD4" w:rsidP="00334A4C">
      <w:r w:rsidRPr="00541DCF">
        <w:rPr>
          <w:b/>
        </w:rPr>
        <w:t>Acknowledgement:</w:t>
      </w:r>
      <w:r>
        <w:t xml:space="preserve"> </w:t>
      </w:r>
      <w:r w:rsidRPr="00E94BD4">
        <w:t xml:space="preserve">The </w:t>
      </w:r>
      <w:r w:rsidR="00143B54">
        <w:t xml:space="preserve">initial </w:t>
      </w:r>
      <w:r>
        <w:t xml:space="preserve">planning and </w:t>
      </w:r>
      <w:r w:rsidR="00156100">
        <w:t xml:space="preserve">most </w:t>
      </w:r>
      <w:r w:rsidRPr="00E94BD4">
        <w:t xml:space="preserve">fieldwork </w:t>
      </w:r>
      <w:r>
        <w:t>for</w:t>
      </w:r>
      <w:r w:rsidRPr="00E94BD4">
        <w:t xml:space="preserve"> this audit were undertaken under the supervision of the previous </w:t>
      </w:r>
      <w:r w:rsidRPr="003E5815">
        <w:t>IIGB</w:t>
      </w:r>
      <w:r w:rsidRPr="00E94BD4">
        <w:t>, Dr Kevin Dunn</w:t>
      </w:r>
      <w:r w:rsidR="00F60E64">
        <w:t>.</w:t>
      </w:r>
      <w:r w:rsidR="008025A9">
        <w:t xml:space="preserve"> </w:t>
      </w:r>
    </w:p>
    <w:p w:rsidR="00334A4C" w:rsidRDefault="00697B6D" w:rsidP="00334A4C">
      <w:r>
        <w:t>This audit was delayed due to more urgent operational priorities</w:t>
      </w:r>
      <w:r w:rsidR="00653CE9">
        <w:t xml:space="preserve"> in 2013</w:t>
      </w:r>
      <w:r w:rsidR="00035C74">
        <w:t xml:space="preserve">, together with the need to broaden the scope after the initial draft </w:t>
      </w:r>
      <w:r w:rsidR="00143B54">
        <w:t xml:space="preserve">report </w:t>
      </w:r>
      <w:r w:rsidR="00035C74">
        <w:t>had been prepared. R</w:t>
      </w:r>
      <w:r w:rsidR="00156100">
        <w:t>esponsibility for the content and recommendations of th</w:t>
      </w:r>
      <w:r w:rsidR="00035C74">
        <w:t>e final</w:t>
      </w:r>
      <w:r w:rsidR="00156100">
        <w:t xml:space="preserve"> report rests with the current </w:t>
      </w:r>
      <w:r w:rsidR="00156100" w:rsidRPr="003E5815">
        <w:t>IIGB</w:t>
      </w:r>
      <w:r w:rsidR="00156100">
        <w:t>.</w:t>
      </w:r>
    </w:p>
    <w:p w:rsidR="001E5DBD" w:rsidRPr="00E94BD4" w:rsidRDefault="00AC4515" w:rsidP="004315F2">
      <w:pPr>
        <w:pStyle w:val="Heading1"/>
        <w:rPr>
          <w:rFonts w:ascii="Calibri" w:eastAsia="PMingLiU" w:hAnsi="Calibri"/>
          <w:b w:val="0"/>
          <w:bCs w:val="0"/>
          <w:sz w:val="22"/>
          <w:szCs w:val="22"/>
        </w:rPr>
      </w:pPr>
      <w:r>
        <w:br w:type="page"/>
      </w:r>
      <w:bookmarkStart w:id="29" w:name="_Toc375315632"/>
      <w:bookmarkStart w:id="30" w:name="_Toc376871900"/>
      <w:bookmarkStart w:id="31" w:name="_Toc413220601"/>
      <w:r w:rsidR="00727FF9">
        <w:lastRenderedPageBreak/>
        <w:t>Introduction</w:t>
      </w:r>
      <w:bookmarkEnd w:id="29"/>
      <w:bookmarkEnd w:id="30"/>
      <w:bookmarkEnd w:id="31"/>
    </w:p>
    <w:p w:rsidR="00EE13AD" w:rsidRPr="004315F2" w:rsidRDefault="00EE13AD" w:rsidP="00C02F46">
      <w:pPr>
        <w:pStyle w:val="NumberedHeading2"/>
        <w:numPr>
          <w:ilvl w:val="0"/>
          <w:numId w:val="9"/>
        </w:numPr>
        <w:spacing w:after="120"/>
        <w:ind w:hanging="720"/>
      </w:pPr>
      <w:bookmarkStart w:id="32" w:name="_Toc375315633"/>
      <w:bookmarkStart w:id="33" w:name="_Toc413220602"/>
      <w:r w:rsidRPr="004315F2">
        <w:t>Background</w:t>
      </w:r>
      <w:bookmarkEnd w:id="32"/>
      <w:bookmarkEnd w:id="33"/>
    </w:p>
    <w:p w:rsidR="00B113A5" w:rsidRDefault="00B113A5" w:rsidP="000D7E64">
      <w:pPr>
        <w:pStyle w:val="FindingsNormalNumbering"/>
        <w:ind w:left="0" w:firstLine="0"/>
      </w:pPr>
      <w:r w:rsidRPr="00B113A5">
        <w:t xml:space="preserve">Online shopping is a form of </w:t>
      </w:r>
      <w:hyperlink r:id="rId19" w:tooltip="Electronic commerce" w:history="1">
        <w:r w:rsidRPr="00B113A5">
          <w:t>electronic commerce</w:t>
        </w:r>
      </w:hyperlink>
      <w:r w:rsidRPr="00B113A5">
        <w:t xml:space="preserve"> </w:t>
      </w:r>
      <w:r w:rsidR="003A6935">
        <w:t>that</w:t>
      </w:r>
      <w:r w:rsidR="003A6935" w:rsidRPr="00B113A5">
        <w:t xml:space="preserve"> </w:t>
      </w:r>
      <w:r w:rsidRPr="00B113A5">
        <w:t xml:space="preserve">allows </w:t>
      </w:r>
      <w:r>
        <w:t>customers</w:t>
      </w:r>
      <w:r w:rsidRPr="00B113A5">
        <w:t xml:space="preserve"> to </w:t>
      </w:r>
      <w:r w:rsidR="003A6935">
        <w:t xml:space="preserve">use the internet to </w:t>
      </w:r>
      <w:r w:rsidR="0005474F">
        <w:t>purchase</w:t>
      </w:r>
      <w:r w:rsidRPr="00B113A5">
        <w:t xml:space="preserve"> goods </w:t>
      </w:r>
      <w:r w:rsidR="003F35A2">
        <w:t xml:space="preserve">or </w:t>
      </w:r>
      <w:hyperlink r:id="rId20" w:tooltip="Service (economics)" w:history="1">
        <w:r w:rsidRPr="00B113A5">
          <w:t>services</w:t>
        </w:r>
      </w:hyperlink>
      <w:r w:rsidRPr="00B113A5">
        <w:t xml:space="preserve"> </w:t>
      </w:r>
      <w:r w:rsidR="003A6935">
        <w:t xml:space="preserve">directly </w:t>
      </w:r>
      <w:r w:rsidRPr="00B113A5">
        <w:t xml:space="preserve">from a </w:t>
      </w:r>
      <w:r w:rsidR="005E3760">
        <w:t>seller</w:t>
      </w:r>
      <w:r w:rsidRPr="00B113A5">
        <w:t xml:space="preserve"> </w:t>
      </w:r>
      <w:r w:rsidR="003F35A2">
        <w:t xml:space="preserve">anywhere </w:t>
      </w:r>
      <w:r w:rsidR="0005474F">
        <w:t>in</w:t>
      </w:r>
      <w:r w:rsidR="003F35A2">
        <w:t xml:space="preserve"> world</w:t>
      </w:r>
      <w:r>
        <w:t>.</w:t>
      </w:r>
      <w:r w:rsidR="001409CB">
        <w:t xml:space="preserve"> Customers can shop anywhere,</w:t>
      </w:r>
      <w:r w:rsidR="003F35A2">
        <w:t xml:space="preserve"> at </w:t>
      </w:r>
      <w:r w:rsidR="001409CB">
        <w:t>any</w:t>
      </w:r>
      <w:r w:rsidR="00ED2CAE">
        <w:t xml:space="preserve"> </w:t>
      </w:r>
      <w:r w:rsidR="003F35A2">
        <w:t>time</w:t>
      </w:r>
      <w:r w:rsidR="00ED2CAE">
        <w:t>,</w:t>
      </w:r>
      <w:r w:rsidR="003F35A2">
        <w:t xml:space="preserve"> from a range of </w:t>
      </w:r>
      <w:r w:rsidR="007D5882">
        <w:t xml:space="preserve">electronic </w:t>
      </w:r>
      <w:r w:rsidR="003F35A2">
        <w:t>devices</w:t>
      </w:r>
      <w:r w:rsidR="00ED2CAE">
        <w:t xml:space="preserve"> and this</w:t>
      </w:r>
      <w:r w:rsidR="001409CB">
        <w:t xml:space="preserve"> has</w:t>
      </w:r>
      <w:r w:rsidR="003F35A2">
        <w:t xml:space="preserve"> increased the convenience of online shopping. Customers can browse</w:t>
      </w:r>
      <w:r w:rsidR="00CA6425">
        <w:t>/seek</w:t>
      </w:r>
      <w:r w:rsidR="003F35A2">
        <w:t xml:space="preserve"> multiple products across </w:t>
      </w:r>
      <w:r w:rsidR="0005474F">
        <w:t>several</w:t>
      </w:r>
      <w:r w:rsidR="003F35A2">
        <w:t xml:space="preserve"> </w:t>
      </w:r>
      <w:r w:rsidR="001409CB">
        <w:t>sellers</w:t>
      </w:r>
      <w:r w:rsidR="00ED2CAE">
        <w:t xml:space="preserve"> and</w:t>
      </w:r>
      <w:r w:rsidR="003F35A2">
        <w:t xml:space="preserve"> often find products for lower prices.</w:t>
      </w:r>
    </w:p>
    <w:p w:rsidR="008D71FE" w:rsidRDefault="008D71FE" w:rsidP="008D71FE">
      <w:pPr>
        <w:pStyle w:val="FindingsNormalNumbering"/>
        <w:ind w:left="0" w:firstLine="0"/>
      </w:pPr>
      <w:r>
        <w:t>The Australia Bureau of Statistics</w:t>
      </w:r>
      <w:r w:rsidRPr="008D71FE">
        <w:t xml:space="preserve"> </w:t>
      </w:r>
      <w:r>
        <w:t>report</w:t>
      </w:r>
      <w:r w:rsidR="007879E3">
        <w:t>s</w:t>
      </w:r>
      <w:r>
        <w:t xml:space="preserve"> that the number of households with access to the internet  continues to increase, </w:t>
      </w:r>
      <w:r w:rsidR="00CA6425">
        <w:t>totall</w:t>
      </w:r>
      <w:r>
        <w:t>ing 7.3 million hou</w:t>
      </w:r>
      <w:r w:rsidR="00D276A9">
        <w:t>seholds in 2012</w:t>
      </w:r>
      <w:r w:rsidR="007879E3">
        <w:t>–</w:t>
      </w:r>
      <w:r>
        <w:t>13 and representing 83 per</w:t>
      </w:r>
      <w:r w:rsidR="007879E3">
        <w:t xml:space="preserve"> </w:t>
      </w:r>
      <w:r>
        <w:t>cent of all househo</w:t>
      </w:r>
      <w:r w:rsidR="00D276A9">
        <w:t>lds (up from 79 per</w:t>
      </w:r>
      <w:r w:rsidR="007879E3">
        <w:t xml:space="preserve"> </w:t>
      </w:r>
      <w:r w:rsidR="00D276A9">
        <w:t>cent in 2010</w:t>
      </w:r>
      <w:r w:rsidR="007879E3">
        <w:t>–</w:t>
      </w:r>
      <w:r>
        <w:t>11). According to the Australian Bure</w:t>
      </w:r>
      <w:r w:rsidR="00E80EFA">
        <w:t>au</w:t>
      </w:r>
      <w:r w:rsidR="00BA7C4B" w:rsidRPr="00BA7C4B">
        <w:t xml:space="preserve"> </w:t>
      </w:r>
      <w:r w:rsidR="00BA7C4B">
        <w:t>of Statistics</w:t>
      </w:r>
      <w:r w:rsidR="00E80EFA">
        <w:t>, 76 per</w:t>
      </w:r>
      <w:r w:rsidR="007879E3">
        <w:t xml:space="preserve"> </w:t>
      </w:r>
      <w:r>
        <w:t xml:space="preserve">cent of </w:t>
      </w:r>
      <w:r w:rsidR="007879E3">
        <w:t xml:space="preserve">Australia’s </w:t>
      </w:r>
      <w:r>
        <w:t>15.4 million internet users made a purchase or order o</w:t>
      </w:r>
      <w:r w:rsidR="00D276A9">
        <w:t>ver the internet in 2012</w:t>
      </w:r>
      <w:r w:rsidR="007879E3">
        <w:t>–</w:t>
      </w:r>
      <w:r>
        <w:t>13</w:t>
      </w:r>
      <w:r w:rsidR="00D276A9">
        <w:t xml:space="preserve"> (ABS 2014)</w:t>
      </w:r>
      <w:r w:rsidR="007879E3">
        <w:t>.</w:t>
      </w:r>
    </w:p>
    <w:p w:rsidR="0005474F" w:rsidRDefault="007879E3" w:rsidP="0005474F">
      <w:pPr>
        <w:pStyle w:val="FindingsNormalNumbering"/>
        <w:ind w:left="0" w:firstLine="0"/>
      </w:pPr>
      <w:r>
        <w:t xml:space="preserve">Research in 2010 </w:t>
      </w:r>
      <w:r w:rsidR="0005474F">
        <w:t>show</w:t>
      </w:r>
      <w:r>
        <w:t>ed</w:t>
      </w:r>
      <w:r w:rsidR="0005474F">
        <w:t xml:space="preserve"> that</w:t>
      </w:r>
      <w:r w:rsidR="006E490C" w:rsidRPr="006E490C" w:rsidDel="007879E3">
        <w:t xml:space="preserve"> </w:t>
      </w:r>
      <w:r w:rsidR="006E490C">
        <w:t>there is widespread participation by Australians in aspects of the digital economy, with</w:t>
      </w:r>
      <w:r w:rsidR="0005474F">
        <w:t xml:space="preserve"> 88</w:t>
      </w:r>
      <w:r>
        <w:t> </w:t>
      </w:r>
      <w:r w:rsidR="0005474F">
        <w:t>per</w:t>
      </w:r>
      <w:r>
        <w:t> </w:t>
      </w:r>
      <w:r w:rsidR="0005474F">
        <w:t xml:space="preserve">cent of </w:t>
      </w:r>
      <w:r>
        <w:t xml:space="preserve">Australian </w:t>
      </w:r>
      <w:r w:rsidR="0005474F">
        <w:t xml:space="preserve">household internet users </w:t>
      </w:r>
      <w:r w:rsidR="00CA6425">
        <w:t>participat</w:t>
      </w:r>
      <w:r w:rsidR="00C55ED6">
        <w:t>ing</w:t>
      </w:r>
      <w:r w:rsidR="00CA6425">
        <w:t xml:space="preserve"> in</w:t>
      </w:r>
      <w:r w:rsidR="0005474F">
        <w:t xml:space="preserve"> one or more e-commerce activit</w:t>
      </w:r>
      <w:r w:rsidR="00CA6425">
        <w:t>ies</w:t>
      </w:r>
      <w:r w:rsidR="001F2A0F">
        <w:t xml:space="preserve"> in the </w:t>
      </w:r>
      <w:r>
        <w:t>previous</w:t>
      </w:r>
      <w:r w:rsidR="001F2A0F">
        <w:t xml:space="preserve"> six months </w:t>
      </w:r>
      <w:r w:rsidR="00D276A9">
        <w:t>(ACMA 2010)</w:t>
      </w:r>
      <w:r w:rsidR="00D82301">
        <w:t>.</w:t>
      </w:r>
    </w:p>
    <w:p w:rsidR="000D7E64" w:rsidRDefault="00B113A5" w:rsidP="00FF0FC8">
      <w:pPr>
        <w:pStyle w:val="FindingsNormalNumbering"/>
        <w:ind w:left="0" w:firstLine="0"/>
      </w:pPr>
      <w:r>
        <w:t>The Productivity Commission</w:t>
      </w:r>
      <w:r w:rsidR="00857B8A">
        <w:t xml:space="preserve">, in </w:t>
      </w:r>
      <w:r w:rsidR="00752C68" w:rsidRPr="00752C68">
        <w:rPr>
          <w:i/>
        </w:rPr>
        <w:t xml:space="preserve">Economic </w:t>
      </w:r>
      <w:r w:rsidR="00857B8A">
        <w:rPr>
          <w:i/>
        </w:rPr>
        <w:t>s</w:t>
      </w:r>
      <w:r w:rsidR="00752C68" w:rsidRPr="00752C68">
        <w:rPr>
          <w:i/>
        </w:rPr>
        <w:t xml:space="preserve">tructure and </w:t>
      </w:r>
      <w:r w:rsidR="00857B8A">
        <w:rPr>
          <w:i/>
        </w:rPr>
        <w:t>p</w:t>
      </w:r>
      <w:r w:rsidR="00752C68" w:rsidRPr="00752C68">
        <w:rPr>
          <w:i/>
        </w:rPr>
        <w:t xml:space="preserve">erformance of the Australian </w:t>
      </w:r>
      <w:r w:rsidR="00857B8A">
        <w:rPr>
          <w:i/>
        </w:rPr>
        <w:t>r</w:t>
      </w:r>
      <w:r w:rsidR="00752C68" w:rsidRPr="00752C68">
        <w:rPr>
          <w:i/>
        </w:rPr>
        <w:t xml:space="preserve">etail </w:t>
      </w:r>
      <w:r w:rsidR="00857B8A">
        <w:rPr>
          <w:i/>
        </w:rPr>
        <w:t>i</w:t>
      </w:r>
      <w:r w:rsidR="00752C68" w:rsidRPr="00752C68">
        <w:rPr>
          <w:i/>
        </w:rPr>
        <w:t>ndustry</w:t>
      </w:r>
      <w:r w:rsidR="00857B8A">
        <w:t xml:space="preserve">, </w:t>
      </w:r>
      <w:r w:rsidR="00D82301">
        <w:t xml:space="preserve">reported </w:t>
      </w:r>
      <w:r>
        <w:t xml:space="preserve">that </w:t>
      </w:r>
      <w:r w:rsidR="003F35A2">
        <w:t>online shopping was becomin</w:t>
      </w:r>
      <w:r w:rsidR="00572CDB">
        <w:t xml:space="preserve">g more </w:t>
      </w:r>
      <w:r w:rsidR="00CA6425">
        <w:t>common</w:t>
      </w:r>
      <w:r w:rsidR="00572CDB">
        <w:t xml:space="preserve"> in Australia</w:t>
      </w:r>
      <w:r w:rsidR="007879E3">
        <w:t xml:space="preserve"> (PC 2011)</w:t>
      </w:r>
      <w:r w:rsidR="00572CDB">
        <w:t xml:space="preserve">. </w:t>
      </w:r>
      <w:r w:rsidR="000163E8">
        <w:t>It</w:t>
      </w:r>
      <w:r w:rsidR="003F35A2">
        <w:t xml:space="preserve"> </w:t>
      </w:r>
      <w:r w:rsidR="00857B8A">
        <w:t>noted</w:t>
      </w:r>
      <w:r w:rsidR="003F35A2">
        <w:t xml:space="preserve"> that the Australian Bureau of Statistics </w:t>
      </w:r>
      <w:r w:rsidR="00857B8A">
        <w:t>did</w:t>
      </w:r>
      <w:r w:rsidR="003F35A2">
        <w:t xml:space="preserve"> not produc</w:t>
      </w:r>
      <w:r w:rsidR="00857B8A">
        <w:t>e</w:t>
      </w:r>
      <w:r w:rsidR="003F35A2">
        <w:t xml:space="preserve"> data for domestic and overseas onli</w:t>
      </w:r>
      <w:r w:rsidR="00BA7C4B">
        <w:t xml:space="preserve">ne retail </w:t>
      </w:r>
      <w:r w:rsidR="00C55ED6">
        <w:t>purchases</w:t>
      </w:r>
      <w:r w:rsidR="00BA7C4B">
        <w:t xml:space="preserve"> in Australia</w:t>
      </w:r>
      <w:r w:rsidR="00572CDB">
        <w:t>. However,</w:t>
      </w:r>
      <w:r w:rsidR="006E490C">
        <w:t xml:space="preserve"> it reported that</w:t>
      </w:r>
      <w:r w:rsidR="00572CDB">
        <w:t xml:space="preserve"> market analysts estimate the domestic online share of total retail sales in Austral</w:t>
      </w:r>
      <w:r w:rsidR="00BA7C4B">
        <w:t xml:space="preserve">ia </w:t>
      </w:r>
      <w:r w:rsidR="000163E8">
        <w:t xml:space="preserve">to be </w:t>
      </w:r>
      <w:r w:rsidR="00CD3482">
        <w:t>between 3 </w:t>
      </w:r>
      <w:r w:rsidR="00BA7C4B">
        <w:t>and 7</w:t>
      </w:r>
      <w:r w:rsidR="00857B8A">
        <w:t> </w:t>
      </w:r>
      <w:r w:rsidR="00BA7C4B">
        <w:t>per</w:t>
      </w:r>
      <w:r w:rsidR="00857B8A">
        <w:t xml:space="preserve"> </w:t>
      </w:r>
      <w:r w:rsidR="00BA7C4B">
        <w:t xml:space="preserve">cent. </w:t>
      </w:r>
      <w:r w:rsidR="00572CDB">
        <w:t xml:space="preserve">The Productivity Commission estimated </w:t>
      </w:r>
      <w:r w:rsidR="000163E8">
        <w:t xml:space="preserve">that </w:t>
      </w:r>
      <w:r w:rsidR="00572CDB">
        <w:t xml:space="preserve">the share </w:t>
      </w:r>
      <w:r w:rsidR="000163E8">
        <w:t>was</w:t>
      </w:r>
      <w:r w:rsidR="00572CDB">
        <w:t xml:space="preserve"> 4 per</w:t>
      </w:r>
      <w:r w:rsidR="000163E8">
        <w:t xml:space="preserve"> </w:t>
      </w:r>
      <w:r w:rsidR="00A9650D">
        <w:t>cent and o</w:t>
      </w:r>
      <w:r w:rsidR="00572CDB">
        <w:t xml:space="preserve">verseas online </w:t>
      </w:r>
      <w:r w:rsidR="00C55ED6">
        <w:t>purchases</w:t>
      </w:r>
      <w:r w:rsidR="00572CDB">
        <w:t xml:space="preserve"> account for a</w:t>
      </w:r>
      <w:r w:rsidR="0005474F">
        <w:t xml:space="preserve"> third of total online sales. In 2010, domestic and overseas online sales accounted for 6 </w:t>
      </w:r>
      <w:r w:rsidR="000163E8">
        <w:t>per cent</w:t>
      </w:r>
      <w:r w:rsidR="0005474F">
        <w:t xml:space="preserve"> of total retail spen</w:t>
      </w:r>
      <w:r w:rsidR="00BA7C4B">
        <w:t>ding in Australia, which equated</w:t>
      </w:r>
      <w:r w:rsidR="0005474F">
        <w:t xml:space="preserve"> to $12.6 billion. </w:t>
      </w:r>
      <w:r w:rsidR="000163E8">
        <w:t xml:space="preserve">The </w:t>
      </w:r>
      <w:r w:rsidR="0005474F">
        <w:t xml:space="preserve">Productivity Commission projected </w:t>
      </w:r>
      <w:r w:rsidR="000163E8">
        <w:t xml:space="preserve">that </w:t>
      </w:r>
      <w:r w:rsidR="0005474F">
        <w:t xml:space="preserve">online sales in Australia </w:t>
      </w:r>
      <w:r w:rsidR="000163E8">
        <w:t xml:space="preserve">would </w:t>
      </w:r>
      <w:r w:rsidR="0005474F">
        <w:t xml:space="preserve">grow by 10 to 15 </w:t>
      </w:r>
      <w:r w:rsidR="000163E8">
        <w:t>per cent</w:t>
      </w:r>
      <w:r w:rsidR="0005474F">
        <w:t xml:space="preserve"> per annum over the next three years</w:t>
      </w:r>
      <w:r w:rsidR="00D276A9">
        <w:t xml:space="preserve"> (PC 2011)</w:t>
      </w:r>
      <w:r w:rsidR="000163E8">
        <w:t>.</w:t>
      </w:r>
    </w:p>
    <w:p w:rsidR="00FB4074" w:rsidRDefault="00CD3482" w:rsidP="00336D00">
      <w:pPr>
        <w:pStyle w:val="FindingsNormalNumbering"/>
        <w:ind w:left="0" w:firstLine="0"/>
      </w:pPr>
      <w:r>
        <w:t>Australia</w:t>
      </w:r>
      <w:r w:rsidR="00CD7678">
        <w:t xml:space="preserve"> </w:t>
      </w:r>
      <w:r w:rsidR="00A9650D">
        <w:t>o</w:t>
      </w:r>
      <w:r w:rsidR="00CD7678">
        <w:t xml:space="preserve">nline </w:t>
      </w:r>
      <w:r w:rsidR="008B5E89">
        <w:t>customers</w:t>
      </w:r>
      <w:r w:rsidR="000D07B4">
        <w:t xml:space="preserve"> can purchase almost anything from anywhere around the world</w:t>
      </w:r>
      <w:r w:rsidR="00334A4C">
        <w:t xml:space="preserve">, including items </w:t>
      </w:r>
      <w:r w:rsidR="00CD7678">
        <w:t>that</w:t>
      </w:r>
      <w:r w:rsidR="00334A4C">
        <w:t xml:space="preserve"> pose high biosecurity risks to Australia</w:t>
      </w:r>
      <w:r w:rsidR="000D07B4">
        <w:t xml:space="preserve">. Shipping options are sometimes restricted or can be selected by the </w:t>
      </w:r>
      <w:r w:rsidR="008B5E89">
        <w:t>customer</w:t>
      </w:r>
      <w:r w:rsidR="000D07B4">
        <w:t xml:space="preserve"> at the time of purchase. </w:t>
      </w:r>
      <w:r w:rsidR="002378DE">
        <w:t xml:space="preserve">Shipping </w:t>
      </w:r>
      <w:r w:rsidR="000D07B4">
        <w:t>options</w:t>
      </w:r>
      <w:r w:rsidR="002378DE">
        <w:t xml:space="preserve"> are either</w:t>
      </w:r>
      <w:r w:rsidR="000D07B4">
        <w:t xml:space="preserve"> international mail</w:t>
      </w:r>
      <w:r w:rsidR="00BA7C4B">
        <w:t xml:space="preserve"> (post)</w:t>
      </w:r>
      <w:r w:rsidR="002378DE">
        <w:t>,</w:t>
      </w:r>
      <w:r w:rsidR="000D07B4">
        <w:t xml:space="preserve"> which is h</w:t>
      </w:r>
      <w:r w:rsidR="008B5E89">
        <w:t>andled by Australia Post</w:t>
      </w:r>
      <w:r w:rsidR="002378DE">
        <w:t>,</w:t>
      </w:r>
      <w:r w:rsidR="008B5E89">
        <w:t xml:space="preserve"> or air/</w:t>
      </w:r>
      <w:r w:rsidR="000D07B4">
        <w:t>sea cargo</w:t>
      </w:r>
      <w:r w:rsidR="002378DE">
        <w:t>,</w:t>
      </w:r>
      <w:r w:rsidR="000D07B4">
        <w:t xml:space="preserve"> which is handled by </w:t>
      </w:r>
      <w:r w:rsidR="00336D00">
        <w:t>courier companies</w:t>
      </w:r>
      <w:r w:rsidR="00D276A9">
        <w:t xml:space="preserve"> or freight forwarders.</w:t>
      </w:r>
    </w:p>
    <w:p w:rsidR="00002647" w:rsidRDefault="00002647" w:rsidP="00336D00">
      <w:pPr>
        <w:pStyle w:val="FindingsNormalNumbering"/>
        <w:ind w:left="0" w:firstLine="0"/>
      </w:pPr>
      <w:r>
        <w:rPr>
          <w:rFonts w:eastAsia="Times New Roman" w:cs="Calibri"/>
        </w:rPr>
        <w:t>The online trade in items of biosecurity concern has been recognised internationally as a growing area of risk (IPPC 2012, Pearson and Hill 2014). For example, a 2012 study in Germany</w:t>
      </w:r>
      <w:r w:rsidR="00E7587B">
        <w:rPr>
          <w:rFonts w:eastAsia="Times New Roman" w:cs="Calibri"/>
        </w:rPr>
        <w:t xml:space="preserve"> (Kaminski </w:t>
      </w:r>
      <w:r w:rsidR="00E7587B" w:rsidRPr="00D82F5A">
        <w:rPr>
          <w:rFonts w:eastAsia="Times New Roman" w:cs="Calibri"/>
          <w:i/>
        </w:rPr>
        <w:t>et al.</w:t>
      </w:r>
      <w:r w:rsidR="00E7587B">
        <w:rPr>
          <w:rFonts w:eastAsia="Times New Roman" w:cs="Calibri"/>
        </w:rPr>
        <w:t xml:space="preserve"> 2012)</w:t>
      </w:r>
      <w:r>
        <w:rPr>
          <w:rFonts w:eastAsia="Times New Roman" w:cs="Calibri"/>
        </w:rPr>
        <w:t xml:space="preserve"> found that only 32% of plants purchased online had an accurate customs declaration when received. A study by the </w:t>
      </w:r>
      <w:r w:rsidR="00796274">
        <w:rPr>
          <w:rFonts w:eastAsia="Times New Roman" w:cs="Calibri"/>
        </w:rPr>
        <w:t>International Plant Protection Convention (</w:t>
      </w:r>
      <w:r>
        <w:rPr>
          <w:rFonts w:eastAsia="Times New Roman" w:cs="Calibri"/>
        </w:rPr>
        <w:t>IPPC</w:t>
      </w:r>
      <w:r w:rsidR="00796274">
        <w:rPr>
          <w:rFonts w:eastAsia="Times New Roman" w:cs="Calibri"/>
        </w:rPr>
        <w:t>)</w:t>
      </w:r>
      <w:r>
        <w:rPr>
          <w:rFonts w:eastAsia="Times New Roman" w:cs="Calibri"/>
        </w:rPr>
        <w:t xml:space="preserve"> </w:t>
      </w:r>
      <w:r w:rsidR="00796274">
        <w:rPr>
          <w:rFonts w:eastAsia="Times New Roman" w:cs="Calibri"/>
        </w:rPr>
        <w:t>in 2012</w:t>
      </w:r>
      <w:r>
        <w:rPr>
          <w:rFonts w:eastAsia="Times New Roman" w:cs="Calibri"/>
        </w:rPr>
        <w:t xml:space="preserve"> identified seeds as </w:t>
      </w:r>
      <w:r w:rsidRPr="00482ADB">
        <w:rPr>
          <w:rFonts w:eastAsia="Times New Roman" w:cs="Calibri"/>
        </w:rPr>
        <w:t xml:space="preserve">the most common </w:t>
      </w:r>
      <w:r w:rsidR="005D36CB">
        <w:rPr>
          <w:rFonts w:eastAsia="Times New Roman" w:cs="Calibri"/>
        </w:rPr>
        <w:t>type</w:t>
      </w:r>
      <w:r w:rsidR="00482ADB">
        <w:rPr>
          <w:rFonts w:eastAsia="Times New Roman" w:cs="Calibri"/>
        </w:rPr>
        <w:t xml:space="preserve"> of plant material</w:t>
      </w:r>
      <w:r>
        <w:rPr>
          <w:rFonts w:eastAsia="Times New Roman" w:cs="Calibri"/>
        </w:rPr>
        <w:t xml:space="preserve"> offered for sale online. One of the challenges faced in regulating online purchasing is that retailing websites vary in the level of detail presented in relation </w:t>
      </w:r>
      <w:r w:rsidR="00035C74">
        <w:rPr>
          <w:rFonts w:eastAsia="Times New Roman" w:cs="Calibri"/>
        </w:rPr>
        <w:t>to</w:t>
      </w:r>
      <w:r>
        <w:rPr>
          <w:rFonts w:eastAsia="Times New Roman" w:cs="Calibri"/>
        </w:rPr>
        <w:t xml:space="preserve"> phytosanitary regulations (IPPC 2012). High quality seller sites include notices to buyers prior to purchase</w:t>
      </w:r>
      <w:r w:rsidR="00035C74">
        <w:rPr>
          <w:rFonts w:eastAsia="Times New Roman" w:cs="Calibri"/>
        </w:rPr>
        <w:t>,</w:t>
      </w:r>
      <w:r>
        <w:rPr>
          <w:rFonts w:eastAsia="Times New Roman" w:cs="Calibri"/>
        </w:rPr>
        <w:t xml:space="preserve"> that </w:t>
      </w:r>
      <w:r w:rsidR="00035C74">
        <w:rPr>
          <w:rFonts w:eastAsia="Times New Roman" w:cs="Calibri"/>
        </w:rPr>
        <w:t xml:space="preserve">particular </w:t>
      </w:r>
      <w:r>
        <w:rPr>
          <w:rFonts w:eastAsia="Times New Roman" w:cs="Calibri"/>
        </w:rPr>
        <w:t xml:space="preserve">phytosanitary requirements exist </w:t>
      </w:r>
      <w:r w:rsidR="00035C74">
        <w:rPr>
          <w:rFonts w:eastAsia="Times New Roman" w:cs="Calibri"/>
        </w:rPr>
        <w:t xml:space="preserve">for Australia, </w:t>
      </w:r>
      <w:r>
        <w:rPr>
          <w:rFonts w:eastAsia="Times New Roman" w:cs="Calibri"/>
        </w:rPr>
        <w:t xml:space="preserve">and </w:t>
      </w:r>
      <w:r w:rsidR="00035C74">
        <w:rPr>
          <w:rFonts w:eastAsia="Times New Roman" w:cs="Calibri"/>
        </w:rPr>
        <w:t xml:space="preserve">the seller </w:t>
      </w:r>
      <w:r>
        <w:rPr>
          <w:rFonts w:eastAsia="Times New Roman" w:cs="Calibri"/>
        </w:rPr>
        <w:t>may  declin</w:t>
      </w:r>
      <w:r w:rsidR="00035C74">
        <w:rPr>
          <w:rFonts w:eastAsia="Times New Roman" w:cs="Calibri"/>
        </w:rPr>
        <w:t>e</w:t>
      </w:r>
      <w:r>
        <w:rPr>
          <w:rFonts w:eastAsia="Times New Roman" w:cs="Calibri"/>
        </w:rPr>
        <w:t xml:space="preserve"> to ship to specific locations due to phytosanitary regulation</w:t>
      </w:r>
      <w:r w:rsidR="00CE4A0C">
        <w:rPr>
          <w:rFonts w:eastAsia="Times New Roman" w:cs="Calibri"/>
        </w:rPr>
        <w:t>s</w:t>
      </w:r>
      <w:r>
        <w:rPr>
          <w:rFonts w:eastAsia="Times New Roman" w:cs="Calibri"/>
        </w:rPr>
        <w:t>.</w:t>
      </w:r>
    </w:p>
    <w:p w:rsidR="00336D00" w:rsidRDefault="000D07B4" w:rsidP="00336D00">
      <w:pPr>
        <w:pStyle w:val="FindingsNormalNumbering"/>
        <w:ind w:left="0" w:firstLine="0"/>
      </w:pPr>
      <w:r>
        <w:t>Items that have been purchased internationally online are not easily i</w:t>
      </w:r>
      <w:r w:rsidR="00336D00">
        <w:t>dentifiable to Australia Post, courier companies</w:t>
      </w:r>
      <w:r>
        <w:t xml:space="preserve"> or the department</w:t>
      </w:r>
      <w:r w:rsidR="00336D00">
        <w:t>.</w:t>
      </w:r>
      <w:r w:rsidR="008B5E89">
        <w:t xml:space="preserve"> Consequently, online purchases are assessed with all other mail or </w:t>
      </w:r>
      <w:r w:rsidR="00A9650D">
        <w:t>cargo</w:t>
      </w:r>
      <w:r w:rsidR="008B5E89">
        <w:t xml:space="preserve"> items arriving in Australia.</w:t>
      </w:r>
    </w:p>
    <w:p w:rsidR="00A9650D" w:rsidRDefault="007B4DA8" w:rsidP="00C17305">
      <w:pPr>
        <w:pStyle w:val="FindingsNormalNumbering"/>
        <w:ind w:left="0" w:firstLine="0"/>
      </w:pPr>
      <w:r>
        <w:lastRenderedPageBreak/>
        <w:t>All international mail (including online purchases) that arrive</w:t>
      </w:r>
      <w:r w:rsidR="00350917">
        <w:t>s</w:t>
      </w:r>
      <w:r>
        <w:t xml:space="preserve"> at the mail centres </w:t>
      </w:r>
      <w:r w:rsidR="00350917">
        <w:t xml:space="preserve">is </w:t>
      </w:r>
      <w:r w:rsidRPr="00620A4C">
        <w:t xml:space="preserve">sorted into </w:t>
      </w:r>
      <w:r w:rsidR="00350917" w:rsidRPr="00620A4C">
        <w:t xml:space="preserve">one of </w:t>
      </w:r>
      <w:r w:rsidRPr="00620A4C">
        <w:t xml:space="preserve">four different mail classes: letters, other articles, parcels and express mail services. </w:t>
      </w:r>
      <w:r w:rsidR="004C07F4">
        <w:t xml:space="preserve">Most </w:t>
      </w:r>
      <w:r w:rsidRPr="00620A4C">
        <w:t xml:space="preserve">international online purchases </w:t>
      </w:r>
      <w:r w:rsidR="004C07F4">
        <w:t>are</w:t>
      </w:r>
      <w:r w:rsidRPr="00620A4C">
        <w:t xml:space="preserve"> sent as other articles, parcels </w:t>
      </w:r>
      <w:r w:rsidR="00350917" w:rsidRPr="00620A4C">
        <w:t>or</w:t>
      </w:r>
      <w:r w:rsidRPr="00620A4C">
        <w:t xml:space="preserve"> express mail services</w:t>
      </w:r>
      <w:r>
        <w:t xml:space="preserve">. </w:t>
      </w:r>
    </w:p>
    <w:p w:rsidR="002856BB" w:rsidRDefault="00761A07" w:rsidP="00C17305">
      <w:pPr>
        <w:pStyle w:val="FindingsNormalNumbering"/>
        <w:ind w:left="0" w:firstLine="0"/>
      </w:pPr>
      <w:r>
        <w:t xml:space="preserve">During 2013-14 the Australian National Audit Office (ANAO) undertook a performance audit of the department and </w:t>
      </w:r>
      <w:r w:rsidRPr="004213E1">
        <w:t xml:space="preserve">the Australian Customs and Border Protection Service, </w:t>
      </w:r>
      <w:r w:rsidRPr="004213E1">
        <w:rPr>
          <w:i/>
        </w:rPr>
        <w:t xml:space="preserve">Screening of international mail </w:t>
      </w:r>
      <w:r w:rsidRPr="004213E1">
        <w:t xml:space="preserve">(ANAO 2014). </w:t>
      </w:r>
      <w:r>
        <w:t>This audit undertook a detailed review of the screening of international mail but did not consider the specific risks involved in online shopping.  The</w:t>
      </w:r>
      <w:r w:rsidR="00352685">
        <w:t xml:space="preserve"> ANAO</w:t>
      </w:r>
      <w:r>
        <w:t xml:space="preserve"> audit noted that the</w:t>
      </w:r>
      <w:r w:rsidR="002856BB">
        <w:t xml:space="preserve"> department </w:t>
      </w:r>
      <w:r w:rsidR="00035C74">
        <w:t>had decided</w:t>
      </w:r>
      <w:r w:rsidR="002856BB">
        <w:t xml:space="preserve"> not to develop</w:t>
      </w:r>
      <w:r>
        <w:t xml:space="preserve"> profiles targeting risk material in the letter class </w:t>
      </w:r>
      <w:r w:rsidR="002856BB">
        <w:t>due to limitations imposed</w:t>
      </w:r>
      <w:r>
        <w:t xml:space="preserve"> by t</w:t>
      </w:r>
      <w:r w:rsidR="002856BB">
        <w:t xml:space="preserve">he volume of mail and the difficulty in separating targeted from untargeted groups. The audit also noted that the </w:t>
      </w:r>
      <w:r w:rsidR="00E23DAF">
        <w:t xml:space="preserve">department </w:t>
      </w:r>
      <w:r w:rsidR="00796274">
        <w:t>assessed</w:t>
      </w:r>
      <w:r w:rsidR="00E23DAF">
        <w:t xml:space="preserve"> that the </w:t>
      </w:r>
      <w:r w:rsidR="002856BB">
        <w:t>quantity of risk material that could be contained in a letter</w:t>
      </w:r>
      <w:r w:rsidR="00035C74">
        <w:t>-</w:t>
      </w:r>
      <w:r w:rsidR="002856BB">
        <w:t>sized item was limited.</w:t>
      </w:r>
    </w:p>
    <w:p w:rsidR="000D49BF" w:rsidRDefault="000D49BF" w:rsidP="000D49BF">
      <w:pPr>
        <w:pStyle w:val="FindingsNormalNumbering"/>
        <w:ind w:left="0" w:firstLine="0"/>
      </w:pPr>
      <w:r w:rsidRPr="00D82301">
        <w:t xml:space="preserve">Table </w:t>
      </w:r>
      <w:r w:rsidR="001367E4" w:rsidRPr="00D82301">
        <w:t>1</w:t>
      </w:r>
      <w:r>
        <w:t xml:space="preserve"> provides data on the </w:t>
      </w:r>
      <w:r w:rsidR="00D03CC5">
        <w:t>number</w:t>
      </w:r>
      <w:r>
        <w:t xml:space="preserve"> of international mail items</w:t>
      </w:r>
      <w:r w:rsidR="000D07B4">
        <w:t xml:space="preserve"> </w:t>
      </w:r>
      <w:r>
        <w:t>that arrive</w:t>
      </w:r>
      <w:r w:rsidR="000D07B4">
        <w:t>d in Australia between 1 July 2008 and 30 June 2013</w:t>
      </w:r>
      <w:r>
        <w:t>.</w:t>
      </w:r>
    </w:p>
    <w:p w:rsidR="000D07B4" w:rsidRDefault="000D07B4" w:rsidP="000D07B4">
      <w:pPr>
        <w:pStyle w:val="Figureandtablecaptions"/>
      </w:pPr>
      <w:r w:rsidRPr="0097788B">
        <w:t xml:space="preserve">Table </w:t>
      </w:r>
      <w:proofErr w:type="gramStart"/>
      <w:r w:rsidR="001367E4">
        <w:t>1</w:t>
      </w:r>
      <w:r w:rsidR="00CD4A4F">
        <w:t xml:space="preserve"> </w:t>
      </w:r>
      <w:r w:rsidRPr="0097788B">
        <w:t xml:space="preserve"> </w:t>
      </w:r>
      <w:r w:rsidR="00D82301">
        <w:t>I</w:t>
      </w:r>
      <w:r>
        <w:t>nternational</w:t>
      </w:r>
      <w:proofErr w:type="gramEnd"/>
      <w:r>
        <w:t xml:space="preserve"> mail items received in Australia by mail class, 2008</w:t>
      </w:r>
      <w:r w:rsidR="00E27BA3">
        <w:t>–</w:t>
      </w:r>
      <w:r>
        <w:t>13</w:t>
      </w:r>
    </w:p>
    <w:tbl>
      <w:tblPr>
        <w:tblW w:w="7781" w:type="dxa"/>
        <w:tblLayout w:type="fixed"/>
        <w:tblLook w:val="04A0"/>
      </w:tblPr>
      <w:tblGrid>
        <w:gridCol w:w="1787"/>
        <w:gridCol w:w="1217"/>
        <w:gridCol w:w="1217"/>
        <w:gridCol w:w="1126"/>
        <w:gridCol w:w="1217"/>
        <w:gridCol w:w="1217"/>
      </w:tblGrid>
      <w:tr w:rsidR="000D07B4" w:rsidRPr="00D44DA3" w:rsidTr="00DA013E">
        <w:trPr>
          <w:trHeight w:val="300"/>
          <w:tblHeader/>
        </w:trPr>
        <w:tc>
          <w:tcPr>
            <w:tcW w:w="1787" w:type="dxa"/>
            <w:tcBorders>
              <w:top w:val="single" w:sz="4" w:space="0" w:color="auto"/>
              <w:bottom w:val="single" w:sz="4" w:space="0" w:color="auto"/>
            </w:tcBorders>
            <w:shd w:val="clear" w:color="auto" w:fill="auto"/>
            <w:noWrap/>
            <w:vAlign w:val="center"/>
            <w:hideMark/>
          </w:tcPr>
          <w:p w:rsidR="000D07B4" w:rsidRPr="00D44DA3" w:rsidRDefault="000D07B4" w:rsidP="000D07B4">
            <w:pPr>
              <w:pStyle w:val="Tableheader"/>
            </w:pPr>
            <w:r>
              <w:t>Mail c</w:t>
            </w:r>
            <w:r w:rsidRPr="00D44DA3">
              <w:t>lass</w:t>
            </w:r>
          </w:p>
        </w:tc>
        <w:tc>
          <w:tcPr>
            <w:tcW w:w="1217" w:type="dxa"/>
            <w:tcBorders>
              <w:top w:val="single" w:sz="4" w:space="0" w:color="auto"/>
              <w:bottom w:val="single" w:sz="4" w:space="0" w:color="auto"/>
            </w:tcBorders>
            <w:shd w:val="clear" w:color="auto" w:fill="auto"/>
            <w:noWrap/>
            <w:hideMark/>
          </w:tcPr>
          <w:p w:rsidR="000D07B4" w:rsidRPr="00D44DA3" w:rsidRDefault="000D07B4" w:rsidP="00DA013E">
            <w:pPr>
              <w:pStyle w:val="Tableheader"/>
              <w:jc w:val="right"/>
            </w:pPr>
            <w:r>
              <w:t>20</w:t>
            </w:r>
            <w:r w:rsidRPr="00D44DA3">
              <w:t>08</w:t>
            </w:r>
            <w:r w:rsidR="00350917">
              <w:t>–</w:t>
            </w:r>
            <w:r w:rsidRPr="00D44DA3">
              <w:t>09</w:t>
            </w:r>
          </w:p>
        </w:tc>
        <w:tc>
          <w:tcPr>
            <w:tcW w:w="1217" w:type="dxa"/>
            <w:tcBorders>
              <w:top w:val="single" w:sz="4" w:space="0" w:color="auto"/>
              <w:bottom w:val="single" w:sz="4" w:space="0" w:color="auto"/>
            </w:tcBorders>
            <w:shd w:val="clear" w:color="auto" w:fill="auto"/>
            <w:noWrap/>
            <w:hideMark/>
          </w:tcPr>
          <w:p w:rsidR="000D07B4" w:rsidRPr="00D44DA3" w:rsidRDefault="000D07B4" w:rsidP="00DA013E">
            <w:pPr>
              <w:pStyle w:val="Tableheader"/>
              <w:jc w:val="right"/>
            </w:pPr>
            <w:r>
              <w:t>20</w:t>
            </w:r>
            <w:r w:rsidRPr="00D44DA3">
              <w:t>09</w:t>
            </w:r>
            <w:r w:rsidR="00350917">
              <w:t>–</w:t>
            </w:r>
            <w:r w:rsidRPr="00D44DA3">
              <w:t>10</w:t>
            </w:r>
          </w:p>
        </w:tc>
        <w:tc>
          <w:tcPr>
            <w:tcW w:w="1126" w:type="dxa"/>
            <w:tcBorders>
              <w:top w:val="single" w:sz="4" w:space="0" w:color="auto"/>
              <w:bottom w:val="single" w:sz="4" w:space="0" w:color="auto"/>
            </w:tcBorders>
            <w:shd w:val="clear" w:color="auto" w:fill="auto"/>
            <w:noWrap/>
            <w:hideMark/>
          </w:tcPr>
          <w:p w:rsidR="000D07B4" w:rsidRPr="00D44DA3" w:rsidRDefault="000D07B4" w:rsidP="00DA013E">
            <w:pPr>
              <w:pStyle w:val="Tableheader"/>
              <w:jc w:val="right"/>
            </w:pPr>
            <w:r>
              <w:t>20</w:t>
            </w:r>
            <w:r w:rsidRPr="00D44DA3">
              <w:t>10</w:t>
            </w:r>
            <w:r w:rsidR="00350917">
              <w:t>–</w:t>
            </w:r>
            <w:r w:rsidRPr="00D44DA3">
              <w:t>11</w:t>
            </w:r>
          </w:p>
        </w:tc>
        <w:tc>
          <w:tcPr>
            <w:tcW w:w="1217" w:type="dxa"/>
            <w:tcBorders>
              <w:top w:val="single" w:sz="4" w:space="0" w:color="auto"/>
              <w:bottom w:val="single" w:sz="4" w:space="0" w:color="auto"/>
            </w:tcBorders>
            <w:shd w:val="clear" w:color="auto" w:fill="auto"/>
            <w:noWrap/>
            <w:hideMark/>
          </w:tcPr>
          <w:p w:rsidR="000D07B4" w:rsidRPr="00D44DA3" w:rsidRDefault="000D07B4" w:rsidP="00DA013E">
            <w:pPr>
              <w:pStyle w:val="Tableheader"/>
              <w:jc w:val="right"/>
            </w:pPr>
            <w:r>
              <w:t>20</w:t>
            </w:r>
            <w:r w:rsidRPr="00D44DA3">
              <w:t>11</w:t>
            </w:r>
            <w:r w:rsidR="00350917">
              <w:t>–</w:t>
            </w:r>
            <w:r w:rsidRPr="00D44DA3">
              <w:t>12</w:t>
            </w:r>
          </w:p>
        </w:tc>
        <w:tc>
          <w:tcPr>
            <w:tcW w:w="1217" w:type="dxa"/>
            <w:tcBorders>
              <w:top w:val="single" w:sz="4" w:space="0" w:color="auto"/>
              <w:bottom w:val="single" w:sz="4" w:space="0" w:color="auto"/>
            </w:tcBorders>
          </w:tcPr>
          <w:p w:rsidR="000D07B4" w:rsidRPr="00FB3E69" w:rsidRDefault="000D07B4" w:rsidP="00DA013E">
            <w:pPr>
              <w:pStyle w:val="Tableheader"/>
              <w:jc w:val="right"/>
            </w:pPr>
            <w:r>
              <w:t>20</w:t>
            </w:r>
            <w:r w:rsidRPr="00FB3E69">
              <w:t>12</w:t>
            </w:r>
            <w:r w:rsidR="00350917">
              <w:t>–</w:t>
            </w:r>
            <w:r w:rsidRPr="00FB3E69">
              <w:t>13</w:t>
            </w:r>
          </w:p>
        </w:tc>
      </w:tr>
      <w:tr w:rsidR="000D07B4" w:rsidRPr="00D44DA3" w:rsidTr="00DA013E">
        <w:trPr>
          <w:trHeight w:val="300"/>
        </w:trPr>
        <w:tc>
          <w:tcPr>
            <w:tcW w:w="1787" w:type="dxa"/>
            <w:tcBorders>
              <w:top w:val="single" w:sz="4" w:space="0" w:color="auto"/>
            </w:tcBorders>
            <w:shd w:val="clear" w:color="auto" w:fill="auto"/>
            <w:noWrap/>
            <w:vAlign w:val="center"/>
            <w:hideMark/>
          </w:tcPr>
          <w:p w:rsidR="000D07B4" w:rsidRPr="00D44DA3" w:rsidRDefault="000D07B4" w:rsidP="000D07B4">
            <w:pPr>
              <w:pStyle w:val="tabletext"/>
            </w:pPr>
            <w:r w:rsidRPr="00D44DA3">
              <w:t>Letter</w:t>
            </w:r>
            <w:r>
              <w:t>s</w:t>
            </w:r>
          </w:p>
        </w:tc>
        <w:tc>
          <w:tcPr>
            <w:tcW w:w="1217" w:type="dxa"/>
            <w:tcBorders>
              <w:top w:val="single" w:sz="4" w:space="0" w:color="auto"/>
            </w:tcBorders>
            <w:shd w:val="clear" w:color="auto" w:fill="auto"/>
            <w:noWrap/>
            <w:hideMark/>
          </w:tcPr>
          <w:p w:rsidR="000D07B4" w:rsidRPr="00D44DA3" w:rsidRDefault="000D07B4" w:rsidP="00DA013E">
            <w:pPr>
              <w:pStyle w:val="tabletext"/>
              <w:jc w:val="right"/>
            </w:pPr>
            <w:r w:rsidRPr="00D44DA3">
              <w:t>116</w:t>
            </w:r>
            <w:r w:rsidR="00350917">
              <w:t xml:space="preserve"> </w:t>
            </w:r>
            <w:r w:rsidRPr="00D44DA3">
              <w:t>045</w:t>
            </w:r>
            <w:r w:rsidR="00350917">
              <w:t xml:space="preserve"> </w:t>
            </w:r>
            <w:r w:rsidRPr="00D44DA3">
              <w:t>913</w:t>
            </w:r>
          </w:p>
        </w:tc>
        <w:tc>
          <w:tcPr>
            <w:tcW w:w="1217" w:type="dxa"/>
            <w:tcBorders>
              <w:top w:val="single" w:sz="4" w:space="0" w:color="auto"/>
            </w:tcBorders>
            <w:shd w:val="clear" w:color="auto" w:fill="auto"/>
            <w:noWrap/>
            <w:hideMark/>
          </w:tcPr>
          <w:p w:rsidR="000D07B4" w:rsidRPr="00D44DA3" w:rsidRDefault="000D07B4" w:rsidP="00DA013E">
            <w:pPr>
              <w:pStyle w:val="tabletext"/>
              <w:jc w:val="right"/>
            </w:pPr>
            <w:r w:rsidRPr="00D44DA3">
              <w:t>105</w:t>
            </w:r>
            <w:r w:rsidR="00350917">
              <w:t xml:space="preserve"> </w:t>
            </w:r>
            <w:r w:rsidRPr="00D44DA3">
              <w:t>985</w:t>
            </w:r>
            <w:r w:rsidR="00350917">
              <w:t xml:space="preserve"> </w:t>
            </w:r>
            <w:r w:rsidRPr="00D44DA3">
              <w:t>310</w:t>
            </w:r>
          </w:p>
        </w:tc>
        <w:tc>
          <w:tcPr>
            <w:tcW w:w="1126" w:type="dxa"/>
            <w:tcBorders>
              <w:top w:val="single" w:sz="4" w:space="0" w:color="auto"/>
            </w:tcBorders>
            <w:shd w:val="clear" w:color="auto" w:fill="auto"/>
            <w:noWrap/>
            <w:hideMark/>
          </w:tcPr>
          <w:p w:rsidR="000D07B4" w:rsidRPr="00D44DA3" w:rsidRDefault="000D07B4" w:rsidP="00DA013E">
            <w:pPr>
              <w:pStyle w:val="tabletext"/>
              <w:jc w:val="right"/>
            </w:pPr>
            <w:r w:rsidRPr="00D44DA3">
              <w:t>99</w:t>
            </w:r>
            <w:r w:rsidR="00350917">
              <w:t xml:space="preserve"> </w:t>
            </w:r>
            <w:r w:rsidRPr="00D44DA3">
              <w:t>209</w:t>
            </w:r>
            <w:r w:rsidR="00350917">
              <w:t xml:space="preserve"> </w:t>
            </w:r>
            <w:r w:rsidRPr="00D44DA3">
              <w:t>636</w:t>
            </w:r>
          </w:p>
        </w:tc>
        <w:tc>
          <w:tcPr>
            <w:tcW w:w="1217" w:type="dxa"/>
            <w:tcBorders>
              <w:top w:val="single" w:sz="4" w:space="0" w:color="auto"/>
            </w:tcBorders>
            <w:shd w:val="clear" w:color="auto" w:fill="auto"/>
            <w:noWrap/>
            <w:hideMark/>
          </w:tcPr>
          <w:p w:rsidR="000D07B4" w:rsidRPr="00D44DA3" w:rsidRDefault="000D07B4" w:rsidP="00DA013E">
            <w:pPr>
              <w:pStyle w:val="tabletext"/>
              <w:jc w:val="right"/>
            </w:pPr>
            <w:r w:rsidRPr="00D44DA3">
              <w:t>101</w:t>
            </w:r>
            <w:r w:rsidR="00350917">
              <w:t xml:space="preserve"> </w:t>
            </w:r>
            <w:r w:rsidRPr="00D44DA3">
              <w:t>000</w:t>
            </w:r>
            <w:r w:rsidR="00350917">
              <w:t xml:space="preserve"> </w:t>
            </w:r>
            <w:r w:rsidRPr="00D44DA3">
              <w:t>880</w:t>
            </w:r>
          </w:p>
        </w:tc>
        <w:tc>
          <w:tcPr>
            <w:tcW w:w="1217" w:type="dxa"/>
            <w:tcBorders>
              <w:top w:val="single" w:sz="4" w:space="0" w:color="auto"/>
            </w:tcBorders>
          </w:tcPr>
          <w:p w:rsidR="000D07B4" w:rsidRPr="00FB3E69" w:rsidRDefault="000D07B4" w:rsidP="00DA013E">
            <w:pPr>
              <w:pStyle w:val="tabletext"/>
              <w:jc w:val="right"/>
            </w:pPr>
            <w:r w:rsidRPr="00FB3E69">
              <w:t>115</w:t>
            </w:r>
            <w:r w:rsidR="00350917">
              <w:t xml:space="preserve"> </w:t>
            </w:r>
            <w:r w:rsidRPr="00FB3E69">
              <w:t>694</w:t>
            </w:r>
            <w:r w:rsidR="00350917">
              <w:t xml:space="preserve"> </w:t>
            </w:r>
            <w:r w:rsidRPr="00FB3E69">
              <w:t>894</w:t>
            </w:r>
          </w:p>
        </w:tc>
      </w:tr>
      <w:tr w:rsidR="000D07B4" w:rsidRPr="00D44DA3" w:rsidTr="00DA013E">
        <w:trPr>
          <w:trHeight w:val="300"/>
        </w:trPr>
        <w:tc>
          <w:tcPr>
            <w:tcW w:w="1787" w:type="dxa"/>
            <w:shd w:val="clear" w:color="auto" w:fill="auto"/>
            <w:noWrap/>
            <w:vAlign w:val="center"/>
            <w:hideMark/>
          </w:tcPr>
          <w:p w:rsidR="000D07B4" w:rsidRPr="00D44DA3" w:rsidRDefault="000D07B4" w:rsidP="000D07B4">
            <w:pPr>
              <w:pStyle w:val="tabletext"/>
            </w:pPr>
            <w:r>
              <w:t>Other a</w:t>
            </w:r>
            <w:r w:rsidRPr="00D44DA3">
              <w:t>rticles</w:t>
            </w:r>
          </w:p>
        </w:tc>
        <w:tc>
          <w:tcPr>
            <w:tcW w:w="1217" w:type="dxa"/>
            <w:shd w:val="clear" w:color="auto" w:fill="auto"/>
            <w:noWrap/>
            <w:hideMark/>
          </w:tcPr>
          <w:p w:rsidR="000D07B4" w:rsidRPr="00D44DA3" w:rsidRDefault="000D07B4" w:rsidP="00DA013E">
            <w:pPr>
              <w:pStyle w:val="tabletext"/>
              <w:jc w:val="right"/>
            </w:pPr>
            <w:r w:rsidRPr="00D44DA3">
              <w:t>15</w:t>
            </w:r>
            <w:r w:rsidR="00350917">
              <w:t xml:space="preserve"> </w:t>
            </w:r>
            <w:r w:rsidRPr="00D44DA3">
              <w:t>075</w:t>
            </w:r>
            <w:r w:rsidR="00350917">
              <w:t xml:space="preserve"> </w:t>
            </w:r>
            <w:r w:rsidRPr="00D44DA3">
              <w:t>419</w:t>
            </w:r>
          </w:p>
        </w:tc>
        <w:tc>
          <w:tcPr>
            <w:tcW w:w="1217" w:type="dxa"/>
            <w:shd w:val="clear" w:color="auto" w:fill="auto"/>
            <w:noWrap/>
            <w:hideMark/>
          </w:tcPr>
          <w:p w:rsidR="000D07B4" w:rsidRPr="00D44DA3" w:rsidRDefault="000D07B4" w:rsidP="00DA013E">
            <w:pPr>
              <w:pStyle w:val="tabletext"/>
              <w:jc w:val="right"/>
            </w:pPr>
            <w:r w:rsidRPr="00D44DA3">
              <w:t>26</w:t>
            </w:r>
            <w:r w:rsidR="00350917">
              <w:t xml:space="preserve"> </w:t>
            </w:r>
            <w:r w:rsidRPr="00D44DA3">
              <w:t>342</w:t>
            </w:r>
            <w:r w:rsidR="00350917">
              <w:t xml:space="preserve"> </w:t>
            </w:r>
            <w:r w:rsidRPr="00D44DA3">
              <w:t>728</w:t>
            </w:r>
          </w:p>
        </w:tc>
        <w:tc>
          <w:tcPr>
            <w:tcW w:w="1126" w:type="dxa"/>
            <w:shd w:val="clear" w:color="auto" w:fill="auto"/>
            <w:noWrap/>
            <w:hideMark/>
          </w:tcPr>
          <w:p w:rsidR="000D07B4" w:rsidRPr="00D44DA3" w:rsidRDefault="000D07B4" w:rsidP="00DA013E">
            <w:pPr>
              <w:pStyle w:val="tabletext"/>
              <w:jc w:val="right"/>
            </w:pPr>
            <w:r w:rsidRPr="00D44DA3">
              <w:t>45</w:t>
            </w:r>
            <w:r w:rsidR="00350917">
              <w:t xml:space="preserve"> </w:t>
            </w:r>
            <w:r w:rsidRPr="00D44DA3">
              <w:t>528</w:t>
            </w:r>
            <w:r w:rsidR="00350917">
              <w:t xml:space="preserve"> </w:t>
            </w:r>
            <w:r w:rsidRPr="00D44DA3">
              <w:t>671</w:t>
            </w:r>
          </w:p>
        </w:tc>
        <w:tc>
          <w:tcPr>
            <w:tcW w:w="1217" w:type="dxa"/>
            <w:shd w:val="clear" w:color="auto" w:fill="auto"/>
            <w:noWrap/>
            <w:hideMark/>
          </w:tcPr>
          <w:p w:rsidR="000D07B4" w:rsidRPr="00D44DA3" w:rsidRDefault="000D07B4" w:rsidP="00DA013E">
            <w:pPr>
              <w:pStyle w:val="tabletext"/>
              <w:jc w:val="right"/>
            </w:pPr>
            <w:r w:rsidRPr="00D44DA3">
              <w:t>55</w:t>
            </w:r>
            <w:r w:rsidR="00350917">
              <w:t xml:space="preserve"> </w:t>
            </w:r>
            <w:r w:rsidRPr="00D44DA3">
              <w:t>753</w:t>
            </w:r>
            <w:r w:rsidR="00350917">
              <w:t xml:space="preserve"> </w:t>
            </w:r>
            <w:r w:rsidRPr="00D44DA3">
              <w:t>295</w:t>
            </w:r>
          </w:p>
        </w:tc>
        <w:tc>
          <w:tcPr>
            <w:tcW w:w="1217" w:type="dxa"/>
          </w:tcPr>
          <w:p w:rsidR="000D07B4" w:rsidRPr="00FB3E69" w:rsidRDefault="000D07B4" w:rsidP="00DA013E">
            <w:pPr>
              <w:pStyle w:val="tabletext"/>
              <w:jc w:val="right"/>
            </w:pPr>
            <w:r w:rsidRPr="00FB3E69">
              <w:t>63</w:t>
            </w:r>
            <w:r w:rsidR="00350917">
              <w:t xml:space="preserve"> </w:t>
            </w:r>
            <w:r w:rsidRPr="00FB3E69">
              <w:t>910</w:t>
            </w:r>
            <w:r w:rsidR="00350917">
              <w:t xml:space="preserve"> </w:t>
            </w:r>
            <w:r w:rsidRPr="00FB3E69">
              <w:t>832</w:t>
            </w:r>
          </w:p>
        </w:tc>
      </w:tr>
      <w:tr w:rsidR="000D07B4" w:rsidRPr="00D44DA3" w:rsidTr="00DA013E">
        <w:trPr>
          <w:trHeight w:val="300"/>
        </w:trPr>
        <w:tc>
          <w:tcPr>
            <w:tcW w:w="1787" w:type="dxa"/>
            <w:shd w:val="clear" w:color="auto" w:fill="auto"/>
            <w:noWrap/>
            <w:vAlign w:val="center"/>
            <w:hideMark/>
          </w:tcPr>
          <w:p w:rsidR="000D07B4" w:rsidRPr="00D44DA3" w:rsidRDefault="000D07B4" w:rsidP="000D07B4">
            <w:pPr>
              <w:pStyle w:val="tabletext"/>
            </w:pPr>
            <w:r>
              <w:t>Express mail service</w:t>
            </w:r>
            <w:r w:rsidR="00620A4C">
              <w:t>s</w:t>
            </w:r>
          </w:p>
        </w:tc>
        <w:tc>
          <w:tcPr>
            <w:tcW w:w="1217" w:type="dxa"/>
            <w:shd w:val="clear" w:color="auto" w:fill="auto"/>
            <w:noWrap/>
            <w:hideMark/>
          </w:tcPr>
          <w:p w:rsidR="000D07B4" w:rsidRPr="00D44DA3" w:rsidRDefault="000D07B4" w:rsidP="00DA013E">
            <w:pPr>
              <w:pStyle w:val="tabletext"/>
              <w:jc w:val="right"/>
            </w:pPr>
            <w:r w:rsidRPr="00D44DA3">
              <w:t>2</w:t>
            </w:r>
            <w:r w:rsidR="00350917">
              <w:t xml:space="preserve"> </w:t>
            </w:r>
            <w:r w:rsidRPr="00D44DA3">
              <w:t>459</w:t>
            </w:r>
            <w:r w:rsidR="00350917">
              <w:t xml:space="preserve"> </w:t>
            </w:r>
            <w:r w:rsidRPr="00D44DA3">
              <w:t>713</w:t>
            </w:r>
          </w:p>
        </w:tc>
        <w:tc>
          <w:tcPr>
            <w:tcW w:w="1217" w:type="dxa"/>
            <w:shd w:val="clear" w:color="auto" w:fill="auto"/>
            <w:noWrap/>
            <w:hideMark/>
          </w:tcPr>
          <w:p w:rsidR="000D07B4" w:rsidRPr="00D44DA3" w:rsidRDefault="000D07B4" w:rsidP="00DA013E">
            <w:pPr>
              <w:pStyle w:val="tabletext"/>
              <w:jc w:val="right"/>
            </w:pPr>
            <w:r w:rsidRPr="00D44DA3">
              <w:t>3</w:t>
            </w:r>
            <w:r w:rsidR="00350917">
              <w:t xml:space="preserve"> </w:t>
            </w:r>
            <w:r w:rsidRPr="00D44DA3">
              <w:t>024</w:t>
            </w:r>
            <w:r w:rsidR="00350917">
              <w:t xml:space="preserve"> </w:t>
            </w:r>
            <w:r w:rsidRPr="00D44DA3">
              <w:t>004</w:t>
            </w:r>
          </w:p>
        </w:tc>
        <w:tc>
          <w:tcPr>
            <w:tcW w:w="1126" w:type="dxa"/>
            <w:shd w:val="clear" w:color="auto" w:fill="auto"/>
            <w:noWrap/>
            <w:hideMark/>
          </w:tcPr>
          <w:p w:rsidR="000D07B4" w:rsidRPr="00D44DA3" w:rsidRDefault="000D07B4" w:rsidP="00DA013E">
            <w:pPr>
              <w:pStyle w:val="tabletext"/>
              <w:jc w:val="right"/>
            </w:pPr>
            <w:r w:rsidRPr="00D44DA3">
              <w:t>3</w:t>
            </w:r>
            <w:r w:rsidR="00350917">
              <w:t xml:space="preserve"> </w:t>
            </w:r>
            <w:r w:rsidRPr="00D44DA3">
              <w:t>577</w:t>
            </w:r>
            <w:r w:rsidR="00350917">
              <w:t xml:space="preserve"> </w:t>
            </w:r>
            <w:r w:rsidRPr="00D44DA3">
              <w:t>790</w:t>
            </w:r>
          </w:p>
        </w:tc>
        <w:tc>
          <w:tcPr>
            <w:tcW w:w="1217" w:type="dxa"/>
            <w:shd w:val="clear" w:color="auto" w:fill="auto"/>
            <w:noWrap/>
            <w:hideMark/>
          </w:tcPr>
          <w:p w:rsidR="000D07B4" w:rsidRPr="00D44DA3" w:rsidRDefault="000D07B4" w:rsidP="00DA013E">
            <w:pPr>
              <w:pStyle w:val="tabletext"/>
              <w:jc w:val="right"/>
            </w:pPr>
            <w:r w:rsidRPr="00D44DA3">
              <w:t>3</w:t>
            </w:r>
            <w:r w:rsidR="00350917">
              <w:t xml:space="preserve"> </w:t>
            </w:r>
            <w:r w:rsidRPr="00D44DA3">
              <w:t>840</w:t>
            </w:r>
            <w:r w:rsidR="00350917">
              <w:t xml:space="preserve"> </w:t>
            </w:r>
            <w:r w:rsidRPr="00D44DA3">
              <w:t>764</w:t>
            </w:r>
          </w:p>
        </w:tc>
        <w:tc>
          <w:tcPr>
            <w:tcW w:w="1217" w:type="dxa"/>
          </w:tcPr>
          <w:p w:rsidR="000D07B4" w:rsidRPr="00FB3E69" w:rsidRDefault="000D07B4" w:rsidP="00DA013E">
            <w:pPr>
              <w:pStyle w:val="tabletext"/>
              <w:jc w:val="right"/>
            </w:pPr>
            <w:r w:rsidRPr="00FB3E69">
              <w:t>3</w:t>
            </w:r>
            <w:r w:rsidR="00350917">
              <w:t xml:space="preserve"> </w:t>
            </w:r>
            <w:r w:rsidRPr="00FB3E69">
              <w:t>585</w:t>
            </w:r>
            <w:r w:rsidR="00350917">
              <w:t xml:space="preserve"> </w:t>
            </w:r>
            <w:r w:rsidRPr="00FB3E69">
              <w:t>538</w:t>
            </w:r>
          </w:p>
        </w:tc>
      </w:tr>
      <w:tr w:rsidR="000D07B4" w:rsidRPr="00D44DA3" w:rsidTr="00DA013E">
        <w:trPr>
          <w:trHeight w:val="300"/>
        </w:trPr>
        <w:tc>
          <w:tcPr>
            <w:tcW w:w="1787" w:type="dxa"/>
            <w:shd w:val="clear" w:color="auto" w:fill="auto"/>
            <w:noWrap/>
            <w:vAlign w:val="center"/>
            <w:hideMark/>
          </w:tcPr>
          <w:p w:rsidR="000D07B4" w:rsidRPr="00D44DA3" w:rsidRDefault="000D07B4" w:rsidP="000D07B4">
            <w:pPr>
              <w:pStyle w:val="tabletext"/>
            </w:pPr>
            <w:r w:rsidRPr="00D44DA3">
              <w:t>Parcels</w:t>
            </w:r>
          </w:p>
        </w:tc>
        <w:tc>
          <w:tcPr>
            <w:tcW w:w="1217" w:type="dxa"/>
            <w:shd w:val="clear" w:color="auto" w:fill="auto"/>
            <w:noWrap/>
            <w:hideMark/>
          </w:tcPr>
          <w:p w:rsidR="000D07B4" w:rsidRPr="00D44DA3" w:rsidRDefault="000D07B4" w:rsidP="00DA013E">
            <w:pPr>
              <w:pStyle w:val="tabletext"/>
              <w:jc w:val="right"/>
            </w:pPr>
            <w:r w:rsidRPr="00D44DA3">
              <w:t>2</w:t>
            </w:r>
            <w:r w:rsidR="00350917">
              <w:t xml:space="preserve"> </w:t>
            </w:r>
            <w:r w:rsidRPr="00D44DA3">
              <w:t>345</w:t>
            </w:r>
            <w:r w:rsidR="00350917">
              <w:t xml:space="preserve"> </w:t>
            </w:r>
            <w:r w:rsidRPr="00D44DA3">
              <w:t>527</w:t>
            </w:r>
          </w:p>
        </w:tc>
        <w:tc>
          <w:tcPr>
            <w:tcW w:w="1217" w:type="dxa"/>
            <w:shd w:val="clear" w:color="auto" w:fill="auto"/>
            <w:noWrap/>
            <w:hideMark/>
          </w:tcPr>
          <w:p w:rsidR="000D07B4" w:rsidRPr="00D44DA3" w:rsidRDefault="000D07B4" w:rsidP="00DA013E">
            <w:pPr>
              <w:pStyle w:val="tabletext"/>
              <w:jc w:val="right"/>
            </w:pPr>
            <w:r w:rsidRPr="00D44DA3">
              <w:t>2</w:t>
            </w:r>
            <w:r w:rsidR="00350917">
              <w:t xml:space="preserve"> </w:t>
            </w:r>
            <w:r w:rsidRPr="00D44DA3">
              <w:t>519</w:t>
            </w:r>
            <w:r w:rsidR="00350917">
              <w:t xml:space="preserve"> </w:t>
            </w:r>
            <w:r w:rsidRPr="00D44DA3">
              <w:t>852</w:t>
            </w:r>
          </w:p>
        </w:tc>
        <w:tc>
          <w:tcPr>
            <w:tcW w:w="1126" w:type="dxa"/>
            <w:shd w:val="clear" w:color="auto" w:fill="auto"/>
            <w:noWrap/>
            <w:hideMark/>
          </w:tcPr>
          <w:p w:rsidR="000D07B4" w:rsidRPr="00D44DA3" w:rsidRDefault="000D07B4" w:rsidP="00DA013E">
            <w:pPr>
              <w:pStyle w:val="tabletext"/>
              <w:jc w:val="right"/>
            </w:pPr>
            <w:r w:rsidRPr="00D44DA3">
              <w:t>3</w:t>
            </w:r>
            <w:r w:rsidR="00350917">
              <w:t xml:space="preserve"> </w:t>
            </w:r>
            <w:r w:rsidRPr="00D44DA3">
              <w:t>129</w:t>
            </w:r>
            <w:r w:rsidR="00350917">
              <w:t xml:space="preserve"> </w:t>
            </w:r>
            <w:r w:rsidRPr="00D44DA3">
              <w:t>311</w:t>
            </w:r>
          </w:p>
        </w:tc>
        <w:tc>
          <w:tcPr>
            <w:tcW w:w="1217" w:type="dxa"/>
            <w:shd w:val="clear" w:color="auto" w:fill="auto"/>
            <w:noWrap/>
            <w:hideMark/>
          </w:tcPr>
          <w:p w:rsidR="000D07B4" w:rsidRPr="00D44DA3" w:rsidRDefault="000D07B4" w:rsidP="00DA013E">
            <w:pPr>
              <w:pStyle w:val="tabletext"/>
              <w:jc w:val="right"/>
            </w:pPr>
            <w:r w:rsidRPr="00D44DA3">
              <w:t>3</w:t>
            </w:r>
            <w:r w:rsidR="00350917">
              <w:t xml:space="preserve"> </w:t>
            </w:r>
            <w:r w:rsidRPr="00D44DA3">
              <w:t>617</w:t>
            </w:r>
            <w:r w:rsidR="00350917">
              <w:t xml:space="preserve"> </w:t>
            </w:r>
            <w:r w:rsidRPr="00D44DA3">
              <w:t>212</w:t>
            </w:r>
          </w:p>
        </w:tc>
        <w:tc>
          <w:tcPr>
            <w:tcW w:w="1217" w:type="dxa"/>
          </w:tcPr>
          <w:p w:rsidR="000D07B4" w:rsidRPr="00FB3E69" w:rsidRDefault="000D07B4" w:rsidP="00DA013E">
            <w:pPr>
              <w:pStyle w:val="tabletext"/>
              <w:jc w:val="right"/>
            </w:pPr>
            <w:r w:rsidRPr="00FB3E69">
              <w:t>3</w:t>
            </w:r>
            <w:r w:rsidR="00350917">
              <w:t xml:space="preserve"> </w:t>
            </w:r>
            <w:r w:rsidRPr="00FB3E69">
              <w:t>387</w:t>
            </w:r>
            <w:r w:rsidR="00350917">
              <w:t xml:space="preserve"> </w:t>
            </w:r>
            <w:r w:rsidRPr="00FB3E69">
              <w:t>489</w:t>
            </w:r>
          </w:p>
        </w:tc>
      </w:tr>
      <w:tr w:rsidR="000D07B4" w:rsidRPr="00D44DA3" w:rsidTr="00DA013E">
        <w:trPr>
          <w:trHeight w:val="300"/>
        </w:trPr>
        <w:tc>
          <w:tcPr>
            <w:tcW w:w="1787" w:type="dxa"/>
            <w:tcBorders>
              <w:bottom w:val="single" w:sz="4" w:space="0" w:color="auto"/>
            </w:tcBorders>
            <w:shd w:val="clear" w:color="auto" w:fill="auto"/>
            <w:noWrap/>
            <w:vAlign w:val="center"/>
            <w:hideMark/>
          </w:tcPr>
          <w:p w:rsidR="000D07B4" w:rsidRPr="00D44DA3" w:rsidRDefault="000D07B4" w:rsidP="000D07B4">
            <w:pPr>
              <w:pStyle w:val="tabletext"/>
            </w:pPr>
            <w:r w:rsidRPr="00D44DA3">
              <w:t>Registered</w:t>
            </w:r>
            <w:r w:rsidR="00AE2E26">
              <w:t xml:space="preserve"> </w:t>
            </w:r>
            <w:r>
              <w:t xml:space="preserve"> </w:t>
            </w:r>
            <w:r w:rsidRPr="00A9650D">
              <w:rPr>
                <w:b/>
              </w:rPr>
              <w:t>a</w:t>
            </w:r>
          </w:p>
        </w:tc>
        <w:tc>
          <w:tcPr>
            <w:tcW w:w="1217" w:type="dxa"/>
            <w:tcBorders>
              <w:bottom w:val="single" w:sz="4" w:space="0" w:color="auto"/>
            </w:tcBorders>
            <w:shd w:val="clear" w:color="auto" w:fill="auto"/>
            <w:noWrap/>
            <w:hideMark/>
          </w:tcPr>
          <w:p w:rsidR="000D07B4" w:rsidRPr="00D44DA3" w:rsidRDefault="000D07B4" w:rsidP="00DA013E">
            <w:pPr>
              <w:pStyle w:val="tabletext"/>
              <w:jc w:val="right"/>
            </w:pPr>
            <w:r w:rsidRPr="00D44DA3">
              <w:t>1</w:t>
            </w:r>
            <w:r w:rsidR="00350917">
              <w:t xml:space="preserve"> </w:t>
            </w:r>
            <w:r w:rsidRPr="00D44DA3">
              <w:t>240</w:t>
            </w:r>
            <w:r w:rsidR="00350917">
              <w:t xml:space="preserve"> </w:t>
            </w:r>
            <w:r w:rsidRPr="00D44DA3">
              <w:t>293</w:t>
            </w:r>
          </w:p>
        </w:tc>
        <w:tc>
          <w:tcPr>
            <w:tcW w:w="1217" w:type="dxa"/>
            <w:tcBorders>
              <w:bottom w:val="single" w:sz="4" w:space="0" w:color="auto"/>
            </w:tcBorders>
            <w:shd w:val="clear" w:color="auto" w:fill="auto"/>
            <w:noWrap/>
            <w:hideMark/>
          </w:tcPr>
          <w:p w:rsidR="000D07B4" w:rsidRPr="00D44DA3" w:rsidRDefault="000D07B4" w:rsidP="00DA013E">
            <w:pPr>
              <w:pStyle w:val="tabletext"/>
              <w:jc w:val="right"/>
            </w:pPr>
            <w:r w:rsidRPr="00D44DA3">
              <w:t>1</w:t>
            </w:r>
            <w:r w:rsidR="00350917">
              <w:t xml:space="preserve"> </w:t>
            </w:r>
            <w:r w:rsidRPr="00D44DA3">
              <w:t>774</w:t>
            </w:r>
            <w:r w:rsidR="00350917">
              <w:t xml:space="preserve"> </w:t>
            </w:r>
            <w:r w:rsidRPr="00D44DA3">
              <w:t>508</w:t>
            </w:r>
          </w:p>
        </w:tc>
        <w:tc>
          <w:tcPr>
            <w:tcW w:w="1126" w:type="dxa"/>
            <w:tcBorders>
              <w:bottom w:val="single" w:sz="4" w:space="0" w:color="auto"/>
            </w:tcBorders>
            <w:shd w:val="clear" w:color="auto" w:fill="auto"/>
            <w:noWrap/>
            <w:hideMark/>
          </w:tcPr>
          <w:p w:rsidR="000D07B4" w:rsidRPr="00D44DA3" w:rsidRDefault="000D07B4" w:rsidP="00DA013E">
            <w:pPr>
              <w:pStyle w:val="tabletext"/>
              <w:jc w:val="right"/>
            </w:pPr>
            <w:r w:rsidRPr="00D44DA3">
              <w:t>833</w:t>
            </w:r>
            <w:r w:rsidR="00350917">
              <w:t xml:space="preserve"> </w:t>
            </w:r>
            <w:r w:rsidRPr="00D44DA3">
              <w:t>160</w:t>
            </w:r>
          </w:p>
        </w:tc>
        <w:tc>
          <w:tcPr>
            <w:tcW w:w="1217" w:type="dxa"/>
            <w:tcBorders>
              <w:bottom w:val="single" w:sz="4" w:space="0" w:color="auto"/>
            </w:tcBorders>
            <w:shd w:val="clear" w:color="auto" w:fill="auto"/>
            <w:noWrap/>
            <w:hideMark/>
          </w:tcPr>
          <w:p w:rsidR="000D07B4" w:rsidRPr="00D44DA3" w:rsidRDefault="000D07B4" w:rsidP="00DA013E">
            <w:pPr>
              <w:pStyle w:val="tabletext"/>
              <w:jc w:val="right"/>
            </w:pPr>
            <w:r w:rsidRPr="00D44DA3">
              <w:t>539</w:t>
            </w:r>
            <w:r w:rsidR="00350917">
              <w:t xml:space="preserve"> </w:t>
            </w:r>
            <w:r w:rsidRPr="00D44DA3">
              <w:t>581</w:t>
            </w:r>
          </w:p>
        </w:tc>
        <w:tc>
          <w:tcPr>
            <w:tcW w:w="1217" w:type="dxa"/>
            <w:tcBorders>
              <w:bottom w:val="single" w:sz="4" w:space="0" w:color="auto"/>
            </w:tcBorders>
          </w:tcPr>
          <w:p w:rsidR="000D07B4" w:rsidRPr="00FB3E69" w:rsidRDefault="00350917" w:rsidP="00DA013E">
            <w:pPr>
              <w:pStyle w:val="tabletext"/>
              <w:jc w:val="right"/>
            </w:pPr>
            <w:r>
              <w:t>na</w:t>
            </w:r>
          </w:p>
        </w:tc>
      </w:tr>
    </w:tbl>
    <w:p w:rsidR="00AE2E26" w:rsidRDefault="000D07B4" w:rsidP="000D07B4">
      <w:pPr>
        <w:pStyle w:val="FigureFooter"/>
      </w:pPr>
      <w:proofErr w:type="gramStart"/>
      <w:r w:rsidRPr="00B919D3">
        <w:rPr>
          <w:b/>
        </w:rPr>
        <w:t>a</w:t>
      </w:r>
      <w:proofErr w:type="gramEnd"/>
      <w:r w:rsidRPr="000D49BF">
        <w:t xml:space="preserve"> Registered mail is no longer classified as a separate entity. Registe</w:t>
      </w:r>
      <w:r>
        <w:t>red class mail is included in the l</w:t>
      </w:r>
      <w:r w:rsidRPr="000D49BF">
        <w:t>etter</w:t>
      </w:r>
      <w:r>
        <w:t>, other articles and p</w:t>
      </w:r>
      <w:r w:rsidRPr="000D49BF">
        <w:t>arcels</w:t>
      </w:r>
      <w:r>
        <w:t xml:space="preserve"> information</w:t>
      </w:r>
      <w:r w:rsidRPr="000D49BF">
        <w:t>.</w:t>
      </w:r>
    </w:p>
    <w:p w:rsidR="000D07B4" w:rsidRDefault="000D07B4" w:rsidP="000D07B4">
      <w:pPr>
        <w:pStyle w:val="FigureFooter"/>
      </w:pPr>
      <w:r>
        <w:t>Source: Department of Agriculture</w:t>
      </w:r>
      <w:r w:rsidR="00C55ED6">
        <w:t>, April 2014</w:t>
      </w:r>
    </w:p>
    <w:p w:rsidR="007B4DA8" w:rsidRPr="000D07B4" w:rsidRDefault="00546E00" w:rsidP="007B4DA8">
      <w:pPr>
        <w:pStyle w:val="FindingsNormalNumbering"/>
        <w:ind w:left="0" w:firstLine="0"/>
      </w:pPr>
      <w:r>
        <w:t>During fieldwork, t</w:t>
      </w:r>
      <w:r w:rsidR="007B4DA8">
        <w:t xml:space="preserve">he </w:t>
      </w:r>
      <w:r w:rsidR="00143B54">
        <w:t xml:space="preserve">then </w:t>
      </w:r>
      <w:r w:rsidR="007B4DA8">
        <w:t>Air Cargo Program advised the IIGB that t</w:t>
      </w:r>
      <w:r w:rsidR="007B4DA8" w:rsidRPr="00D44DA3">
        <w:t xml:space="preserve">he majority of </w:t>
      </w:r>
      <w:r w:rsidR="007B4DA8">
        <w:t xml:space="preserve">international </w:t>
      </w:r>
      <w:r w:rsidR="007B4DA8" w:rsidRPr="00D44DA3">
        <w:t xml:space="preserve">online purchases </w:t>
      </w:r>
      <w:r w:rsidR="00F97792">
        <w:t>are</w:t>
      </w:r>
      <w:r w:rsidR="007B4DA8">
        <w:t xml:space="preserve"> non</w:t>
      </w:r>
      <w:r w:rsidR="00D03CC5">
        <w:t>-</w:t>
      </w:r>
      <w:r w:rsidR="007B4DA8">
        <w:t>commercial imports</w:t>
      </w:r>
      <w:r w:rsidR="00F72E1E">
        <w:t xml:space="preserve"> that </w:t>
      </w:r>
      <w:r w:rsidR="007B4DA8">
        <w:t>arriv</w:t>
      </w:r>
      <w:r w:rsidR="00F72E1E">
        <w:t>e</w:t>
      </w:r>
      <w:r w:rsidR="007B4DA8" w:rsidRPr="00D44DA3">
        <w:t xml:space="preserve"> by air and </w:t>
      </w:r>
      <w:r w:rsidR="00F97792">
        <w:t>have</w:t>
      </w:r>
      <w:r w:rsidR="007B4DA8" w:rsidRPr="00D44DA3">
        <w:t xml:space="preserve"> a value</w:t>
      </w:r>
      <w:r w:rsidR="003753CF" w:rsidRPr="003753CF">
        <w:t xml:space="preserve"> </w:t>
      </w:r>
      <w:r w:rsidR="003753CF">
        <w:t>equal to or</w:t>
      </w:r>
      <w:r w:rsidR="007B4DA8" w:rsidRPr="00D44DA3">
        <w:t xml:space="preserve"> less </w:t>
      </w:r>
      <w:r w:rsidR="007B4DA8">
        <w:t>than $1</w:t>
      </w:r>
      <w:r w:rsidR="00CD3482">
        <w:t xml:space="preserve"> </w:t>
      </w:r>
      <w:r w:rsidR="007B4DA8" w:rsidRPr="00D44DA3">
        <w:t>000.</w:t>
      </w:r>
      <w:r w:rsidR="007B4DA8">
        <w:t xml:space="preserve"> Consequently, the IIGB narrowed the focus of this audit by </w:t>
      </w:r>
      <w:r w:rsidR="002A7ACE">
        <w:t>assuming</w:t>
      </w:r>
      <w:r w:rsidR="007B4DA8">
        <w:t xml:space="preserve"> that </w:t>
      </w:r>
      <w:r w:rsidR="00F72E1E">
        <w:t xml:space="preserve">the value of </w:t>
      </w:r>
      <w:r w:rsidR="007B4DA8">
        <w:t xml:space="preserve">international online purchases arriving in </w:t>
      </w:r>
      <w:r w:rsidR="007B4DA8" w:rsidRPr="00D44DA3">
        <w:t xml:space="preserve">Australia </w:t>
      </w:r>
      <w:r w:rsidR="007B4DA8">
        <w:t>as</w:t>
      </w:r>
      <w:r w:rsidR="007B4DA8" w:rsidRPr="00D44DA3">
        <w:t xml:space="preserve"> </w:t>
      </w:r>
      <w:r w:rsidR="009E0941">
        <w:t>s</w:t>
      </w:r>
      <w:r w:rsidR="007B4DA8" w:rsidRPr="009E0941">
        <w:t>elf</w:t>
      </w:r>
      <w:r w:rsidR="00F72E1E" w:rsidRPr="009E0941">
        <w:t>-</w:t>
      </w:r>
      <w:r w:rsidR="009E0941">
        <w:t>a</w:t>
      </w:r>
      <w:r w:rsidR="007B4DA8" w:rsidRPr="009E0941">
        <w:t xml:space="preserve">ssessed </w:t>
      </w:r>
      <w:r w:rsidR="009E0941">
        <w:t>c</w:t>
      </w:r>
      <w:r w:rsidR="007B4DA8" w:rsidRPr="009E0941">
        <w:t>learance</w:t>
      </w:r>
      <w:r w:rsidR="007B4DA8" w:rsidRPr="00D44DA3">
        <w:t xml:space="preserve"> (SAC) </w:t>
      </w:r>
      <w:r w:rsidR="007B4DA8">
        <w:t xml:space="preserve">goods </w:t>
      </w:r>
      <w:r w:rsidR="00F72E1E">
        <w:t>was</w:t>
      </w:r>
      <w:r w:rsidR="003753CF">
        <w:t xml:space="preserve"> less than </w:t>
      </w:r>
      <w:r w:rsidR="007B4DA8">
        <w:t>$1</w:t>
      </w:r>
      <w:r w:rsidR="00CD3482">
        <w:t xml:space="preserve"> </w:t>
      </w:r>
      <w:r w:rsidR="007B4DA8" w:rsidRPr="00D44DA3">
        <w:t>000</w:t>
      </w:r>
      <w:r w:rsidR="003753CF">
        <w:t xml:space="preserve">. Goods valued over </w:t>
      </w:r>
      <w:r w:rsidR="00F72E1E">
        <w:t>$</w:t>
      </w:r>
      <w:r w:rsidR="007B4DA8">
        <w:t>1</w:t>
      </w:r>
      <w:r w:rsidR="003753CF">
        <w:t xml:space="preserve"> </w:t>
      </w:r>
      <w:r w:rsidR="007B4DA8" w:rsidRPr="00D44DA3">
        <w:t>000 require</w:t>
      </w:r>
      <w:r w:rsidR="007B4DA8">
        <w:t xml:space="preserve"> a </w:t>
      </w:r>
      <w:r w:rsidR="00F72E1E">
        <w:t>f</w:t>
      </w:r>
      <w:r w:rsidR="007B4DA8">
        <w:t xml:space="preserve">ull import declaration, </w:t>
      </w:r>
      <w:r w:rsidR="005017CD">
        <w:t xml:space="preserve">and the IIGB did not </w:t>
      </w:r>
      <w:r w:rsidR="007B4DA8">
        <w:t xml:space="preserve">focus on </w:t>
      </w:r>
      <w:r w:rsidR="005017CD">
        <w:t xml:space="preserve">those </w:t>
      </w:r>
      <w:r w:rsidR="007B4DA8">
        <w:t>for this audit.</w:t>
      </w:r>
    </w:p>
    <w:p w:rsidR="000D07B4" w:rsidRDefault="000D07B4" w:rsidP="000D07B4">
      <w:pPr>
        <w:pStyle w:val="FindingsNormalNumbering"/>
        <w:ind w:left="0" w:firstLine="0"/>
      </w:pPr>
      <w:r>
        <w:t xml:space="preserve">Table </w:t>
      </w:r>
      <w:r w:rsidR="001367E4">
        <w:t>2</w:t>
      </w:r>
      <w:r>
        <w:t xml:space="preserve"> shows </w:t>
      </w:r>
      <w:r w:rsidRPr="00D44DA3">
        <w:t xml:space="preserve">the </w:t>
      </w:r>
      <w:r w:rsidR="002410BF">
        <w:t>number</w:t>
      </w:r>
      <w:r w:rsidRPr="00D44DA3">
        <w:t xml:space="preserve"> of</w:t>
      </w:r>
      <w:r>
        <w:t xml:space="preserve"> SAC consignments imported into Australia by</w:t>
      </w:r>
      <w:r w:rsidRPr="00D44DA3">
        <w:t xml:space="preserve"> courier</w:t>
      </w:r>
      <w:r w:rsidR="00336D00">
        <w:t xml:space="preserve"> companies</w:t>
      </w:r>
      <w:r w:rsidRPr="00D44DA3">
        <w:t xml:space="preserve"> </w:t>
      </w:r>
      <w:r w:rsidR="008407E0">
        <w:t xml:space="preserve">from </w:t>
      </w:r>
      <w:r>
        <w:t>1 July </w:t>
      </w:r>
      <w:r w:rsidRPr="00D44DA3">
        <w:t>2008</w:t>
      </w:r>
      <w:r>
        <w:t xml:space="preserve"> </w:t>
      </w:r>
      <w:r w:rsidR="008407E0">
        <w:t xml:space="preserve">to </w:t>
      </w:r>
      <w:r>
        <w:t>30 June </w:t>
      </w:r>
      <w:r w:rsidRPr="00E60336">
        <w:t>2013</w:t>
      </w:r>
      <w:r>
        <w:t>.</w:t>
      </w:r>
    </w:p>
    <w:p w:rsidR="000D07B4" w:rsidRDefault="000D07B4" w:rsidP="000D07B4">
      <w:pPr>
        <w:pStyle w:val="Figureandtablecaptions"/>
      </w:pPr>
      <w:r w:rsidRPr="0097788B">
        <w:t xml:space="preserve">Table </w:t>
      </w:r>
      <w:proofErr w:type="gramStart"/>
      <w:r w:rsidR="001367E4">
        <w:t>2</w:t>
      </w:r>
      <w:r w:rsidRPr="0097788B">
        <w:t xml:space="preserve"> </w:t>
      </w:r>
      <w:r w:rsidR="00CD4A4F">
        <w:t xml:space="preserve"> </w:t>
      </w:r>
      <w:r w:rsidR="008710D8">
        <w:t>S</w:t>
      </w:r>
      <w:r w:rsidR="002A7ACE">
        <w:t>elf</w:t>
      </w:r>
      <w:proofErr w:type="gramEnd"/>
      <w:r w:rsidR="002A7ACE">
        <w:t>-</w:t>
      </w:r>
      <w:r>
        <w:t>assessed c</w:t>
      </w:r>
      <w:r w:rsidRPr="00D44DA3">
        <w:t xml:space="preserve">learance </w:t>
      </w:r>
      <w:r w:rsidR="008710D8">
        <w:t>consignments</w:t>
      </w:r>
      <w:r>
        <w:t xml:space="preserve"> arriving in Australia, 2008</w:t>
      </w:r>
      <w:r w:rsidR="00E27BA3">
        <w:t>–</w:t>
      </w:r>
      <w:r>
        <w:t>13</w:t>
      </w:r>
    </w:p>
    <w:tbl>
      <w:tblPr>
        <w:tblW w:w="4795" w:type="pct"/>
        <w:tblLook w:val="0000"/>
      </w:tblPr>
      <w:tblGrid>
        <w:gridCol w:w="1100"/>
        <w:gridCol w:w="1135"/>
        <w:gridCol w:w="1394"/>
        <w:gridCol w:w="1518"/>
        <w:gridCol w:w="1518"/>
        <w:gridCol w:w="1513"/>
      </w:tblGrid>
      <w:tr w:rsidR="000D07B4" w:rsidRPr="00D44DA3" w:rsidTr="00F97792">
        <w:trPr>
          <w:trHeight w:val="120"/>
        </w:trPr>
        <w:tc>
          <w:tcPr>
            <w:tcW w:w="673" w:type="pct"/>
            <w:tcBorders>
              <w:top w:val="single" w:sz="4" w:space="0" w:color="auto"/>
              <w:bottom w:val="single" w:sz="4" w:space="0" w:color="auto"/>
            </w:tcBorders>
          </w:tcPr>
          <w:p w:rsidR="000D07B4" w:rsidRPr="00D44DA3" w:rsidRDefault="000D07B4" w:rsidP="000D07B4">
            <w:pPr>
              <w:pStyle w:val="Tableheader"/>
            </w:pPr>
            <w:r>
              <w:t>Year</w:t>
            </w:r>
          </w:p>
        </w:tc>
        <w:tc>
          <w:tcPr>
            <w:tcW w:w="694" w:type="pct"/>
            <w:tcBorders>
              <w:top w:val="single" w:sz="4" w:space="0" w:color="auto"/>
              <w:bottom w:val="single" w:sz="4" w:space="0" w:color="auto"/>
            </w:tcBorders>
          </w:tcPr>
          <w:p w:rsidR="000D07B4" w:rsidRPr="00D44DA3" w:rsidRDefault="000D07B4" w:rsidP="008407E0">
            <w:pPr>
              <w:pStyle w:val="Tableheader"/>
              <w:jc w:val="right"/>
            </w:pPr>
            <w:r>
              <w:t>2008</w:t>
            </w:r>
            <w:r w:rsidR="008407E0">
              <w:t>–</w:t>
            </w:r>
            <w:r>
              <w:t>09</w:t>
            </w:r>
            <w:r w:rsidR="00084FDB">
              <w:t xml:space="preserve"> </w:t>
            </w:r>
            <w:r w:rsidR="00F97792">
              <w:t xml:space="preserve"> </w:t>
            </w:r>
            <w:r w:rsidR="00084FDB">
              <w:t>a</w:t>
            </w:r>
          </w:p>
        </w:tc>
        <w:tc>
          <w:tcPr>
            <w:tcW w:w="852" w:type="pct"/>
            <w:tcBorders>
              <w:top w:val="single" w:sz="4" w:space="0" w:color="auto"/>
              <w:bottom w:val="single" w:sz="4" w:space="0" w:color="auto"/>
            </w:tcBorders>
          </w:tcPr>
          <w:p w:rsidR="000D07B4" w:rsidRPr="00D44DA3" w:rsidRDefault="000D07B4" w:rsidP="008407E0">
            <w:pPr>
              <w:pStyle w:val="Tableheader"/>
              <w:jc w:val="right"/>
            </w:pPr>
            <w:r>
              <w:t>2009</w:t>
            </w:r>
            <w:r w:rsidR="008407E0">
              <w:t>–</w:t>
            </w:r>
            <w:r>
              <w:t>10</w:t>
            </w:r>
          </w:p>
        </w:tc>
        <w:tc>
          <w:tcPr>
            <w:tcW w:w="928" w:type="pct"/>
            <w:tcBorders>
              <w:top w:val="single" w:sz="4" w:space="0" w:color="auto"/>
              <w:bottom w:val="single" w:sz="4" w:space="0" w:color="auto"/>
            </w:tcBorders>
          </w:tcPr>
          <w:p w:rsidR="000D07B4" w:rsidRPr="00D44DA3" w:rsidRDefault="000D07B4" w:rsidP="008407E0">
            <w:pPr>
              <w:pStyle w:val="Tableheader"/>
              <w:jc w:val="right"/>
            </w:pPr>
            <w:r w:rsidRPr="00D44DA3">
              <w:t>2010</w:t>
            </w:r>
            <w:r w:rsidR="008407E0">
              <w:t>–</w:t>
            </w:r>
            <w:r w:rsidRPr="00D44DA3">
              <w:t>11</w:t>
            </w:r>
          </w:p>
        </w:tc>
        <w:tc>
          <w:tcPr>
            <w:tcW w:w="928" w:type="pct"/>
            <w:tcBorders>
              <w:top w:val="single" w:sz="4" w:space="0" w:color="auto"/>
              <w:bottom w:val="single" w:sz="4" w:space="0" w:color="auto"/>
            </w:tcBorders>
          </w:tcPr>
          <w:p w:rsidR="000D07B4" w:rsidRPr="00D44DA3" w:rsidRDefault="000D07B4" w:rsidP="008407E0">
            <w:pPr>
              <w:pStyle w:val="Tableheader"/>
              <w:jc w:val="right"/>
            </w:pPr>
            <w:r>
              <w:t>2011</w:t>
            </w:r>
            <w:r w:rsidR="008407E0">
              <w:t>–</w:t>
            </w:r>
            <w:r w:rsidRPr="00D44DA3">
              <w:t>12</w:t>
            </w:r>
          </w:p>
        </w:tc>
        <w:tc>
          <w:tcPr>
            <w:tcW w:w="925" w:type="pct"/>
            <w:tcBorders>
              <w:top w:val="single" w:sz="4" w:space="0" w:color="auto"/>
              <w:bottom w:val="single" w:sz="4" w:space="0" w:color="auto"/>
            </w:tcBorders>
          </w:tcPr>
          <w:p w:rsidR="000D07B4" w:rsidRPr="00D44DA3" w:rsidRDefault="000D07B4" w:rsidP="008407E0">
            <w:pPr>
              <w:pStyle w:val="Tableheader"/>
              <w:jc w:val="right"/>
            </w:pPr>
            <w:r>
              <w:t>2012</w:t>
            </w:r>
            <w:r w:rsidR="008407E0">
              <w:t>–</w:t>
            </w:r>
            <w:r>
              <w:t>1</w:t>
            </w:r>
            <w:r w:rsidRPr="00D44DA3">
              <w:t>3</w:t>
            </w:r>
          </w:p>
        </w:tc>
      </w:tr>
      <w:tr w:rsidR="000D07B4" w:rsidRPr="00D44DA3" w:rsidTr="00F97792">
        <w:trPr>
          <w:trHeight w:val="120"/>
        </w:trPr>
        <w:tc>
          <w:tcPr>
            <w:tcW w:w="673" w:type="pct"/>
            <w:tcBorders>
              <w:top w:val="single" w:sz="4" w:space="0" w:color="auto"/>
            </w:tcBorders>
            <w:vAlign w:val="center"/>
          </w:tcPr>
          <w:p w:rsidR="000D07B4" w:rsidRPr="006810D2" w:rsidRDefault="000D07B4" w:rsidP="007B4DA8">
            <w:pPr>
              <w:pStyle w:val="tabletext"/>
              <w:spacing w:before="40" w:after="40"/>
            </w:pPr>
            <w:r w:rsidRPr="006810D2">
              <w:t>Air</w:t>
            </w:r>
            <w:r w:rsidR="007B4DA8">
              <w:t xml:space="preserve"> cargo</w:t>
            </w:r>
          </w:p>
        </w:tc>
        <w:tc>
          <w:tcPr>
            <w:tcW w:w="694" w:type="pct"/>
            <w:tcBorders>
              <w:top w:val="single" w:sz="4" w:space="0" w:color="auto"/>
            </w:tcBorders>
          </w:tcPr>
          <w:p w:rsidR="000D07B4" w:rsidRPr="002A7ACE" w:rsidRDefault="008407E0" w:rsidP="00084FDB">
            <w:pPr>
              <w:pStyle w:val="tabletext"/>
              <w:jc w:val="right"/>
            </w:pPr>
            <w:r w:rsidRPr="002A7ACE">
              <w:t>na</w:t>
            </w:r>
          </w:p>
        </w:tc>
        <w:tc>
          <w:tcPr>
            <w:tcW w:w="852" w:type="pct"/>
            <w:tcBorders>
              <w:top w:val="single" w:sz="4" w:space="0" w:color="auto"/>
            </w:tcBorders>
          </w:tcPr>
          <w:p w:rsidR="000D07B4" w:rsidRPr="00D44DA3" w:rsidRDefault="000D07B4" w:rsidP="008407E0">
            <w:pPr>
              <w:pStyle w:val="tabletext"/>
              <w:spacing w:before="40" w:after="40"/>
              <w:jc w:val="right"/>
            </w:pPr>
            <w:r>
              <w:t>8</w:t>
            </w:r>
            <w:r w:rsidR="008407E0">
              <w:t xml:space="preserve"> 412 </w:t>
            </w:r>
            <w:r w:rsidRPr="00D44DA3">
              <w:t>917</w:t>
            </w:r>
          </w:p>
        </w:tc>
        <w:tc>
          <w:tcPr>
            <w:tcW w:w="928" w:type="pct"/>
            <w:tcBorders>
              <w:top w:val="single" w:sz="4" w:space="0" w:color="auto"/>
            </w:tcBorders>
          </w:tcPr>
          <w:p w:rsidR="000D07B4" w:rsidRPr="00D44DA3" w:rsidRDefault="000D07B4" w:rsidP="008407E0">
            <w:pPr>
              <w:pStyle w:val="tabletext"/>
              <w:spacing w:before="40" w:after="40"/>
              <w:jc w:val="right"/>
            </w:pPr>
            <w:r>
              <w:t>10</w:t>
            </w:r>
            <w:r w:rsidR="008407E0">
              <w:t xml:space="preserve"> </w:t>
            </w:r>
            <w:r>
              <w:t>987</w:t>
            </w:r>
            <w:r w:rsidR="008407E0">
              <w:t xml:space="preserve"> </w:t>
            </w:r>
            <w:r>
              <w:t>750</w:t>
            </w:r>
          </w:p>
        </w:tc>
        <w:tc>
          <w:tcPr>
            <w:tcW w:w="928" w:type="pct"/>
            <w:tcBorders>
              <w:top w:val="single" w:sz="4" w:space="0" w:color="auto"/>
            </w:tcBorders>
          </w:tcPr>
          <w:p w:rsidR="000D07B4" w:rsidRPr="00D44DA3" w:rsidRDefault="000D07B4" w:rsidP="008407E0">
            <w:pPr>
              <w:pStyle w:val="tabletext"/>
              <w:spacing w:before="40" w:after="40"/>
              <w:jc w:val="right"/>
            </w:pPr>
            <w:r>
              <w:t>15</w:t>
            </w:r>
            <w:r w:rsidR="008407E0">
              <w:t xml:space="preserve"> </w:t>
            </w:r>
            <w:r>
              <w:t>170</w:t>
            </w:r>
            <w:r w:rsidR="008407E0">
              <w:t xml:space="preserve"> </w:t>
            </w:r>
            <w:r>
              <w:t>340</w:t>
            </w:r>
          </w:p>
        </w:tc>
        <w:tc>
          <w:tcPr>
            <w:tcW w:w="925" w:type="pct"/>
            <w:tcBorders>
              <w:top w:val="single" w:sz="4" w:space="0" w:color="auto"/>
            </w:tcBorders>
          </w:tcPr>
          <w:p w:rsidR="000D07B4" w:rsidRPr="00D44DA3" w:rsidRDefault="000D07B4" w:rsidP="008407E0">
            <w:pPr>
              <w:pStyle w:val="tabletext"/>
              <w:spacing w:before="40" w:after="40"/>
              <w:jc w:val="right"/>
            </w:pPr>
            <w:r w:rsidRPr="008B5E89">
              <w:t>25</w:t>
            </w:r>
            <w:r w:rsidR="008407E0">
              <w:t xml:space="preserve"> </w:t>
            </w:r>
            <w:r w:rsidRPr="008B5E89">
              <w:t>054</w:t>
            </w:r>
            <w:r w:rsidR="008407E0">
              <w:t xml:space="preserve"> </w:t>
            </w:r>
            <w:r w:rsidRPr="008B5E89">
              <w:t>624</w:t>
            </w:r>
          </w:p>
        </w:tc>
      </w:tr>
      <w:tr w:rsidR="000D07B4" w:rsidRPr="00D44DA3" w:rsidTr="00F97792">
        <w:trPr>
          <w:trHeight w:val="120"/>
        </w:trPr>
        <w:tc>
          <w:tcPr>
            <w:tcW w:w="673" w:type="pct"/>
            <w:vAlign w:val="center"/>
          </w:tcPr>
          <w:p w:rsidR="000D07B4" w:rsidRPr="006810D2" w:rsidRDefault="000D07B4" w:rsidP="007B4DA8">
            <w:pPr>
              <w:pStyle w:val="tabletext"/>
              <w:spacing w:before="40" w:after="40"/>
            </w:pPr>
            <w:r w:rsidRPr="006810D2">
              <w:t>Sea</w:t>
            </w:r>
            <w:r w:rsidR="007B4DA8">
              <w:t xml:space="preserve"> cargo</w:t>
            </w:r>
          </w:p>
        </w:tc>
        <w:tc>
          <w:tcPr>
            <w:tcW w:w="694" w:type="pct"/>
          </w:tcPr>
          <w:p w:rsidR="000D07B4" w:rsidRPr="002A7ACE" w:rsidRDefault="008407E0" w:rsidP="002A7ACE">
            <w:pPr>
              <w:pStyle w:val="tabletext"/>
              <w:jc w:val="right"/>
            </w:pPr>
            <w:r w:rsidRPr="002A7ACE">
              <w:t>na</w:t>
            </w:r>
          </w:p>
        </w:tc>
        <w:tc>
          <w:tcPr>
            <w:tcW w:w="852" w:type="pct"/>
          </w:tcPr>
          <w:p w:rsidR="000D07B4" w:rsidRDefault="000D07B4" w:rsidP="008407E0">
            <w:pPr>
              <w:pStyle w:val="tabletext"/>
              <w:spacing w:before="40" w:after="40"/>
              <w:jc w:val="right"/>
            </w:pPr>
            <w:r>
              <w:t>77</w:t>
            </w:r>
            <w:r w:rsidR="008407E0">
              <w:t xml:space="preserve"> </w:t>
            </w:r>
            <w:r>
              <w:t>405</w:t>
            </w:r>
          </w:p>
        </w:tc>
        <w:tc>
          <w:tcPr>
            <w:tcW w:w="928" w:type="pct"/>
          </w:tcPr>
          <w:p w:rsidR="000D07B4" w:rsidRDefault="000D07B4" w:rsidP="008407E0">
            <w:pPr>
              <w:pStyle w:val="tabletext"/>
              <w:spacing w:before="40" w:after="40"/>
              <w:jc w:val="right"/>
            </w:pPr>
            <w:r>
              <w:t>89</w:t>
            </w:r>
            <w:r w:rsidR="008407E0">
              <w:t xml:space="preserve"> </w:t>
            </w:r>
            <w:r>
              <w:t>658</w:t>
            </w:r>
          </w:p>
        </w:tc>
        <w:tc>
          <w:tcPr>
            <w:tcW w:w="928" w:type="pct"/>
          </w:tcPr>
          <w:p w:rsidR="000D07B4" w:rsidRPr="00D44DA3" w:rsidRDefault="008407E0" w:rsidP="008407E0">
            <w:pPr>
              <w:pStyle w:val="tabletext"/>
              <w:spacing w:before="40" w:after="40"/>
              <w:jc w:val="right"/>
            </w:pPr>
            <w:r>
              <w:t xml:space="preserve">88 </w:t>
            </w:r>
            <w:r w:rsidR="000D07B4">
              <w:t>714</w:t>
            </w:r>
          </w:p>
        </w:tc>
        <w:tc>
          <w:tcPr>
            <w:tcW w:w="925" w:type="pct"/>
          </w:tcPr>
          <w:p w:rsidR="000D07B4" w:rsidRPr="00D44DA3" w:rsidRDefault="008407E0" w:rsidP="008407E0">
            <w:pPr>
              <w:pStyle w:val="tabletext"/>
              <w:spacing w:before="40" w:after="40"/>
              <w:jc w:val="right"/>
            </w:pPr>
            <w:r>
              <w:t xml:space="preserve">125 </w:t>
            </w:r>
            <w:r w:rsidR="000D07B4">
              <w:t>732</w:t>
            </w:r>
          </w:p>
        </w:tc>
      </w:tr>
      <w:tr w:rsidR="000D07B4" w:rsidRPr="00D44DA3" w:rsidTr="00F97792">
        <w:trPr>
          <w:trHeight w:val="120"/>
        </w:trPr>
        <w:tc>
          <w:tcPr>
            <w:tcW w:w="673" w:type="pct"/>
            <w:tcBorders>
              <w:bottom w:val="single" w:sz="4" w:space="0" w:color="auto"/>
            </w:tcBorders>
            <w:vAlign w:val="center"/>
          </w:tcPr>
          <w:p w:rsidR="000D07B4" w:rsidRPr="006810D2" w:rsidRDefault="000D07B4" w:rsidP="007B4DA8">
            <w:pPr>
              <w:pStyle w:val="tabletext"/>
              <w:spacing w:before="40" w:after="40"/>
            </w:pPr>
            <w:r w:rsidRPr="006810D2">
              <w:t>Totals</w:t>
            </w:r>
          </w:p>
        </w:tc>
        <w:tc>
          <w:tcPr>
            <w:tcW w:w="694" w:type="pct"/>
            <w:tcBorders>
              <w:bottom w:val="single" w:sz="4" w:space="0" w:color="auto"/>
            </w:tcBorders>
          </w:tcPr>
          <w:p w:rsidR="000D07B4" w:rsidRPr="002A7ACE" w:rsidRDefault="008407E0" w:rsidP="002A7ACE">
            <w:pPr>
              <w:pStyle w:val="tabletext"/>
              <w:jc w:val="right"/>
            </w:pPr>
            <w:r w:rsidRPr="002A7ACE">
              <w:t>na</w:t>
            </w:r>
          </w:p>
        </w:tc>
        <w:tc>
          <w:tcPr>
            <w:tcW w:w="852" w:type="pct"/>
            <w:tcBorders>
              <w:bottom w:val="single" w:sz="4" w:space="0" w:color="auto"/>
            </w:tcBorders>
          </w:tcPr>
          <w:p w:rsidR="000D07B4" w:rsidRDefault="008407E0" w:rsidP="008407E0">
            <w:pPr>
              <w:pStyle w:val="tabletext"/>
              <w:spacing w:before="40" w:after="40"/>
              <w:jc w:val="right"/>
            </w:pPr>
            <w:r>
              <w:t xml:space="preserve">8 490 </w:t>
            </w:r>
            <w:r w:rsidR="000D07B4">
              <w:t>322</w:t>
            </w:r>
          </w:p>
        </w:tc>
        <w:tc>
          <w:tcPr>
            <w:tcW w:w="928" w:type="pct"/>
            <w:tcBorders>
              <w:bottom w:val="single" w:sz="4" w:space="0" w:color="auto"/>
            </w:tcBorders>
          </w:tcPr>
          <w:p w:rsidR="000D07B4" w:rsidRDefault="008407E0" w:rsidP="008407E0">
            <w:pPr>
              <w:pStyle w:val="tabletext"/>
              <w:spacing w:before="40" w:after="40"/>
              <w:jc w:val="right"/>
            </w:pPr>
            <w:r>
              <w:t xml:space="preserve">11 077 </w:t>
            </w:r>
            <w:r w:rsidR="000D07B4" w:rsidRPr="00D44DA3">
              <w:t>408</w:t>
            </w:r>
          </w:p>
        </w:tc>
        <w:tc>
          <w:tcPr>
            <w:tcW w:w="928" w:type="pct"/>
            <w:tcBorders>
              <w:bottom w:val="single" w:sz="4" w:space="0" w:color="auto"/>
            </w:tcBorders>
          </w:tcPr>
          <w:p w:rsidR="000D07B4" w:rsidRPr="00D44DA3" w:rsidRDefault="008407E0" w:rsidP="008407E0">
            <w:pPr>
              <w:pStyle w:val="tabletext"/>
              <w:spacing w:before="40" w:after="40"/>
              <w:jc w:val="right"/>
            </w:pPr>
            <w:r>
              <w:t xml:space="preserve">15 259 </w:t>
            </w:r>
            <w:r w:rsidR="000D07B4">
              <w:t>054</w:t>
            </w:r>
          </w:p>
        </w:tc>
        <w:tc>
          <w:tcPr>
            <w:tcW w:w="925" w:type="pct"/>
            <w:tcBorders>
              <w:bottom w:val="single" w:sz="4" w:space="0" w:color="auto"/>
            </w:tcBorders>
          </w:tcPr>
          <w:p w:rsidR="000D07B4" w:rsidRPr="00D44DA3" w:rsidRDefault="008407E0" w:rsidP="008407E0">
            <w:pPr>
              <w:pStyle w:val="tabletext"/>
              <w:spacing w:before="40" w:after="40"/>
              <w:jc w:val="right"/>
            </w:pPr>
            <w:r>
              <w:t xml:space="preserve">25 180 </w:t>
            </w:r>
            <w:r w:rsidR="000D07B4">
              <w:t>356</w:t>
            </w:r>
          </w:p>
        </w:tc>
      </w:tr>
    </w:tbl>
    <w:p w:rsidR="000D07B4" w:rsidRDefault="000D07B4" w:rsidP="000D07B4">
      <w:pPr>
        <w:pStyle w:val="FigureFooter"/>
      </w:pPr>
      <w:proofErr w:type="gramStart"/>
      <w:r w:rsidRPr="00B919D3">
        <w:rPr>
          <w:b/>
        </w:rPr>
        <w:t>a</w:t>
      </w:r>
      <w:proofErr w:type="gramEnd"/>
      <w:r w:rsidRPr="000D49BF">
        <w:t xml:space="preserve"> </w:t>
      </w:r>
      <w:r>
        <w:t xml:space="preserve">Data from 1 July 2008 </w:t>
      </w:r>
      <w:r w:rsidR="008407E0">
        <w:t xml:space="preserve">to </w:t>
      </w:r>
      <w:r>
        <w:t>30 June 2009 was unavailable.</w:t>
      </w:r>
    </w:p>
    <w:p w:rsidR="000D07B4" w:rsidRDefault="000D07B4" w:rsidP="000D07B4">
      <w:pPr>
        <w:pStyle w:val="FigureFooter"/>
      </w:pPr>
      <w:r>
        <w:t>Source: Department of Agriculture</w:t>
      </w:r>
      <w:r w:rsidR="00C55ED6">
        <w:t>, April 2014</w:t>
      </w:r>
    </w:p>
    <w:p w:rsidR="000D07B4" w:rsidRDefault="000D07B4" w:rsidP="00D477CE">
      <w:pPr>
        <w:pStyle w:val="FindingsNormalNumbering"/>
        <w:ind w:left="0" w:firstLine="0"/>
      </w:pPr>
      <w:r>
        <w:t xml:space="preserve">The data </w:t>
      </w:r>
      <w:r w:rsidR="00336D00">
        <w:t>in table</w:t>
      </w:r>
      <w:r w:rsidR="00D03CC5">
        <w:t>s</w:t>
      </w:r>
      <w:r w:rsidR="00336D00">
        <w:t xml:space="preserve"> </w:t>
      </w:r>
      <w:r w:rsidR="00BA7C4B">
        <w:t>1</w:t>
      </w:r>
      <w:r w:rsidR="00336D00">
        <w:t xml:space="preserve"> and </w:t>
      </w:r>
      <w:r w:rsidR="00BA7C4B">
        <w:t>2</w:t>
      </w:r>
      <w:r w:rsidR="00336D00">
        <w:t xml:space="preserve"> </w:t>
      </w:r>
      <w:r>
        <w:t xml:space="preserve">show the significant increase in </w:t>
      </w:r>
      <w:r w:rsidR="00BA7C4B">
        <w:t>SAC consignment</w:t>
      </w:r>
      <w:r w:rsidR="008407E0">
        <w:t>s</w:t>
      </w:r>
      <w:r w:rsidR="00C53CC8">
        <w:t xml:space="preserve"> compared to international mail items</w:t>
      </w:r>
      <w:r w:rsidR="00D03CC5">
        <w:t xml:space="preserve"> </w:t>
      </w:r>
      <w:r w:rsidR="008407E0">
        <w:t>in</w:t>
      </w:r>
      <w:r>
        <w:t xml:space="preserve"> the five years</w:t>
      </w:r>
      <w:r w:rsidR="008407E0">
        <w:t xml:space="preserve"> to 30 June 2013</w:t>
      </w:r>
      <w:r>
        <w:t xml:space="preserve">. The </w:t>
      </w:r>
      <w:r w:rsidR="00D477CE">
        <w:t xml:space="preserve">total </w:t>
      </w:r>
      <w:r>
        <w:t xml:space="preserve">volume </w:t>
      </w:r>
      <w:r w:rsidR="00BA7C4B">
        <w:t xml:space="preserve">of </w:t>
      </w:r>
      <w:r w:rsidR="00BA7C4B">
        <w:lastRenderedPageBreak/>
        <w:t xml:space="preserve">SAC consignments increased by approximately 297 </w:t>
      </w:r>
      <w:r w:rsidR="000163E8">
        <w:t>per cent</w:t>
      </w:r>
      <w:r>
        <w:t xml:space="preserve">, </w:t>
      </w:r>
      <w:r w:rsidR="008407E0">
        <w:t>and</w:t>
      </w:r>
      <w:r w:rsidR="00BA7C4B">
        <w:t xml:space="preserve"> the total volume of</w:t>
      </w:r>
      <w:r w:rsidR="00336D00">
        <w:t xml:space="preserve"> </w:t>
      </w:r>
      <w:r w:rsidR="00BA7C4B">
        <w:t xml:space="preserve">international mail increased by approximately 136 </w:t>
      </w:r>
      <w:r w:rsidR="000163E8">
        <w:t>per cent</w:t>
      </w:r>
      <w:r w:rsidR="00336D00">
        <w:t>.</w:t>
      </w:r>
    </w:p>
    <w:p w:rsidR="007D5882" w:rsidRPr="00435122" w:rsidRDefault="007D5882" w:rsidP="00435122">
      <w:pPr>
        <w:pStyle w:val="FindingsNormalNumbering"/>
        <w:ind w:left="0" w:firstLine="0"/>
      </w:pPr>
      <w:r>
        <w:t xml:space="preserve">In </w:t>
      </w:r>
      <w:r w:rsidRPr="00C004AE">
        <w:t>2012</w:t>
      </w:r>
      <w:r>
        <w:t>–</w:t>
      </w:r>
      <w:r w:rsidRPr="00C004AE">
        <w:t>13</w:t>
      </w:r>
      <w:r>
        <w:t xml:space="preserve"> approximately 186 million items entered Australia as international mail and the remaining 25 million items arrived as SAC consignments which were handled as</w:t>
      </w:r>
      <w:r w:rsidR="00435122">
        <w:t xml:space="preserve"> air/sea cargo</w:t>
      </w:r>
      <w:r>
        <w:t>.</w:t>
      </w:r>
      <w:r w:rsidR="00546E00">
        <w:t xml:space="preserve"> </w:t>
      </w:r>
      <w:r w:rsidR="00A47DBD">
        <w:t>These figures represent the total of imported goods arriving in Australia; data for international online purchases are not readily available. A</w:t>
      </w:r>
      <w:r>
        <w:t xml:space="preserve">pproximately 211 million items entered Australia in </w:t>
      </w:r>
      <w:r w:rsidRPr="00C004AE">
        <w:t>2012</w:t>
      </w:r>
      <w:r>
        <w:t>–</w:t>
      </w:r>
      <w:r w:rsidRPr="00C004AE">
        <w:t>13</w:t>
      </w:r>
      <w:r>
        <w:t>, highlighting the large volume of items which need to be assessed by the department.</w:t>
      </w:r>
      <w:r w:rsidRPr="007D5882">
        <w:t xml:space="preserve"> </w:t>
      </w:r>
      <w:r>
        <w:t>As volume is likely to increase into the future, as is the availability of prohibited or high biosecurity risk items, the department must continue to enhance and refine its systems to ensure it locates and assesses items of biosecurity concern effectively and efficiently.</w:t>
      </w:r>
    </w:p>
    <w:p w:rsidR="007D5882" w:rsidRDefault="00622B72" w:rsidP="007D5882">
      <w:pPr>
        <w:pStyle w:val="FindingsNormalNumbering"/>
        <w:ind w:left="0" w:firstLine="0"/>
      </w:pPr>
      <w:r>
        <w:t xml:space="preserve">The department requires pre-arrival information for items </w:t>
      </w:r>
      <w:r w:rsidR="001367E4">
        <w:t>arriving as cargo</w:t>
      </w:r>
      <w:r>
        <w:t>. This</w:t>
      </w:r>
      <w:r w:rsidR="00D276A9">
        <w:t xml:space="preserve"> allows </w:t>
      </w:r>
      <w:r>
        <w:t xml:space="preserve">the department </w:t>
      </w:r>
      <w:r w:rsidR="00D276A9">
        <w:t xml:space="preserve">to screen and assess </w:t>
      </w:r>
      <w:r>
        <w:t xml:space="preserve">items </w:t>
      </w:r>
      <w:r w:rsidR="00D276A9">
        <w:t>prior to the</w:t>
      </w:r>
      <w:r>
        <w:t>ir</w:t>
      </w:r>
      <w:r w:rsidR="00D276A9">
        <w:t xml:space="preserve"> arriv</w:t>
      </w:r>
      <w:r>
        <w:t>al</w:t>
      </w:r>
      <w:r w:rsidR="00D276A9">
        <w:t xml:space="preserve"> at the Australian border.</w:t>
      </w:r>
      <w:r w:rsidR="00796274">
        <w:t xml:space="preserve"> </w:t>
      </w:r>
      <w:r w:rsidR="00051240">
        <w:t>However</w:t>
      </w:r>
      <w:r w:rsidR="00F97792">
        <w:t>, for items arriving at the Australian border as international mail, pre-arrival information is</w:t>
      </w:r>
      <w:r w:rsidR="00762FAF">
        <w:t xml:space="preserve"> generally</w:t>
      </w:r>
      <w:r w:rsidR="00F97792">
        <w:t xml:space="preserve"> not available.</w:t>
      </w:r>
      <w:r w:rsidR="00762FAF">
        <w:t xml:space="preserve"> </w:t>
      </w:r>
      <w:r w:rsidR="00F97792">
        <w:t xml:space="preserve"> Consequently, border </w:t>
      </w:r>
      <w:r w:rsidR="00F2605D">
        <w:t xml:space="preserve">clearance </w:t>
      </w:r>
      <w:r w:rsidR="00F97792">
        <w:t xml:space="preserve">processes for mail are more </w:t>
      </w:r>
      <w:r w:rsidR="008710D8">
        <w:t>labour intensive than for cargo (Treasury 2012).</w:t>
      </w:r>
      <w:r w:rsidR="008773DE" w:rsidRPr="008773DE">
        <w:t xml:space="preserve"> </w:t>
      </w:r>
      <w:r w:rsidR="008773DE">
        <w:t>Australia Post is currently conducting a trial in association with the Universal Postal Union (UPU) to provide pre-arrival data for bar</w:t>
      </w:r>
      <w:r w:rsidR="00CD4A4F">
        <w:t>-</w:t>
      </w:r>
      <w:r w:rsidR="008773DE">
        <w:t>coded (e.g. EMS, Parcel) mail (Koch 2014).</w:t>
      </w:r>
    </w:p>
    <w:p w:rsidR="00D276A9" w:rsidRDefault="00D276A9" w:rsidP="007D5882">
      <w:pPr>
        <w:pStyle w:val="FindingsNormalNumbering"/>
        <w:ind w:left="0" w:firstLine="0"/>
      </w:pPr>
      <w:r>
        <w:t xml:space="preserve">The Mail Program and </w:t>
      </w:r>
      <w:r w:rsidR="003A40E9">
        <w:t xml:space="preserve">the </w:t>
      </w:r>
      <w:r>
        <w:t xml:space="preserve">Cargo Program </w:t>
      </w:r>
      <w:r w:rsidR="003A40E9">
        <w:t>use</w:t>
      </w:r>
      <w:r w:rsidR="00143B54">
        <w:t>d</w:t>
      </w:r>
      <w:r>
        <w:t xml:space="preserve"> different risk </w:t>
      </w:r>
      <w:r w:rsidR="00BE0A14">
        <w:t>categori</w:t>
      </w:r>
      <w:r w:rsidR="003A40E9">
        <w:t>es</w:t>
      </w:r>
      <w:r>
        <w:t xml:space="preserve"> for </w:t>
      </w:r>
      <w:r w:rsidR="003A40E9">
        <w:t xml:space="preserve">imported </w:t>
      </w:r>
      <w:r>
        <w:t>commodities</w:t>
      </w:r>
      <w:r w:rsidR="003A40E9">
        <w:t>,</w:t>
      </w:r>
      <w:r>
        <w:t xml:space="preserve"> primarily </w:t>
      </w:r>
      <w:r w:rsidR="003A40E9">
        <w:t xml:space="preserve">because of </w:t>
      </w:r>
      <w:r>
        <w:t>the commercial and non-</w:t>
      </w:r>
      <w:r w:rsidR="00BE0A14">
        <w:t>commercial nature of the good</w:t>
      </w:r>
      <w:r w:rsidR="00D03CC5">
        <w:t>s</w:t>
      </w:r>
      <w:r>
        <w:t xml:space="preserve">. Generally, the Cargo Program </w:t>
      </w:r>
      <w:r w:rsidR="00BE0A14">
        <w:t>manage</w:t>
      </w:r>
      <w:r w:rsidR="00143B54">
        <w:t>d</w:t>
      </w:r>
      <w:r w:rsidR="00BE0A14">
        <w:t xml:space="preserve"> </w:t>
      </w:r>
      <w:r w:rsidR="003A40E9">
        <w:t xml:space="preserve">bulk </w:t>
      </w:r>
      <w:r w:rsidR="00BE0A14">
        <w:t>commodities for commercial purposes</w:t>
      </w:r>
      <w:r w:rsidR="003A40E9">
        <w:t xml:space="preserve"> and</w:t>
      </w:r>
      <w:r w:rsidR="00BE0A14">
        <w:t xml:space="preserve"> the Mail Program manage</w:t>
      </w:r>
      <w:r w:rsidR="00143B54">
        <w:t>d</w:t>
      </w:r>
      <w:r w:rsidR="00BE0A14">
        <w:t xml:space="preserve"> non-commercial goods.</w:t>
      </w:r>
    </w:p>
    <w:p w:rsidR="00EA2B59" w:rsidRDefault="00FB4074" w:rsidP="00EA2B59">
      <w:pPr>
        <w:pStyle w:val="FindingsNormalNumbering"/>
        <w:ind w:left="0" w:firstLine="0"/>
      </w:pPr>
      <w:r>
        <w:t xml:space="preserve">The </w:t>
      </w:r>
      <w:r w:rsidR="003A40E9">
        <w:t>programs assess</w:t>
      </w:r>
      <w:r w:rsidR="00143B54">
        <w:t>ed</w:t>
      </w:r>
      <w:r w:rsidR="003A40E9">
        <w:t xml:space="preserve"> </w:t>
      </w:r>
      <w:r>
        <w:t xml:space="preserve">international mail and cargo </w:t>
      </w:r>
      <w:r w:rsidR="003A40E9">
        <w:t xml:space="preserve">for </w:t>
      </w:r>
      <w:r>
        <w:t>biosecurity risks different</w:t>
      </w:r>
      <w:r w:rsidR="003A40E9">
        <w:t>ly;</w:t>
      </w:r>
      <w:r>
        <w:t xml:space="preserve"> both programs have advantages and challenges. </w:t>
      </w:r>
      <w:r w:rsidR="003A40E9">
        <w:t xml:space="preserve">See </w:t>
      </w:r>
      <w:r w:rsidR="003A40E9" w:rsidRPr="00AF2092">
        <w:t>sections 3 and 4</w:t>
      </w:r>
      <w:r w:rsidR="003A40E9">
        <w:t xml:space="preserve"> for descriptions of how </w:t>
      </w:r>
      <w:r>
        <w:t xml:space="preserve">international online purchases enter Australia </w:t>
      </w:r>
      <w:r w:rsidR="00BA7C4B">
        <w:t>as</w:t>
      </w:r>
      <w:r>
        <w:t xml:space="preserve"> international mail</w:t>
      </w:r>
      <w:r w:rsidR="00BA7C4B">
        <w:t xml:space="preserve"> (post)</w:t>
      </w:r>
      <w:r>
        <w:t xml:space="preserve"> </w:t>
      </w:r>
      <w:r w:rsidR="00AF2092">
        <w:t xml:space="preserve">and </w:t>
      </w:r>
      <w:r>
        <w:t>air cargo (SAC consignment</w:t>
      </w:r>
      <w:r w:rsidR="00F2605D">
        <w:t>s</w:t>
      </w:r>
      <w:r>
        <w:t>).</w:t>
      </w:r>
    </w:p>
    <w:p w:rsidR="00B85702" w:rsidRDefault="00B85702" w:rsidP="00B85702">
      <w:pPr>
        <w:pStyle w:val="Findingsub-heading"/>
      </w:pPr>
      <w:r>
        <w:t>Departmental controls</w:t>
      </w:r>
    </w:p>
    <w:p w:rsidR="00233645" w:rsidRDefault="00CD5FC9" w:rsidP="00EA2B59">
      <w:pPr>
        <w:pStyle w:val="FindingsNormalNumbering"/>
        <w:ind w:left="0" w:firstLine="0"/>
      </w:pPr>
      <w:r>
        <w:t>Sections of t</w:t>
      </w:r>
      <w:r w:rsidR="00233645">
        <w:t xml:space="preserve">he </w:t>
      </w:r>
      <w:r w:rsidR="00233645" w:rsidRPr="00233645">
        <w:rPr>
          <w:i/>
        </w:rPr>
        <w:t>Quarantine Act 1908</w:t>
      </w:r>
      <w:r w:rsidR="00233645">
        <w:t xml:space="preserve"> provide department officers with examination powers:</w:t>
      </w:r>
    </w:p>
    <w:p w:rsidR="00233645" w:rsidRDefault="007C6286" w:rsidP="007C6286">
      <w:pPr>
        <w:pStyle w:val="bulletlevel1"/>
        <w:ind w:left="709" w:hanging="284"/>
      </w:pPr>
      <w:r>
        <w:t>section 44C</w:t>
      </w:r>
      <w:r w:rsidR="00CD5FC9">
        <w:t>, E</w:t>
      </w:r>
      <w:r w:rsidR="00233645">
        <w:t>xamination of goods on importation</w:t>
      </w:r>
    </w:p>
    <w:p w:rsidR="00233645" w:rsidRDefault="007C6286" w:rsidP="007C6286">
      <w:pPr>
        <w:pStyle w:val="bulletlevel1"/>
        <w:ind w:left="709" w:hanging="284"/>
      </w:pPr>
      <w:r>
        <w:t>section 52</w:t>
      </w:r>
      <w:r w:rsidR="00CD5FC9">
        <w:t>,</w:t>
      </w:r>
      <w:r>
        <w:t xml:space="preserve"> </w:t>
      </w:r>
      <w:r w:rsidR="00CD5FC9">
        <w:t>E</w:t>
      </w:r>
      <w:r w:rsidR="00233645">
        <w:t>xamination of animals on importation</w:t>
      </w:r>
    </w:p>
    <w:p w:rsidR="00233645" w:rsidRDefault="00233645" w:rsidP="007C6286">
      <w:pPr>
        <w:pStyle w:val="bulletlevel1"/>
        <w:ind w:left="709" w:hanging="284"/>
      </w:pPr>
      <w:r>
        <w:t>section 53</w:t>
      </w:r>
      <w:r w:rsidR="00CD5FC9">
        <w:t>,</w:t>
      </w:r>
      <w:r>
        <w:t xml:space="preserve"> </w:t>
      </w:r>
      <w:r w:rsidR="00CD5FC9">
        <w:t>E</w:t>
      </w:r>
      <w:r>
        <w:t>xamination of plants on importation</w:t>
      </w:r>
    </w:p>
    <w:p w:rsidR="00233645" w:rsidRDefault="007C6286" w:rsidP="007C6286">
      <w:pPr>
        <w:pStyle w:val="bulletlevel1"/>
        <w:ind w:left="709" w:hanging="284"/>
      </w:pPr>
      <w:r>
        <w:t>section 55A</w:t>
      </w:r>
      <w:r w:rsidR="00CD5FC9">
        <w:t>,</w:t>
      </w:r>
      <w:r>
        <w:t xml:space="preserve"> </w:t>
      </w:r>
      <w:r w:rsidR="00CD5FC9">
        <w:t>P</w:t>
      </w:r>
      <w:r w:rsidR="00233645">
        <w:t>ower to order goods into quarantine</w:t>
      </w:r>
    </w:p>
    <w:p w:rsidR="00233645" w:rsidRDefault="00233645" w:rsidP="007C6286">
      <w:pPr>
        <w:pStyle w:val="bulletlevel1"/>
        <w:ind w:left="709" w:hanging="284"/>
      </w:pPr>
      <w:proofErr w:type="gramStart"/>
      <w:r>
        <w:t>section</w:t>
      </w:r>
      <w:proofErr w:type="gramEnd"/>
      <w:r w:rsidR="007C6286">
        <w:t xml:space="preserve"> 70A</w:t>
      </w:r>
      <w:r w:rsidR="00CD5FC9">
        <w:t>,</w:t>
      </w:r>
      <w:r w:rsidR="007C6286">
        <w:t xml:space="preserve"> </w:t>
      </w:r>
      <w:r w:rsidR="00CD5FC9">
        <w:t>P</w:t>
      </w:r>
      <w:r>
        <w:t>ower to search goods.</w:t>
      </w:r>
    </w:p>
    <w:p w:rsidR="00233645" w:rsidRDefault="00233645" w:rsidP="00233645">
      <w:pPr>
        <w:pStyle w:val="FindingsNormalNumbering"/>
        <w:ind w:left="0" w:firstLine="0"/>
      </w:pPr>
      <w:r>
        <w:t xml:space="preserve">The power to examine is defined in section 5(1) of the </w:t>
      </w:r>
      <w:r w:rsidR="00620A4C">
        <w:t>a</w:t>
      </w:r>
      <w:r w:rsidR="00CD5FC9">
        <w:t>ct</w:t>
      </w:r>
      <w:r>
        <w:rPr>
          <w:i/>
        </w:rPr>
        <w:t xml:space="preserve"> </w:t>
      </w:r>
      <w:r w:rsidR="00B85702">
        <w:t>and provides the basis for officers to obtain information about the level of biosecurity risk posed by the good</w:t>
      </w:r>
      <w:r w:rsidR="00D03CC5">
        <w:t>s</w:t>
      </w:r>
      <w:r w:rsidR="002410BF">
        <w:t xml:space="preserve">. </w:t>
      </w:r>
      <w:r w:rsidR="00B85702">
        <w:t>This includes documentary assessment, physical inspection and performance of tests and sampling as required.</w:t>
      </w:r>
    </w:p>
    <w:p w:rsidR="00B85702" w:rsidRDefault="00B85702" w:rsidP="00233645">
      <w:pPr>
        <w:pStyle w:val="FindingsNormalNumbering"/>
        <w:ind w:left="0" w:firstLine="0"/>
      </w:pPr>
      <w:r>
        <w:t xml:space="preserve">Goods are imported in contravention of the </w:t>
      </w:r>
      <w:r w:rsidR="00620A4C">
        <w:t>a</w:t>
      </w:r>
      <w:r w:rsidR="00CD5FC9">
        <w:t xml:space="preserve">ct </w:t>
      </w:r>
      <w:r>
        <w:t xml:space="preserve">if they do not meet the import conditions </w:t>
      </w:r>
      <w:r w:rsidR="00CD5FC9">
        <w:t>because</w:t>
      </w:r>
      <w:r>
        <w:t>:</w:t>
      </w:r>
    </w:p>
    <w:p w:rsidR="00B85702" w:rsidRDefault="00B85702" w:rsidP="007C6286">
      <w:pPr>
        <w:pStyle w:val="bulletlevel1"/>
        <w:ind w:left="709" w:hanging="284"/>
      </w:pPr>
      <w:r>
        <w:t>they are prohibited</w:t>
      </w:r>
    </w:p>
    <w:p w:rsidR="00B85702" w:rsidRDefault="00B85702" w:rsidP="007C6286">
      <w:pPr>
        <w:pStyle w:val="bulletlevel1"/>
        <w:ind w:left="709" w:hanging="284"/>
      </w:pPr>
      <w:r>
        <w:lastRenderedPageBreak/>
        <w:t>they do not meet specified import conditions</w:t>
      </w:r>
    </w:p>
    <w:p w:rsidR="00B85702" w:rsidRDefault="00B85702" w:rsidP="007C6286">
      <w:pPr>
        <w:pStyle w:val="bulletlevel1"/>
        <w:ind w:left="709" w:hanging="284"/>
      </w:pPr>
      <w:r>
        <w:t xml:space="preserve">they have been imported without an import permit or the conditions of the import permit </w:t>
      </w:r>
      <w:r w:rsidR="00CD5FC9">
        <w:t>have</w:t>
      </w:r>
      <w:r>
        <w:t xml:space="preserve"> not </w:t>
      </w:r>
      <w:r w:rsidR="00CD5FC9">
        <w:t xml:space="preserve">been </w:t>
      </w:r>
      <w:r>
        <w:t>met</w:t>
      </w:r>
      <w:r w:rsidR="00CD5FC9">
        <w:t>, or</w:t>
      </w:r>
    </w:p>
    <w:p w:rsidR="00B85702" w:rsidRDefault="00B85702" w:rsidP="007C6286">
      <w:pPr>
        <w:pStyle w:val="bulletlevel1"/>
        <w:ind w:left="709" w:hanging="284"/>
      </w:pPr>
      <w:proofErr w:type="gramStart"/>
      <w:r>
        <w:t>they</w:t>
      </w:r>
      <w:proofErr w:type="gramEnd"/>
      <w:r>
        <w:t xml:space="preserve"> have failed to satisfy other requirements in the </w:t>
      </w:r>
      <w:r w:rsidR="00B610AB" w:rsidRPr="00B610AB">
        <w:t>Quarantine</w:t>
      </w:r>
      <w:r w:rsidR="00B610AB">
        <w:t xml:space="preserve"> P</w:t>
      </w:r>
      <w:r>
        <w:t>roclamation</w:t>
      </w:r>
      <w:r w:rsidR="00B610AB">
        <w:t xml:space="preserve"> 1998</w:t>
      </w:r>
      <w:r>
        <w:t>.</w:t>
      </w:r>
    </w:p>
    <w:p w:rsidR="00B85702" w:rsidRDefault="00B85702" w:rsidP="00B85702">
      <w:pPr>
        <w:pStyle w:val="FindingsNormalNumbering"/>
        <w:ind w:left="0" w:firstLine="0"/>
      </w:pPr>
      <w:r>
        <w:t xml:space="preserve">Goods imported in contravention of the </w:t>
      </w:r>
      <w:r w:rsidR="00DE642F">
        <w:t xml:space="preserve">act </w:t>
      </w:r>
      <w:r>
        <w:t>may be seized and destroyed in accordance with section 68(1)</w:t>
      </w:r>
      <w:r>
        <w:rPr>
          <w:i/>
        </w:rPr>
        <w:t>.</w:t>
      </w:r>
      <w:r w:rsidR="00546E00">
        <w:t xml:space="preserve"> In June 2013, the department implemented policy to allow for the immediate destruction of goods that:</w:t>
      </w:r>
    </w:p>
    <w:p w:rsidR="00546E00" w:rsidRDefault="00546E00" w:rsidP="00546E00">
      <w:pPr>
        <w:pStyle w:val="bulletlevel1"/>
        <w:ind w:left="709" w:hanging="284"/>
      </w:pPr>
      <w:r>
        <w:t>have been imported in contravention of the Act</w:t>
      </w:r>
    </w:p>
    <w:p w:rsidR="00546E00" w:rsidRDefault="00546E00" w:rsidP="00546E00">
      <w:pPr>
        <w:pStyle w:val="bulletlevel1"/>
        <w:ind w:left="709" w:hanging="284"/>
      </w:pPr>
      <w:r>
        <w:t>are valued at less than $100, and</w:t>
      </w:r>
    </w:p>
    <w:p w:rsidR="00546E00" w:rsidRDefault="00546E00" w:rsidP="00546E00">
      <w:pPr>
        <w:pStyle w:val="bulletlevel1"/>
        <w:ind w:left="709" w:hanging="284"/>
      </w:pPr>
      <w:proofErr w:type="gramStart"/>
      <w:r>
        <w:t>are</w:t>
      </w:r>
      <w:proofErr w:type="gramEnd"/>
      <w:r>
        <w:t xml:space="preserve"> assessed as not being of sentimental value.</w:t>
      </w:r>
    </w:p>
    <w:p w:rsidR="004315F2" w:rsidRPr="00E6115A" w:rsidRDefault="00A72FEB" w:rsidP="00EB20AD">
      <w:pPr>
        <w:pStyle w:val="NumberedHeading2"/>
        <w:keepNext/>
        <w:spacing w:after="120"/>
        <w:ind w:hanging="720"/>
      </w:pPr>
      <w:bookmarkStart w:id="34" w:name="_Toc375315635"/>
      <w:bookmarkStart w:id="35" w:name="_Toc327960957"/>
      <w:bookmarkStart w:id="36" w:name="_Toc331763869"/>
      <w:bookmarkStart w:id="37" w:name="_Toc334446929"/>
      <w:r>
        <w:br w:type="page"/>
      </w:r>
      <w:bookmarkStart w:id="38" w:name="_Toc413220603"/>
      <w:r w:rsidR="004315F2" w:rsidRPr="00E6115A">
        <w:lastRenderedPageBreak/>
        <w:t>Methodology</w:t>
      </w:r>
      <w:bookmarkEnd w:id="34"/>
      <w:bookmarkEnd w:id="38"/>
    </w:p>
    <w:p w:rsidR="004315F2" w:rsidRDefault="004315F2" w:rsidP="004315F2">
      <w:pPr>
        <w:pStyle w:val="FindingsNormalNumbering"/>
        <w:ind w:left="0" w:firstLine="0"/>
      </w:pPr>
      <w:r w:rsidRPr="00A55791">
        <w:t>The methodology for this review included:</w:t>
      </w:r>
    </w:p>
    <w:p w:rsidR="004315F2" w:rsidRDefault="004315F2" w:rsidP="004315F2">
      <w:pPr>
        <w:pStyle w:val="bulletlevel1"/>
        <w:ind w:left="709" w:hanging="284"/>
      </w:pPr>
      <w:r>
        <w:t>an entry meeting with stakeholders to enable the IIGB to</w:t>
      </w:r>
    </w:p>
    <w:p w:rsidR="004315F2" w:rsidRDefault="004315F2" w:rsidP="00DE642F">
      <w:pPr>
        <w:pStyle w:val="bulletlevel2"/>
      </w:pPr>
      <w:r>
        <w:t>communicate review objectives and scope</w:t>
      </w:r>
    </w:p>
    <w:p w:rsidR="004315F2" w:rsidRDefault="004315F2" w:rsidP="00DE642F">
      <w:pPr>
        <w:pStyle w:val="bulletlevel2"/>
      </w:pPr>
      <w:r>
        <w:t>outline responsibilities</w:t>
      </w:r>
    </w:p>
    <w:p w:rsidR="004315F2" w:rsidRDefault="004315F2" w:rsidP="00DE642F">
      <w:pPr>
        <w:pStyle w:val="bulletlevel2"/>
      </w:pPr>
      <w:r w:rsidRPr="000D77B4">
        <w:t>identify risks</w:t>
      </w:r>
      <w:r>
        <w:t xml:space="preserve"> to the review and any appropriate mitigation strategies</w:t>
      </w:r>
    </w:p>
    <w:p w:rsidR="004315F2" w:rsidRDefault="004315F2" w:rsidP="00DE642F">
      <w:pPr>
        <w:pStyle w:val="bulletlevel2"/>
      </w:pPr>
      <w:r w:rsidRPr="000D77B4">
        <w:t>request background informat</w:t>
      </w:r>
      <w:r>
        <w:t>ion to assist the review process</w:t>
      </w:r>
    </w:p>
    <w:p w:rsidR="004315F2" w:rsidRPr="000D77B4" w:rsidRDefault="004315F2" w:rsidP="00DE642F">
      <w:pPr>
        <w:pStyle w:val="bulletlevel2"/>
      </w:pPr>
      <w:r>
        <w:t>provide an opportunity for all parties to discuss the review and seek clarification from the IIGB about the proposed review process</w:t>
      </w:r>
    </w:p>
    <w:p w:rsidR="00A72FEB" w:rsidRPr="00EA2AFC" w:rsidRDefault="00A72FEB" w:rsidP="00A72FEB">
      <w:pPr>
        <w:pStyle w:val="bulletlevel1"/>
        <w:ind w:left="709" w:hanging="284"/>
      </w:pPr>
      <w:r>
        <w:t>review</w:t>
      </w:r>
      <w:r w:rsidR="00AF6B96">
        <w:t xml:space="preserve"> of</w:t>
      </w:r>
      <w:r>
        <w:t xml:space="preserve"> </w:t>
      </w:r>
      <w:r w:rsidRPr="00EA2AFC">
        <w:t xml:space="preserve">background material </w:t>
      </w:r>
      <w:r>
        <w:t>related</w:t>
      </w:r>
      <w:r w:rsidRPr="00EA2AFC">
        <w:t xml:space="preserve"> to the biosecurity risks and the</w:t>
      </w:r>
      <w:r w:rsidR="0051311D">
        <w:t>ir</w:t>
      </w:r>
      <w:r w:rsidRPr="00EA2AFC">
        <w:t xml:space="preserve"> management </w:t>
      </w:r>
      <w:r w:rsidR="0051311D">
        <w:t xml:space="preserve">for </w:t>
      </w:r>
      <w:r>
        <w:t>international online purchases</w:t>
      </w:r>
    </w:p>
    <w:p w:rsidR="00A72FEB" w:rsidRPr="00AF03F8" w:rsidRDefault="00A72FEB" w:rsidP="00A72FEB">
      <w:pPr>
        <w:pStyle w:val="bulletlevel1"/>
        <w:ind w:left="709" w:hanging="284"/>
      </w:pPr>
      <w:r>
        <w:t>review</w:t>
      </w:r>
      <w:r w:rsidR="0051311D">
        <w:t xml:space="preserve"> of</w:t>
      </w:r>
      <w:r w:rsidRPr="00AF03F8">
        <w:t xml:space="preserve"> relevant</w:t>
      </w:r>
      <w:r>
        <w:t xml:space="preserve"> departmental</w:t>
      </w:r>
      <w:r w:rsidRPr="00AF03F8">
        <w:t xml:space="preserve"> documentation and </w:t>
      </w:r>
      <w:r>
        <w:t>information</w:t>
      </w:r>
      <w:r w:rsidRPr="00AF03F8">
        <w:t xml:space="preserve"> (</w:t>
      </w:r>
      <w:r w:rsidR="0051311D">
        <w:t>for example,</w:t>
      </w:r>
      <w:r w:rsidRPr="00AF03F8">
        <w:t xml:space="preserve"> standard operating procedures, work instructions and communication material)</w:t>
      </w:r>
    </w:p>
    <w:p w:rsidR="00A72FEB" w:rsidRPr="00AF03F8" w:rsidRDefault="00A72FEB" w:rsidP="00A72FEB">
      <w:pPr>
        <w:pStyle w:val="bulletlevel1"/>
        <w:ind w:left="709" w:hanging="284"/>
      </w:pPr>
      <w:r>
        <w:t>review</w:t>
      </w:r>
      <w:r w:rsidRPr="00AF03F8">
        <w:t xml:space="preserve"> of performance and effectiveness of </w:t>
      </w:r>
      <w:r>
        <w:t>the department’s profiling a</w:t>
      </w:r>
      <w:r w:rsidRPr="00AF03F8">
        <w:t>nd other risk</w:t>
      </w:r>
      <w:r w:rsidR="00D37549">
        <w:t>-</w:t>
      </w:r>
      <w:r w:rsidRPr="00AF03F8">
        <w:t>based intervention strategies</w:t>
      </w:r>
    </w:p>
    <w:p w:rsidR="00A72FEB" w:rsidRPr="00AF03F8" w:rsidRDefault="00A72FEB" w:rsidP="00A72FEB">
      <w:pPr>
        <w:pStyle w:val="bulletlevel1"/>
        <w:ind w:left="709" w:hanging="284"/>
      </w:pPr>
      <w:r w:rsidRPr="00AF03F8">
        <w:t>desktop review of international</w:t>
      </w:r>
      <w:r>
        <w:t xml:space="preserve"> mail and </w:t>
      </w:r>
      <w:r w:rsidRPr="00AF03F8">
        <w:t>air cargo</w:t>
      </w:r>
      <w:r>
        <w:t xml:space="preserve"> </w:t>
      </w:r>
      <w:r w:rsidRPr="00AF03F8">
        <w:t>handling processes</w:t>
      </w:r>
      <w:r w:rsidR="00C8690F">
        <w:t>,</w:t>
      </w:r>
      <w:r w:rsidRPr="00AF03F8">
        <w:t xml:space="preserve"> focus</w:t>
      </w:r>
      <w:r w:rsidR="00C8690F">
        <w:t>ing</w:t>
      </w:r>
      <w:r w:rsidRPr="00AF03F8">
        <w:t xml:space="preserve"> on </w:t>
      </w:r>
      <w:r>
        <w:t>international online purchases</w:t>
      </w:r>
    </w:p>
    <w:p w:rsidR="00A72FEB" w:rsidRPr="00AF03F8" w:rsidRDefault="00A72FEB" w:rsidP="00A72FEB">
      <w:pPr>
        <w:pStyle w:val="bulletlevel1"/>
        <w:ind w:left="709" w:hanging="284"/>
      </w:pPr>
      <w:r w:rsidRPr="00AF03F8">
        <w:t>assess</w:t>
      </w:r>
      <w:r w:rsidR="00C8690F">
        <w:t>ment of</w:t>
      </w:r>
      <w:r w:rsidRPr="00AF03F8">
        <w:t xml:space="preserve"> </w:t>
      </w:r>
      <w:r w:rsidR="00C8690F">
        <w:t xml:space="preserve">the department’s </w:t>
      </w:r>
      <w:r w:rsidRPr="00AF03F8">
        <w:t>procedures and operations at the border</w:t>
      </w:r>
      <w:r w:rsidR="00C8690F">
        <w:t xml:space="preserve"> (for example</w:t>
      </w:r>
      <w:r w:rsidRPr="00AF03F8">
        <w:t>,</w:t>
      </w:r>
      <w:r w:rsidR="00C8690F" w:rsidDel="00C8690F">
        <w:t xml:space="preserve"> </w:t>
      </w:r>
      <w:r w:rsidR="000326D2">
        <w:t xml:space="preserve">at </w:t>
      </w:r>
      <w:r w:rsidRPr="00AF03F8">
        <w:t xml:space="preserve">Australia Post </w:t>
      </w:r>
      <w:r w:rsidR="000326D2">
        <w:t>g</w:t>
      </w:r>
      <w:r w:rsidRPr="00AF03F8">
        <w:t xml:space="preserve">ateway </w:t>
      </w:r>
      <w:r w:rsidR="000326D2">
        <w:t>f</w:t>
      </w:r>
      <w:r w:rsidRPr="00AF03F8">
        <w:t xml:space="preserve">acilities and </w:t>
      </w:r>
      <w:r w:rsidR="00D37549">
        <w:t>c</w:t>
      </w:r>
      <w:r w:rsidRPr="00D37549">
        <w:t xml:space="preserve">argo </w:t>
      </w:r>
      <w:r w:rsidR="00D37549">
        <w:t>t</w:t>
      </w:r>
      <w:r w:rsidRPr="00D37549">
        <w:t xml:space="preserve">erminal </w:t>
      </w:r>
      <w:r w:rsidR="00D37549">
        <w:t>o</w:t>
      </w:r>
      <w:r w:rsidRPr="00D37549">
        <w:t>perators</w:t>
      </w:r>
      <w:r w:rsidR="00C8690F">
        <w:t>)</w:t>
      </w:r>
    </w:p>
    <w:p w:rsidR="004315F2" w:rsidRPr="000D77B4" w:rsidRDefault="004315F2" w:rsidP="004315F2">
      <w:pPr>
        <w:pStyle w:val="bulletlevel1"/>
        <w:ind w:left="709" w:hanging="284"/>
      </w:pPr>
      <w:r w:rsidRPr="000D77B4">
        <w:t>exit interview</w:t>
      </w:r>
      <w:r>
        <w:t>s</w:t>
      </w:r>
      <w:r w:rsidRPr="000D77B4">
        <w:t xml:space="preserve"> with stakeholders to</w:t>
      </w:r>
    </w:p>
    <w:p w:rsidR="004315F2" w:rsidRPr="000D77B4" w:rsidRDefault="004315F2" w:rsidP="00DE642F">
      <w:pPr>
        <w:pStyle w:val="bulletlevel2"/>
      </w:pPr>
      <w:r w:rsidRPr="000D77B4">
        <w:t>provide an overview of initial findings</w:t>
      </w:r>
      <w:r>
        <w:t xml:space="preserve"> and observations</w:t>
      </w:r>
    </w:p>
    <w:p w:rsidR="004315F2" w:rsidRDefault="004315F2" w:rsidP="00DE642F">
      <w:pPr>
        <w:pStyle w:val="bulletlevel2"/>
      </w:pPr>
      <w:r>
        <w:t>provide an opportunity for stakeholders to correct any misunderstandings</w:t>
      </w:r>
      <w:r w:rsidR="00461D88">
        <w:t xml:space="preserve"> or errors</w:t>
      </w:r>
      <w:r>
        <w:t xml:space="preserve"> and provide feedback on the review process</w:t>
      </w:r>
    </w:p>
    <w:p w:rsidR="004315F2" w:rsidRDefault="004315F2" w:rsidP="00DE642F">
      <w:pPr>
        <w:pStyle w:val="bulletlevel2"/>
      </w:pPr>
      <w:r>
        <w:t xml:space="preserve">outline the process </w:t>
      </w:r>
      <w:r w:rsidR="00D91F0C">
        <w:t>for</w:t>
      </w:r>
      <w:r>
        <w:t xml:space="preserve"> release</w:t>
      </w:r>
      <w:r w:rsidR="00D91F0C">
        <w:t xml:space="preserve"> of</w:t>
      </w:r>
      <w:r>
        <w:t xml:space="preserve"> and response </w:t>
      </w:r>
      <w:r w:rsidR="00D91F0C">
        <w:t>to</w:t>
      </w:r>
      <w:r>
        <w:t xml:space="preserve"> the draft report</w:t>
      </w:r>
    </w:p>
    <w:p w:rsidR="00B0551D" w:rsidRDefault="00B0551D" w:rsidP="00B0551D">
      <w:pPr>
        <w:pStyle w:val="bulletlevel1"/>
        <w:spacing w:line="360" w:lineRule="auto"/>
        <w:ind w:left="709" w:hanging="284"/>
      </w:pPr>
      <w:r>
        <w:t>development of the draft report</w:t>
      </w:r>
      <w:r w:rsidR="00C8690F">
        <w:t>,</w:t>
      </w:r>
      <w:r>
        <w:t xml:space="preserve"> with key findings and recommendations</w:t>
      </w:r>
    </w:p>
    <w:p w:rsidR="00B0551D" w:rsidRDefault="00B0551D" w:rsidP="00B0551D">
      <w:pPr>
        <w:pStyle w:val="bulletlevel1"/>
        <w:spacing w:line="360" w:lineRule="auto"/>
        <w:ind w:left="709" w:hanging="284"/>
      </w:pPr>
      <w:r>
        <w:t xml:space="preserve">a </w:t>
      </w:r>
      <w:r w:rsidR="00DB320C">
        <w:t>‘</w:t>
      </w:r>
      <w:r>
        <w:t>fact check</w:t>
      </w:r>
      <w:r w:rsidR="00DB320C">
        <w:t>’</w:t>
      </w:r>
      <w:r>
        <w:t xml:space="preserve"> of the draft report </w:t>
      </w:r>
      <w:r w:rsidR="00DB320C">
        <w:t xml:space="preserve">by the department </w:t>
      </w:r>
      <w:r>
        <w:t>to correct any misunderstandings or errors and to provide further feedback on the review process</w:t>
      </w:r>
    </w:p>
    <w:p w:rsidR="00B0551D" w:rsidRDefault="00B0551D" w:rsidP="001A2AFD">
      <w:pPr>
        <w:pStyle w:val="bulletlevel1"/>
        <w:spacing w:line="360" w:lineRule="auto"/>
        <w:ind w:left="709" w:hanging="284"/>
      </w:pPr>
      <w:r>
        <w:t>finalisation of the draft report and provision to the Secretary</w:t>
      </w:r>
      <w:r w:rsidR="00D37549">
        <w:t>, Department of Agriculture</w:t>
      </w:r>
      <w:r w:rsidR="00422BBB">
        <w:t>,</w:t>
      </w:r>
      <w:r w:rsidR="001A2AFD">
        <w:t xml:space="preserve"> </w:t>
      </w:r>
      <w:r>
        <w:t>seeking formal management comments from the department</w:t>
      </w:r>
    </w:p>
    <w:p w:rsidR="00B0551D" w:rsidRDefault="00B0551D" w:rsidP="00B0551D">
      <w:pPr>
        <w:pStyle w:val="bulletlevel1"/>
        <w:spacing w:line="360" w:lineRule="auto"/>
        <w:ind w:left="709" w:hanging="284"/>
      </w:pPr>
      <w:r>
        <w:t xml:space="preserve">development of the final report and provision to the </w:t>
      </w:r>
      <w:r w:rsidR="00D37549">
        <w:t>M</w:t>
      </w:r>
      <w:r>
        <w:t xml:space="preserve">inister </w:t>
      </w:r>
      <w:r w:rsidR="00D37549">
        <w:t xml:space="preserve">for Agriculture </w:t>
      </w:r>
      <w:r>
        <w:t>with formal management comments</w:t>
      </w:r>
    </w:p>
    <w:p w:rsidR="00BD030D" w:rsidRDefault="00BD030D" w:rsidP="00BD030D">
      <w:pPr>
        <w:pStyle w:val="bulletlevel1"/>
        <w:ind w:left="709" w:hanging="284"/>
      </w:pPr>
      <w:proofErr w:type="gramStart"/>
      <w:r>
        <w:t>the</w:t>
      </w:r>
      <w:proofErr w:type="gramEnd"/>
      <w:r>
        <w:t xml:space="preserve"> </w:t>
      </w:r>
      <w:r w:rsidR="00003CE7">
        <w:t>m</w:t>
      </w:r>
      <w:r>
        <w:t xml:space="preserve">inister’s approval </w:t>
      </w:r>
      <w:r w:rsidR="00422BBB">
        <w:t xml:space="preserve">(or not) </w:t>
      </w:r>
      <w:r>
        <w:t xml:space="preserve">to publish the final report on the </w:t>
      </w:r>
      <w:r w:rsidR="00F2605D">
        <w:t>IIGB’s</w:t>
      </w:r>
      <w:r>
        <w:t xml:space="preserve"> website.</w:t>
      </w:r>
    </w:p>
    <w:p w:rsidR="004315F2" w:rsidRDefault="00617B22" w:rsidP="004315F2">
      <w:pPr>
        <w:pStyle w:val="FindingsNormalNumbering"/>
        <w:ind w:left="0" w:firstLine="0"/>
      </w:pPr>
      <w:r>
        <w:t>T</w:t>
      </w:r>
      <w:r w:rsidR="004315F2">
        <w:t xml:space="preserve">he agencies and groups consulted by the IIGB as part of this </w:t>
      </w:r>
      <w:r w:rsidR="008025A9">
        <w:t>audit</w:t>
      </w:r>
      <w:r w:rsidR="004315F2">
        <w:t xml:space="preserve"> are listed at </w:t>
      </w:r>
      <w:r w:rsidR="00D32AAE" w:rsidRPr="00D32AAE">
        <w:t>Appendix C</w:t>
      </w:r>
      <w:r w:rsidR="004315F2" w:rsidRPr="00D32AAE">
        <w:t>.</w:t>
      </w:r>
    </w:p>
    <w:p w:rsidR="004315F2" w:rsidRPr="00A56D90" w:rsidRDefault="007D5882" w:rsidP="00A56D90">
      <w:pPr>
        <w:rPr>
          <w:rFonts w:ascii="Cambria" w:hAnsi="Cambria"/>
          <w:b/>
          <w:sz w:val="24"/>
          <w:szCs w:val="24"/>
        </w:rPr>
      </w:pPr>
      <w:r>
        <w:rPr>
          <w:rFonts w:ascii="Cambria" w:hAnsi="Cambria"/>
          <w:b/>
          <w:sz w:val="24"/>
          <w:szCs w:val="24"/>
        </w:rPr>
        <w:br w:type="page"/>
      </w:r>
      <w:r w:rsidR="004315F2" w:rsidRPr="00A56D90">
        <w:rPr>
          <w:rFonts w:ascii="Cambria" w:hAnsi="Cambria"/>
          <w:b/>
          <w:sz w:val="24"/>
          <w:szCs w:val="24"/>
        </w:rPr>
        <w:lastRenderedPageBreak/>
        <w:t>Out of scope</w:t>
      </w:r>
    </w:p>
    <w:p w:rsidR="004315F2" w:rsidRPr="00A01C88" w:rsidRDefault="004315F2" w:rsidP="004315F2">
      <w:pPr>
        <w:pStyle w:val="FindingsNormalNumbering"/>
        <w:ind w:left="0" w:firstLine="0"/>
      </w:pPr>
      <w:r w:rsidRPr="009D6EEA">
        <w:t xml:space="preserve">This </w:t>
      </w:r>
      <w:r w:rsidR="00934F6B">
        <w:t>audit</w:t>
      </w:r>
      <w:r w:rsidRPr="009D6EEA">
        <w:t xml:space="preserve"> </w:t>
      </w:r>
      <w:r>
        <w:t>did</w:t>
      </w:r>
      <w:r w:rsidRPr="009D6EEA">
        <w:t xml:space="preserve"> not examine:</w:t>
      </w:r>
    </w:p>
    <w:p w:rsidR="00934F6B" w:rsidRDefault="00934F6B" w:rsidP="00934F6B">
      <w:pPr>
        <w:pStyle w:val="bulletlevel1"/>
        <w:ind w:left="709" w:hanging="284"/>
      </w:pPr>
      <w:r>
        <w:t>domestic online purchases</w:t>
      </w:r>
    </w:p>
    <w:p w:rsidR="00934F6B" w:rsidRDefault="00934F6B" w:rsidP="00934F6B">
      <w:pPr>
        <w:pStyle w:val="bulletlevel1"/>
        <w:ind w:left="709" w:hanging="284"/>
      </w:pPr>
      <w:r>
        <w:t>commercial considerations</w:t>
      </w:r>
    </w:p>
    <w:p w:rsidR="00D32AAE" w:rsidRDefault="00541DCF" w:rsidP="0019206B">
      <w:pPr>
        <w:pStyle w:val="bulletlevel1"/>
        <w:ind w:left="709" w:hanging="284"/>
      </w:pPr>
      <w:r>
        <w:t xml:space="preserve">air cargo and </w:t>
      </w:r>
      <w:r w:rsidR="0019206B">
        <w:t>s</w:t>
      </w:r>
      <w:r w:rsidR="00934F6B">
        <w:t>ea cargo</w:t>
      </w:r>
      <w:r w:rsidR="00546E00">
        <w:t xml:space="preserve"> (full import declarations)</w:t>
      </w:r>
    </w:p>
    <w:p w:rsidR="00934F6B" w:rsidRPr="00CC7EF9" w:rsidRDefault="00934F6B" w:rsidP="00934F6B">
      <w:pPr>
        <w:pStyle w:val="bulletlevel1"/>
        <w:ind w:left="709" w:hanging="284"/>
      </w:pPr>
      <w:proofErr w:type="gramStart"/>
      <w:r>
        <w:t>technical</w:t>
      </w:r>
      <w:proofErr w:type="gramEnd"/>
      <w:r>
        <w:t xml:space="preserve"> procedures in the treatment, destruction and</w:t>
      </w:r>
      <w:r w:rsidRPr="00CC7EF9">
        <w:t xml:space="preserve"> </w:t>
      </w:r>
      <w:r>
        <w:t>re-</w:t>
      </w:r>
      <w:r w:rsidRPr="00CC7EF9">
        <w:t xml:space="preserve">exportation of </w:t>
      </w:r>
      <w:r>
        <w:t>international online purchases.</w:t>
      </w:r>
    </w:p>
    <w:p w:rsidR="00125AEF" w:rsidRPr="0001395C" w:rsidRDefault="00EB20AD" w:rsidP="00EB20AD">
      <w:pPr>
        <w:pStyle w:val="Heading1"/>
      </w:pPr>
      <w:bookmarkStart w:id="39" w:name="_Toc375315636"/>
      <w:bookmarkStart w:id="40" w:name="_Toc376871901"/>
      <w:r>
        <w:br w:type="page"/>
      </w:r>
      <w:bookmarkStart w:id="41" w:name="_Toc413220604"/>
      <w:r w:rsidR="00125AEF">
        <w:lastRenderedPageBreak/>
        <w:t xml:space="preserve">Observations and </w:t>
      </w:r>
      <w:r w:rsidR="00B427E9">
        <w:t>f</w:t>
      </w:r>
      <w:r w:rsidR="00125AEF">
        <w:t>indings</w:t>
      </w:r>
      <w:bookmarkEnd w:id="39"/>
      <w:bookmarkEnd w:id="40"/>
      <w:bookmarkEnd w:id="41"/>
    </w:p>
    <w:p w:rsidR="00EA2B59" w:rsidRDefault="00934F6B" w:rsidP="00B05067">
      <w:pPr>
        <w:pStyle w:val="NumberedHeading2"/>
        <w:spacing w:after="120"/>
        <w:ind w:hanging="720"/>
      </w:pPr>
      <w:bookmarkStart w:id="42" w:name="_Toc413220605"/>
      <w:r>
        <w:t>International mail</w:t>
      </w:r>
      <w:bookmarkEnd w:id="42"/>
    </w:p>
    <w:p w:rsidR="00BC3565" w:rsidRPr="000A0D19" w:rsidRDefault="003700CC" w:rsidP="000A0D19">
      <w:pPr>
        <w:pStyle w:val="FindingsNormalNumbering"/>
        <w:ind w:left="0" w:firstLine="0"/>
      </w:pPr>
      <w:r w:rsidRPr="00D37549">
        <w:t>An international online purchase</w:t>
      </w:r>
      <w:r>
        <w:t xml:space="preserve"> that arrives in Australia as </w:t>
      </w:r>
      <w:r w:rsidR="006A074C">
        <w:t>i</w:t>
      </w:r>
      <w:r w:rsidR="000A0D19" w:rsidRPr="000A0D19">
        <w:t>nternational mail</w:t>
      </w:r>
      <w:r w:rsidR="00FC172B">
        <w:t xml:space="preserve"> (post)</w:t>
      </w:r>
      <w:r w:rsidR="000A0D19" w:rsidRPr="000A0D19">
        <w:t xml:space="preserve"> will be directed to one of the</w:t>
      </w:r>
      <w:r w:rsidR="00BC3565" w:rsidRPr="000A0D19">
        <w:t xml:space="preserve"> four international mail centres</w:t>
      </w:r>
      <w:r w:rsidR="00CF628B">
        <w:t xml:space="preserve"> operated by Australia Post</w:t>
      </w:r>
      <w:r w:rsidR="00BC3565" w:rsidRPr="000A0D19">
        <w:t>:</w:t>
      </w:r>
    </w:p>
    <w:p w:rsidR="000A0D19" w:rsidRPr="000A0D19" w:rsidRDefault="00FC172B" w:rsidP="007C6286">
      <w:pPr>
        <w:pStyle w:val="bulletlevel1"/>
        <w:ind w:left="709" w:hanging="284"/>
      </w:pPr>
      <w:r>
        <w:t>Brisbane Airport Transit Centre</w:t>
      </w:r>
    </w:p>
    <w:p w:rsidR="00BC3565" w:rsidRPr="000A0D19" w:rsidRDefault="000A0D19" w:rsidP="007C6286">
      <w:pPr>
        <w:pStyle w:val="bulletlevel1"/>
        <w:ind w:left="709" w:hanging="284"/>
      </w:pPr>
      <w:r w:rsidRPr="000A0D19">
        <w:t>Melbourne Gateway Facility</w:t>
      </w:r>
    </w:p>
    <w:p w:rsidR="00BC3565" w:rsidRPr="000A0D19" w:rsidRDefault="00697F57" w:rsidP="007C6286">
      <w:pPr>
        <w:pStyle w:val="bulletlevel1"/>
        <w:ind w:left="709" w:hanging="284"/>
      </w:pPr>
      <w:r>
        <w:t>Perth Gateway Facility</w:t>
      </w:r>
    </w:p>
    <w:p w:rsidR="000A0D19" w:rsidRDefault="000A0D19" w:rsidP="007C6286">
      <w:pPr>
        <w:pStyle w:val="bulletlevel1"/>
        <w:ind w:left="709" w:hanging="284"/>
      </w:pPr>
      <w:r w:rsidRPr="000A0D19">
        <w:t>Sydney Gateway Facility</w:t>
      </w:r>
      <w:r w:rsidR="00697F57">
        <w:t>.</w:t>
      </w:r>
    </w:p>
    <w:p w:rsidR="00E13198" w:rsidRDefault="003700CC" w:rsidP="00E13198">
      <w:pPr>
        <w:pStyle w:val="FindingsNormalNumbering"/>
        <w:ind w:left="0" w:firstLine="0"/>
      </w:pPr>
      <w:r>
        <w:t xml:space="preserve">Items that have been purchased </w:t>
      </w:r>
      <w:r w:rsidR="006A074C">
        <w:t xml:space="preserve">online from overseas </w:t>
      </w:r>
      <w:r>
        <w:t xml:space="preserve">are not easily identifiable to Australia Post or the department. Consequently, </w:t>
      </w:r>
      <w:r w:rsidR="00697F57">
        <w:t xml:space="preserve">all international mail </w:t>
      </w:r>
      <w:r w:rsidR="00D37549">
        <w:t xml:space="preserve">items </w:t>
      </w:r>
      <w:r w:rsidR="00697F57">
        <w:t>(including</w:t>
      </w:r>
      <w:r>
        <w:t xml:space="preserve"> online purchases</w:t>
      </w:r>
      <w:r w:rsidR="00697F57">
        <w:t>)</w:t>
      </w:r>
      <w:r>
        <w:t xml:space="preserve"> </w:t>
      </w:r>
      <w:r w:rsidR="00697F57">
        <w:t xml:space="preserve">that </w:t>
      </w:r>
      <w:r>
        <w:t>arrive</w:t>
      </w:r>
      <w:r w:rsidR="00697F57">
        <w:t xml:space="preserve"> at the mail centres </w:t>
      </w:r>
      <w:r w:rsidR="00D37549">
        <w:t>are</w:t>
      </w:r>
      <w:r w:rsidR="00E13198">
        <w:t xml:space="preserve"> sorted into </w:t>
      </w:r>
      <w:r w:rsidR="006A074C">
        <w:t xml:space="preserve">one of </w:t>
      </w:r>
      <w:r w:rsidR="00E13198">
        <w:t xml:space="preserve">four different mail classes: letters, other articles, parcels and </w:t>
      </w:r>
      <w:r w:rsidR="00E13198" w:rsidRPr="007C6286">
        <w:rPr>
          <w:rFonts w:eastAsia="Calibri"/>
          <w:lang w:eastAsia="en-US"/>
        </w:rPr>
        <w:t>express</w:t>
      </w:r>
      <w:r w:rsidR="00E13198">
        <w:t xml:space="preserve"> mail </w:t>
      </w:r>
      <w:r w:rsidR="00E13198" w:rsidRPr="00620A4C">
        <w:t>service</w:t>
      </w:r>
      <w:r w:rsidR="00620A4C">
        <w:t>s</w:t>
      </w:r>
      <w:r w:rsidR="00E13198">
        <w:t>.</w:t>
      </w:r>
      <w:r w:rsidR="007B4DA8">
        <w:t xml:space="preserve"> </w:t>
      </w:r>
      <w:r w:rsidR="004C07F4">
        <w:t xml:space="preserve">Most </w:t>
      </w:r>
      <w:r w:rsidR="007B4DA8">
        <w:t xml:space="preserve">international online purchases </w:t>
      </w:r>
      <w:r w:rsidR="004C07F4">
        <w:t xml:space="preserve">are </w:t>
      </w:r>
      <w:r w:rsidR="007B4DA8">
        <w:t xml:space="preserve">sent as other articles, parcels </w:t>
      </w:r>
      <w:r w:rsidR="006A074C">
        <w:t xml:space="preserve">or </w:t>
      </w:r>
      <w:r w:rsidR="007B4DA8">
        <w:t xml:space="preserve">express mail services. </w:t>
      </w:r>
      <w:r w:rsidR="00E13198">
        <w:t xml:space="preserve">Table </w:t>
      </w:r>
      <w:r w:rsidR="00BA7C4B">
        <w:t>3</w:t>
      </w:r>
      <w:r w:rsidR="00E13198">
        <w:t xml:space="preserve"> </w:t>
      </w:r>
      <w:r w:rsidR="00D03CC5">
        <w:t>summarises</w:t>
      </w:r>
      <w:r w:rsidR="00E13198">
        <w:t xml:space="preserve"> the four different mail classes.</w:t>
      </w:r>
    </w:p>
    <w:p w:rsidR="00422079" w:rsidRDefault="00422079" w:rsidP="00422079">
      <w:pPr>
        <w:pStyle w:val="Figureandtablecaptions"/>
      </w:pPr>
      <w:r w:rsidRPr="0097788B">
        <w:t xml:space="preserve">Table </w:t>
      </w:r>
      <w:proofErr w:type="gramStart"/>
      <w:r w:rsidR="00BA7C4B">
        <w:t>3</w:t>
      </w:r>
      <w:r w:rsidRPr="0097788B">
        <w:t xml:space="preserve"> </w:t>
      </w:r>
      <w:r w:rsidR="00CD4A4F">
        <w:t xml:space="preserve"> </w:t>
      </w:r>
      <w:r w:rsidR="00A24234">
        <w:t>Mail</w:t>
      </w:r>
      <w:proofErr w:type="gramEnd"/>
      <w:r w:rsidR="00A24234">
        <w:t xml:space="preserve"> class descriptions</w:t>
      </w:r>
    </w:p>
    <w:tbl>
      <w:tblPr>
        <w:tblW w:w="0" w:type="auto"/>
        <w:tblLook w:val="04A0"/>
      </w:tblPr>
      <w:tblGrid>
        <w:gridCol w:w="1809"/>
        <w:gridCol w:w="5267"/>
      </w:tblGrid>
      <w:tr w:rsidR="00E13198" w:rsidTr="00D25E08">
        <w:tc>
          <w:tcPr>
            <w:tcW w:w="1809" w:type="dxa"/>
            <w:tcBorders>
              <w:top w:val="single" w:sz="4" w:space="0" w:color="auto"/>
              <w:bottom w:val="single" w:sz="4" w:space="0" w:color="auto"/>
            </w:tcBorders>
            <w:vAlign w:val="center"/>
          </w:tcPr>
          <w:p w:rsidR="00E13198" w:rsidRPr="00CC6A26" w:rsidRDefault="00E13198" w:rsidP="00E13198">
            <w:pPr>
              <w:pStyle w:val="Tableheader"/>
            </w:pPr>
            <w:r>
              <w:t>Mail c</w:t>
            </w:r>
            <w:r w:rsidRPr="00CC6A26">
              <w:t>lass</w:t>
            </w:r>
          </w:p>
        </w:tc>
        <w:tc>
          <w:tcPr>
            <w:tcW w:w="5267" w:type="dxa"/>
            <w:tcBorders>
              <w:top w:val="single" w:sz="4" w:space="0" w:color="auto"/>
              <w:bottom w:val="single" w:sz="4" w:space="0" w:color="auto"/>
            </w:tcBorders>
            <w:vAlign w:val="center"/>
          </w:tcPr>
          <w:p w:rsidR="00E13198" w:rsidRPr="00CC6A26" w:rsidRDefault="00E13198" w:rsidP="00E13198">
            <w:pPr>
              <w:pStyle w:val="Tableheader"/>
            </w:pPr>
            <w:r w:rsidRPr="00CC6A26">
              <w:t>Description</w:t>
            </w:r>
          </w:p>
        </w:tc>
      </w:tr>
      <w:tr w:rsidR="00E13198" w:rsidTr="00D25E08">
        <w:tc>
          <w:tcPr>
            <w:tcW w:w="1809" w:type="dxa"/>
            <w:tcBorders>
              <w:top w:val="single" w:sz="4" w:space="0" w:color="auto"/>
            </w:tcBorders>
          </w:tcPr>
          <w:p w:rsidR="00E13198" w:rsidRPr="00CC6A26" w:rsidRDefault="00E13198" w:rsidP="00D25E08">
            <w:pPr>
              <w:pStyle w:val="tabletext"/>
              <w:spacing w:before="60" w:after="60"/>
            </w:pPr>
            <w:r w:rsidRPr="00CC6A26">
              <w:t>Letters</w:t>
            </w:r>
          </w:p>
        </w:tc>
        <w:tc>
          <w:tcPr>
            <w:tcW w:w="5267" w:type="dxa"/>
            <w:tcBorders>
              <w:top w:val="single" w:sz="4" w:space="0" w:color="auto"/>
            </w:tcBorders>
            <w:vAlign w:val="center"/>
          </w:tcPr>
          <w:p w:rsidR="00E13198" w:rsidRPr="00CC6A26" w:rsidRDefault="00E13198" w:rsidP="00D25E08">
            <w:pPr>
              <w:pStyle w:val="tabletext"/>
              <w:spacing w:before="60" w:after="60"/>
            </w:pPr>
            <w:r w:rsidRPr="00CC6A26">
              <w:t>Postcards, enveloped letter</w:t>
            </w:r>
            <w:r w:rsidR="006A074C">
              <w:t>s</w:t>
            </w:r>
            <w:r w:rsidRPr="00CC6A26">
              <w:t xml:space="preserve">, papers, brochures and books and magazines wrapped in plastic. They are not more than 500 grams in weight and </w:t>
            </w:r>
            <w:r>
              <w:t>2 centi</w:t>
            </w:r>
            <w:r w:rsidRPr="00CC6A26">
              <w:t>metres thick.</w:t>
            </w:r>
          </w:p>
        </w:tc>
      </w:tr>
      <w:tr w:rsidR="00E13198" w:rsidTr="00D25E08">
        <w:tc>
          <w:tcPr>
            <w:tcW w:w="1809" w:type="dxa"/>
          </w:tcPr>
          <w:p w:rsidR="00E13198" w:rsidRPr="00CC6A26" w:rsidRDefault="00E13198" w:rsidP="00D25E08">
            <w:pPr>
              <w:pStyle w:val="tabletext"/>
              <w:spacing w:before="60" w:after="60"/>
            </w:pPr>
            <w:r>
              <w:t>Other a</w:t>
            </w:r>
            <w:r w:rsidRPr="00CC6A26">
              <w:t>rticles</w:t>
            </w:r>
          </w:p>
        </w:tc>
        <w:tc>
          <w:tcPr>
            <w:tcW w:w="5267" w:type="dxa"/>
            <w:vAlign w:val="center"/>
          </w:tcPr>
          <w:p w:rsidR="00E13198" w:rsidRPr="00CC6A26" w:rsidRDefault="006A074C" w:rsidP="00D25E08">
            <w:pPr>
              <w:pStyle w:val="tabletext"/>
              <w:spacing w:before="60" w:after="60"/>
            </w:pPr>
            <w:r w:rsidRPr="00CC6A26">
              <w:t xml:space="preserve">Articles </w:t>
            </w:r>
            <w:r w:rsidR="00E13198" w:rsidRPr="00CC6A26">
              <w:t>that do not fit into letter class:</w:t>
            </w:r>
          </w:p>
          <w:p w:rsidR="00E13198" w:rsidRPr="00CC6A26" w:rsidRDefault="006A074C" w:rsidP="00C02F46">
            <w:pPr>
              <w:pStyle w:val="tabletext"/>
              <w:numPr>
                <w:ilvl w:val="0"/>
                <w:numId w:val="8"/>
              </w:numPr>
              <w:tabs>
                <w:tab w:val="clear" w:pos="720"/>
                <w:tab w:val="num" w:pos="459"/>
              </w:tabs>
              <w:spacing w:before="60" w:after="60"/>
              <w:ind w:left="459" w:hanging="284"/>
            </w:pPr>
            <w:r>
              <w:t>s</w:t>
            </w:r>
            <w:r w:rsidR="00E13198" w:rsidRPr="00CC6A26">
              <w:t>mall</w:t>
            </w:r>
            <w:r>
              <w:t xml:space="preserve"> (</w:t>
            </w:r>
            <w:r w:rsidR="00E13198" w:rsidRPr="00CC6A26">
              <w:t>weigh</w:t>
            </w:r>
            <w:r>
              <w:t>ing</w:t>
            </w:r>
            <w:r w:rsidR="00E13198" w:rsidRPr="00CC6A26">
              <w:t xml:space="preserve"> up to 500 grams</w:t>
            </w:r>
            <w:r>
              <w:t>)</w:t>
            </w:r>
          </w:p>
          <w:p w:rsidR="00E13198" w:rsidRPr="00CC6A26" w:rsidRDefault="006A074C" w:rsidP="00C02F46">
            <w:pPr>
              <w:pStyle w:val="tabletext"/>
              <w:numPr>
                <w:ilvl w:val="0"/>
                <w:numId w:val="8"/>
              </w:numPr>
              <w:tabs>
                <w:tab w:val="clear" w:pos="720"/>
                <w:tab w:val="num" w:pos="459"/>
              </w:tabs>
              <w:spacing w:before="60" w:after="60"/>
              <w:ind w:left="459" w:hanging="284"/>
            </w:pPr>
            <w:proofErr w:type="gramStart"/>
            <w:r>
              <w:t>l</w:t>
            </w:r>
            <w:r w:rsidR="00E13198" w:rsidRPr="00CC6A26">
              <w:t>arge</w:t>
            </w:r>
            <w:proofErr w:type="gramEnd"/>
            <w:r>
              <w:t xml:space="preserve"> (</w:t>
            </w:r>
            <w:r w:rsidR="00E13198" w:rsidRPr="00CC6A26">
              <w:t>weigh</w:t>
            </w:r>
            <w:r>
              <w:t>ing</w:t>
            </w:r>
            <w:r w:rsidR="00E13198" w:rsidRPr="00CC6A26">
              <w:t xml:space="preserve"> between 500 grams and </w:t>
            </w:r>
            <w:r>
              <w:t>two</w:t>
            </w:r>
            <w:r w:rsidR="00E13198" w:rsidRPr="00CC6A26">
              <w:t xml:space="preserve"> kilograms</w:t>
            </w:r>
            <w:r>
              <w:t>)</w:t>
            </w:r>
            <w:r w:rsidR="00E13198" w:rsidRPr="00CC6A26">
              <w:t>.</w:t>
            </w:r>
          </w:p>
        </w:tc>
      </w:tr>
      <w:tr w:rsidR="00E13198" w:rsidTr="00D25E08">
        <w:tc>
          <w:tcPr>
            <w:tcW w:w="1809" w:type="dxa"/>
          </w:tcPr>
          <w:p w:rsidR="00E13198" w:rsidRPr="00CC6A26" w:rsidRDefault="00E13198" w:rsidP="00D25E08">
            <w:pPr>
              <w:pStyle w:val="tabletext"/>
              <w:spacing w:before="60" w:after="60"/>
            </w:pPr>
            <w:r w:rsidRPr="00CC6A26">
              <w:t>Parcels</w:t>
            </w:r>
          </w:p>
        </w:tc>
        <w:tc>
          <w:tcPr>
            <w:tcW w:w="5267" w:type="dxa"/>
            <w:vAlign w:val="center"/>
          </w:tcPr>
          <w:p w:rsidR="00E13198" w:rsidRPr="00CC6A26" w:rsidRDefault="006A074C" w:rsidP="006A074C">
            <w:pPr>
              <w:pStyle w:val="tabletext"/>
              <w:spacing w:before="60" w:after="60"/>
            </w:pPr>
            <w:r w:rsidRPr="00CC6A26">
              <w:t xml:space="preserve">Articles </w:t>
            </w:r>
            <w:r>
              <w:t xml:space="preserve">that </w:t>
            </w:r>
            <w:r w:rsidR="00E13198" w:rsidRPr="00CC6A26">
              <w:t xml:space="preserve">weigh </w:t>
            </w:r>
            <w:r>
              <w:t>more than two</w:t>
            </w:r>
            <w:r w:rsidR="00E13198" w:rsidRPr="00CC6A26">
              <w:t xml:space="preserve"> kilograms and </w:t>
            </w:r>
            <w:r>
              <w:t xml:space="preserve">less than </w:t>
            </w:r>
            <w:r w:rsidR="00E13198" w:rsidRPr="00CC6A26">
              <w:t>20</w:t>
            </w:r>
            <w:r>
              <w:t> </w:t>
            </w:r>
            <w:r w:rsidR="00E13198" w:rsidRPr="00CC6A26">
              <w:t xml:space="preserve">kilograms and </w:t>
            </w:r>
            <w:r>
              <w:t xml:space="preserve">that </w:t>
            </w:r>
            <w:r w:rsidR="00E13198" w:rsidRPr="00CC6A26">
              <w:t xml:space="preserve">are limited in size to 105 </w:t>
            </w:r>
            <w:r w:rsidR="00E13198">
              <w:t>centi</w:t>
            </w:r>
            <w:r w:rsidR="00E13198" w:rsidRPr="00CC6A26">
              <w:t xml:space="preserve">metres </w:t>
            </w:r>
            <w:r>
              <w:t>long</w:t>
            </w:r>
            <w:r w:rsidR="00E13198" w:rsidRPr="00CC6A26">
              <w:t xml:space="preserve"> and 140 </w:t>
            </w:r>
            <w:r w:rsidR="00E13198">
              <w:t>centi</w:t>
            </w:r>
            <w:r w:rsidR="00E13198" w:rsidRPr="00CC6A26">
              <w:t xml:space="preserve">metres </w:t>
            </w:r>
            <w:r>
              <w:t>wide</w:t>
            </w:r>
            <w:r w:rsidR="00E13198" w:rsidRPr="00CC6A26">
              <w:t>.</w:t>
            </w:r>
          </w:p>
        </w:tc>
      </w:tr>
      <w:tr w:rsidR="00E13198" w:rsidTr="00D25E08">
        <w:trPr>
          <w:trHeight w:val="275"/>
        </w:trPr>
        <w:tc>
          <w:tcPr>
            <w:tcW w:w="1809" w:type="dxa"/>
            <w:tcBorders>
              <w:bottom w:val="single" w:sz="4" w:space="0" w:color="auto"/>
            </w:tcBorders>
          </w:tcPr>
          <w:p w:rsidR="00E13198" w:rsidRPr="00CC6A26" w:rsidRDefault="00E13198" w:rsidP="00D25E08">
            <w:pPr>
              <w:pStyle w:val="tabletext"/>
              <w:spacing w:before="60" w:after="60"/>
            </w:pPr>
            <w:r>
              <w:t>Express mail s</w:t>
            </w:r>
            <w:r w:rsidRPr="00CC6A26">
              <w:t>ervice</w:t>
            </w:r>
            <w:r w:rsidR="00620A4C">
              <w:t>s</w:t>
            </w:r>
          </w:p>
        </w:tc>
        <w:tc>
          <w:tcPr>
            <w:tcW w:w="5267" w:type="dxa"/>
            <w:tcBorders>
              <w:bottom w:val="single" w:sz="4" w:space="0" w:color="auto"/>
            </w:tcBorders>
            <w:vAlign w:val="center"/>
          </w:tcPr>
          <w:p w:rsidR="00E13198" w:rsidRPr="00CC6A26" w:rsidRDefault="006A074C" w:rsidP="006A074C">
            <w:pPr>
              <w:pStyle w:val="tabletext"/>
              <w:spacing w:before="60" w:after="60"/>
            </w:pPr>
            <w:r w:rsidRPr="00CC6A26">
              <w:t xml:space="preserve">Priority </w:t>
            </w:r>
            <w:r w:rsidR="00E13198" w:rsidRPr="00CC6A26">
              <w:t>in</w:t>
            </w:r>
            <w:r w:rsidR="00E13198">
              <w:t>ternational courier service</w:t>
            </w:r>
            <w:r>
              <w:t xml:space="preserve"> for i</w:t>
            </w:r>
            <w:r w:rsidR="002A4C35">
              <w:t xml:space="preserve">tems </w:t>
            </w:r>
            <w:r>
              <w:t xml:space="preserve">that </w:t>
            </w:r>
            <w:r w:rsidR="002A4C35">
              <w:t>weigh up to 20 </w:t>
            </w:r>
            <w:r w:rsidR="00E13198" w:rsidRPr="00CC6A26">
              <w:t>kilograms</w:t>
            </w:r>
            <w:r>
              <w:t>.</w:t>
            </w:r>
            <w:r w:rsidR="00E13198" w:rsidRPr="00CC6A26">
              <w:t xml:space="preserve"> </w:t>
            </w:r>
            <w:r w:rsidRPr="00CC6A26">
              <w:t xml:space="preserve">Each </w:t>
            </w:r>
            <w:r w:rsidR="00E13198" w:rsidRPr="00CC6A26">
              <w:t>item has a unique barcode.</w:t>
            </w:r>
          </w:p>
        </w:tc>
      </w:tr>
    </w:tbl>
    <w:p w:rsidR="00B610AB" w:rsidRDefault="00B610AB" w:rsidP="00B610AB">
      <w:pPr>
        <w:pStyle w:val="FigureFooter"/>
      </w:pPr>
      <w:r>
        <w:t xml:space="preserve">Source: </w:t>
      </w:r>
      <w:r w:rsidR="00A3520C">
        <w:t>Department of Agriculture</w:t>
      </w:r>
      <w:r w:rsidR="00F2605D">
        <w:t>, December 2013</w:t>
      </w:r>
    </w:p>
    <w:p w:rsidR="00D0075E" w:rsidRDefault="00C4605C" w:rsidP="00422079">
      <w:pPr>
        <w:pStyle w:val="FindingsNormalNumbering"/>
        <w:ind w:left="0" w:firstLine="0"/>
      </w:pPr>
      <w:r>
        <w:t xml:space="preserve">International </w:t>
      </w:r>
      <w:r w:rsidR="003700CC">
        <w:t>online purchases</w:t>
      </w:r>
      <w:r>
        <w:t xml:space="preserve"> can arrive in Australia </w:t>
      </w:r>
      <w:r w:rsidR="00E13198">
        <w:t>by</w:t>
      </w:r>
      <w:r>
        <w:t xml:space="preserve"> air, sea (surface mail) </w:t>
      </w:r>
      <w:r w:rsidR="006A074C">
        <w:t>or</w:t>
      </w:r>
      <w:r>
        <w:t xml:space="preserve"> </w:t>
      </w:r>
      <w:r w:rsidR="00A3520C">
        <w:t xml:space="preserve">be </w:t>
      </w:r>
      <w:r w:rsidRPr="00D37549">
        <w:t>surface air</w:t>
      </w:r>
      <w:r>
        <w:t xml:space="preserve"> l</w:t>
      </w:r>
      <w:r w:rsidRPr="00D44DA3">
        <w:t>ifted</w:t>
      </w:r>
      <w:r w:rsidR="00A3520C">
        <w:t xml:space="preserve"> (SAL)</w:t>
      </w:r>
      <w:r>
        <w:t xml:space="preserve">. </w:t>
      </w:r>
      <w:r w:rsidRPr="00D44DA3">
        <w:t xml:space="preserve">Surface mail is sent by land and sea. </w:t>
      </w:r>
      <w:r w:rsidR="00A3520C">
        <w:t>SAL mail</w:t>
      </w:r>
      <w:r w:rsidRPr="00D44DA3">
        <w:t xml:space="preserve"> is processed and transported by surface in the origin country and then transported by air to the destination country.</w:t>
      </w:r>
      <w:r>
        <w:t xml:space="preserve"> All surface mail that arrives in Australia is directed to the Sydney Gateway Facility for processing.</w:t>
      </w:r>
      <w:r w:rsidR="00422079">
        <w:t xml:space="preserve"> </w:t>
      </w:r>
      <w:r w:rsidR="00D73FEB">
        <w:t>Table 4 shows t</w:t>
      </w:r>
      <w:r w:rsidR="00D0075E" w:rsidRPr="00D44DA3">
        <w:t xml:space="preserve">he proportion of all international mail </w:t>
      </w:r>
      <w:r w:rsidR="00D0075E">
        <w:t>items</w:t>
      </w:r>
      <w:r w:rsidR="00D0075E" w:rsidRPr="00D44DA3">
        <w:t xml:space="preserve"> by mail class and arrival method.</w:t>
      </w:r>
      <w:r w:rsidR="00FB4074">
        <w:t xml:space="preserve"> T</w:t>
      </w:r>
      <w:r w:rsidR="001F2A0F">
        <w:t xml:space="preserve">he </w:t>
      </w:r>
      <w:r w:rsidR="008918DC">
        <w:t>majority of international mail arrives in Australia by air.</w:t>
      </w:r>
    </w:p>
    <w:p w:rsidR="00D25E08" w:rsidRPr="00485A0D" w:rsidRDefault="002A4C35" w:rsidP="008025A9">
      <w:pPr>
        <w:pStyle w:val="Figureandtablecaptions"/>
        <w:rPr>
          <w:sz w:val="21"/>
          <w:szCs w:val="21"/>
        </w:rPr>
      </w:pPr>
      <w:r>
        <w:br w:type="page"/>
      </w:r>
      <w:r w:rsidR="00D25E08" w:rsidRPr="00485A0D">
        <w:rPr>
          <w:sz w:val="21"/>
          <w:szCs w:val="21"/>
        </w:rPr>
        <w:lastRenderedPageBreak/>
        <w:t xml:space="preserve">Table </w:t>
      </w:r>
      <w:proofErr w:type="gramStart"/>
      <w:r w:rsidR="00BA7C4B" w:rsidRPr="00485A0D">
        <w:rPr>
          <w:sz w:val="21"/>
          <w:szCs w:val="21"/>
        </w:rPr>
        <w:t>4</w:t>
      </w:r>
      <w:r w:rsidR="00D25E08" w:rsidRPr="00485A0D">
        <w:rPr>
          <w:sz w:val="21"/>
          <w:szCs w:val="21"/>
        </w:rPr>
        <w:t xml:space="preserve"> </w:t>
      </w:r>
      <w:r w:rsidR="00CD4A4F" w:rsidRPr="00485A0D">
        <w:rPr>
          <w:sz w:val="21"/>
          <w:szCs w:val="21"/>
        </w:rPr>
        <w:t xml:space="preserve"> </w:t>
      </w:r>
      <w:r w:rsidR="00D25E08" w:rsidRPr="00485A0D">
        <w:rPr>
          <w:sz w:val="21"/>
          <w:szCs w:val="21"/>
        </w:rPr>
        <w:t>Proportion</w:t>
      </w:r>
      <w:proofErr w:type="gramEnd"/>
      <w:r w:rsidR="00D25E08" w:rsidRPr="00485A0D">
        <w:rPr>
          <w:sz w:val="21"/>
          <w:szCs w:val="21"/>
        </w:rPr>
        <w:t xml:space="preserve"> of international mail items by mail class and arrival </w:t>
      </w:r>
      <w:r w:rsidR="00F2605D" w:rsidRPr="00485A0D">
        <w:rPr>
          <w:sz w:val="21"/>
          <w:szCs w:val="21"/>
        </w:rPr>
        <w:t>route</w:t>
      </w:r>
      <w:r w:rsidR="00D25E08" w:rsidRPr="00485A0D">
        <w:rPr>
          <w:sz w:val="21"/>
          <w:szCs w:val="21"/>
        </w:rPr>
        <w:t xml:space="preserve">, at </w:t>
      </w:r>
      <w:r w:rsidR="008025A9" w:rsidRPr="00485A0D">
        <w:rPr>
          <w:sz w:val="21"/>
          <w:szCs w:val="21"/>
        </w:rPr>
        <w:t>30 </w:t>
      </w:r>
      <w:r w:rsidR="00D32AAE" w:rsidRPr="00485A0D">
        <w:rPr>
          <w:sz w:val="21"/>
          <w:szCs w:val="21"/>
        </w:rPr>
        <w:t>June</w:t>
      </w:r>
      <w:r w:rsidR="00485A0D" w:rsidRPr="00485A0D">
        <w:rPr>
          <w:sz w:val="21"/>
          <w:szCs w:val="21"/>
        </w:rPr>
        <w:t xml:space="preserve"> </w:t>
      </w:r>
      <w:r w:rsidR="00D32AAE" w:rsidRPr="00485A0D">
        <w:rPr>
          <w:sz w:val="21"/>
          <w:szCs w:val="21"/>
        </w:rPr>
        <w:t>2013</w:t>
      </w:r>
    </w:p>
    <w:tbl>
      <w:tblPr>
        <w:tblW w:w="5160" w:type="dxa"/>
        <w:tblLook w:val="04A0"/>
      </w:tblPr>
      <w:tblGrid>
        <w:gridCol w:w="2283"/>
        <w:gridCol w:w="1447"/>
        <w:gridCol w:w="1430"/>
      </w:tblGrid>
      <w:tr w:rsidR="00D0075E" w:rsidRPr="00D44DA3" w:rsidTr="006A72B2">
        <w:trPr>
          <w:trHeight w:val="300"/>
        </w:trPr>
        <w:tc>
          <w:tcPr>
            <w:tcW w:w="2283" w:type="dxa"/>
            <w:tcBorders>
              <w:top w:val="single" w:sz="4" w:space="0" w:color="auto"/>
              <w:bottom w:val="single" w:sz="4" w:space="0" w:color="auto"/>
            </w:tcBorders>
            <w:shd w:val="clear" w:color="auto" w:fill="auto"/>
            <w:noWrap/>
            <w:vAlign w:val="bottom"/>
            <w:hideMark/>
          </w:tcPr>
          <w:p w:rsidR="00D0075E" w:rsidRPr="00D44DA3" w:rsidRDefault="00B919D3" w:rsidP="00485A0D">
            <w:pPr>
              <w:pStyle w:val="Tableheader"/>
              <w:spacing w:before="60" w:after="60"/>
            </w:pPr>
            <w:r>
              <w:t>Mail c</w:t>
            </w:r>
            <w:r w:rsidR="00D0075E">
              <w:t>lass</w:t>
            </w:r>
          </w:p>
        </w:tc>
        <w:tc>
          <w:tcPr>
            <w:tcW w:w="1447" w:type="dxa"/>
            <w:tcBorders>
              <w:top w:val="single" w:sz="4" w:space="0" w:color="auto"/>
              <w:bottom w:val="single" w:sz="4" w:space="0" w:color="auto"/>
            </w:tcBorders>
            <w:shd w:val="clear" w:color="auto" w:fill="auto"/>
            <w:noWrap/>
            <w:vAlign w:val="bottom"/>
            <w:hideMark/>
          </w:tcPr>
          <w:p w:rsidR="00D0075E" w:rsidRPr="00D44DA3" w:rsidRDefault="00B919D3" w:rsidP="00485A0D">
            <w:pPr>
              <w:pStyle w:val="Tableheader"/>
              <w:spacing w:before="60" w:after="60"/>
            </w:pPr>
            <w:r>
              <w:t>Arrival m</w:t>
            </w:r>
            <w:r w:rsidR="00D0075E">
              <w:t>ethod</w:t>
            </w:r>
          </w:p>
        </w:tc>
        <w:tc>
          <w:tcPr>
            <w:tcW w:w="1430" w:type="dxa"/>
            <w:tcBorders>
              <w:top w:val="single" w:sz="4" w:space="0" w:color="auto"/>
              <w:bottom w:val="single" w:sz="4" w:space="0" w:color="auto"/>
            </w:tcBorders>
            <w:shd w:val="clear" w:color="auto" w:fill="auto"/>
            <w:noWrap/>
            <w:hideMark/>
          </w:tcPr>
          <w:p w:rsidR="00D0075E" w:rsidRPr="00D44DA3" w:rsidRDefault="000163E8" w:rsidP="00485A0D">
            <w:pPr>
              <w:pStyle w:val="Tableheader"/>
              <w:spacing w:before="60" w:after="60"/>
              <w:jc w:val="right"/>
            </w:pPr>
            <w:r>
              <w:t>Percent</w:t>
            </w:r>
            <w:r w:rsidR="00D0075E">
              <w:t>age</w:t>
            </w:r>
            <w:r w:rsidR="00E13198">
              <w:t xml:space="preserve"> (%)</w:t>
            </w:r>
          </w:p>
        </w:tc>
      </w:tr>
      <w:tr w:rsidR="00E13198" w:rsidRPr="00D37549" w:rsidTr="006A72B2">
        <w:trPr>
          <w:trHeight w:val="300"/>
        </w:trPr>
        <w:tc>
          <w:tcPr>
            <w:tcW w:w="2283" w:type="dxa"/>
            <w:tcBorders>
              <w:top w:val="single" w:sz="4" w:space="0" w:color="auto"/>
            </w:tcBorders>
            <w:shd w:val="clear" w:color="auto" w:fill="auto"/>
            <w:noWrap/>
            <w:hideMark/>
          </w:tcPr>
          <w:p w:rsidR="00E13198" w:rsidRPr="00D37549" w:rsidRDefault="00B919D3" w:rsidP="00485A0D">
            <w:pPr>
              <w:pStyle w:val="tabletext"/>
              <w:spacing w:before="60" w:after="60"/>
            </w:pPr>
            <w:r w:rsidRPr="00D37549">
              <w:t>Letters and other a</w:t>
            </w:r>
            <w:r w:rsidR="00E13198" w:rsidRPr="00D37549">
              <w:t xml:space="preserve">rticles </w:t>
            </w:r>
            <w:r w:rsidR="00A3520C">
              <w:t xml:space="preserve"> </w:t>
            </w:r>
            <w:r w:rsidR="00E13198" w:rsidRPr="00A3520C">
              <w:rPr>
                <w:b/>
              </w:rPr>
              <w:t>a</w:t>
            </w:r>
          </w:p>
        </w:tc>
        <w:tc>
          <w:tcPr>
            <w:tcW w:w="1447" w:type="dxa"/>
            <w:tcBorders>
              <w:top w:val="single" w:sz="4" w:space="0" w:color="auto"/>
            </w:tcBorders>
            <w:shd w:val="clear" w:color="auto" w:fill="auto"/>
            <w:noWrap/>
            <w:hideMark/>
          </w:tcPr>
          <w:p w:rsidR="00E13198" w:rsidRPr="00D37549" w:rsidRDefault="00E13198" w:rsidP="00485A0D">
            <w:pPr>
              <w:pStyle w:val="tabletext"/>
              <w:spacing w:before="60" w:after="60"/>
            </w:pPr>
            <w:r w:rsidRPr="00D37549">
              <w:t>Air mail</w:t>
            </w:r>
          </w:p>
        </w:tc>
        <w:tc>
          <w:tcPr>
            <w:tcW w:w="1430" w:type="dxa"/>
            <w:tcBorders>
              <w:top w:val="single" w:sz="4" w:space="0" w:color="auto"/>
            </w:tcBorders>
            <w:shd w:val="clear" w:color="auto" w:fill="auto"/>
            <w:noWrap/>
            <w:hideMark/>
          </w:tcPr>
          <w:p w:rsidR="00E13198" w:rsidRPr="00D37549" w:rsidRDefault="00E13198" w:rsidP="00485A0D">
            <w:pPr>
              <w:pStyle w:val="tabletext"/>
              <w:spacing w:before="60" w:after="60"/>
              <w:jc w:val="right"/>
            </w:pPr>
            <w:r w:rsidRPr="00D37549">
              <w:t>94</w:t>
            </w:r>
          </w:p>
        </w:tc>
      </w:tr>
      <w:tr w:rsidR="00E13198" w:rsidRPr="00D37549" w:rsidTr="006A72B2">
        <w:trPr>
          <w:trHeight w:val="300"/>
        </w:trPr>
        <w:tc>
          <w:tcPr>
            <w:tcW w:w="2283" w:type="dxa"/>
            <w:shd w:val="clear" w:color="auto" w:fill="auto"/>
            <w:noWrap/>
            <w:hideMark/>
          </w:tcPr>
          <w:p w:rsidR="00E13198" w:rsidRPr="00D37549" w:rsidRDefault="00B919D3" w:rsidP="00485A0D">
            <w:pPr>
              <w:pStyle w:val="tabletext"/>
              <w:spacing w:before="60" w:after="60"/>
            </w:pPr>
            <w:r w:rsidRPr="00D37549">
              <w:t>Letters and other a</w:t>
            </w:r>
            <w:r w:rsidR="00E13198" w:rsidRPr="00D37549">
              <w:t>rticles</w:t>
            </w:r>
            <w:r w:rsidRPr="00D37549">
              <w:t xml:space="preserve"> </w:t>
            </w:r>
            <w:r w:rsidR="00A3520C">
              <w:t xml:space="preserve"> </w:t>
            </w:r>
            <w:r w:rsidRPr="00A3520C">
              <w:rPr>
                <w:b/>
              </w:rPr>
              <w:t>a</w:t>
            </w:r>
          </w:p>
        </w:tc>
        <w:tc>
          <w:tcPr>
            <w:tcW w:w="1447" w:type="dxa"/>
            <w:shd w:val="clear" w:color="auto" w:fill="auto"/>
            <w:noWrap/>
            <w:hideMark/>
          </w:tcPr>
          <w:p w:rsidR="00E13198" w:rsidRPr="00D37549" w:rsidRDefault="00E13198" w:rsidP="00485A0D">
            <w:pPr>
              <w:pStyle w:val="tabletext"/>
              <w:spacing w:before="60" w:after="60"/>
            </w:pPr>
            <w:r w:rsidRPr="00D37549">
              <w:t>SAL mail</w:t>
            </w:r>
          </w:p>
        </w:tc>
        <w:tc>
          <w:tcPr>
            <w:tcW w:w="1430" w:type="dxa"/>
            <w:shd w:val="clear" w:color="auto" w:fill="auto"/>
            <w:noWrap/>
            <w:hideMark/>
          </w:tcPr>
          <w:p w:rsidR="00E13198" w:rsidRPr="00D37549" w:rsidRDefault="00E13198" w:rsidP="00485A0D">
            <w:pPr>
              <w:pStyle w:val="tabletext"/>
              <w:spacing w:before="60" w:after="60"/>
              <w:jc w:val="right"/>
            </w:pPr>
            <w:r w:rsidRPr="00D37549">
              <w:t>0</w:t>
            </w:r>
          </w:p>
        </w:tc>
      </w:tr>
      <w:tr w:rsidR="00E13198" w:rsidRPr="00D37549" w:rsidTr="006A72B2">
        <w:trPr>
          <w:trHeight w:val="300"/>
        </w:trPr>
        <w:tc>
          <w:tcPr>
            <w:tcW w:w="2283" w:type="dxa"/>
            <w:shd w:val="clear" w:color="auto" w:fill="auto"/>
            <w:noWrap/>
            <w:hideMark/>
          </w:tcPr>
          <w:p w:rsidR="00E13198" w:rsidRPr="00D37549" w:rsidRDefault="00B919D3" w:rsidP="00485A0D">
            <w:pPr>
              <w:pStyle w:val="tabletext"/>
              <w:spacing w:before="60" w:after="60"/>
            </w:pPr>
            <w:r w:rsidRPr="00D37549">
              <w:t>Letters and other a</w:t>
            </w:r>
            <w:r w:rsidR="00E13198" w:rsidRPr="00D37549">
              <w:t>rticles</w:t>
            </w:r>
            <w:r w:rsidRPr="00D37549">
              <w:t xml:space="preserve"> </w:t>
            </w:r>
            <w:r w:rsidR="00A3520C">
              <w:t xml:space="preserve"> </w:t>
            </w:r>
            <w:r w:rsidRPr="00A3520C">
              <w:rPr>
                <w:b/>
              </w:rPr>
              <w:t>a</w:t>
            </w:r>
          </w:p>
        </w:tc>
        <w:tc>
          <w:tcPr>
            <w:tcW w:w="1447" w:type="dxa"/>
            <w:shd w:val="clear" w:color="auto" w:fill="auto"/>
            <w:noWrap/>
            <w:hideMark/>
          </w:tcPr>
          <w:p w:rsidR="00E13198" w:rsidRPr="00D37549" w:rsidRDefault="00E13198" w:rsidP="00485A0D">
            <w:pPr>
              <w:pStyle w:val="tabletext"/>
              <w:spacing w:before="60" w:after="60"/>
            </w:pPr>
            <w:r w:rsidRPr="00D37549">
              <w:t>Surface mail</w:t>
            </w:r>
          </w:p>
        </w:tc>
        <w:tc>
          <w:tcPr>
            <w:tcW w:w="1430" w:type="dxa"/>
            <w:shd w:val="clear" w:color="auto" w:fill="auto"/>
            <w:noWrap/>
            <w:hideMark/>
          </w:tcPr>
          <w:p w:rsidR="00E13198" w:rsidRPr="00D37549" w:rsidRDefault="00E13198" w:rsidP="00485A0D">
            <w:pPr>
              <w:pStyle w:val="tabletext"/>
              <w:spacing w:before="60" w:after="60"/>
              <w:jc w:val="right"/>
            </w:pPr>
            <w:r w:rsidRPr="00D37549">
              <w:t>6</w:t>
            </w:r>
          </w:p>
        </w:tc>
      </w:tr>
      <w:tr w:rsidR="00E13198" w:rsidRPr="00D44DA3" w:rsidTr="006A72B2">
        <w:trPr>
          <w:trHeight w:val="300"/>
        </w:trPr>
        <w:tc>
          <w:tcPr>
            <w:tcW w:w="2283" w:type="dxa"/>
            <w:shd w:val="clear" w:color="auto" w:fill="auto"/>
            <w:noWrap/>
            <w:hideMark/>
          </w:tcPr>
          <w:p w:rsidR="00E13198" w:rsidRPr="00D44DA3" w:rsidRDefault="00E13198" w:rsidP="00485A0D">
            <w:pPr>
              <w:pStyle w:val="tabletext"/>
              <w:spacing w:before="60" w:after="60"/>
            </w:pPr>
            <w:r>
              <w:t>Parcels</w:t>
            </w:r>
          </w:p>
        </w:tc>
        <w:tc>
          <w:tcPr>
            <w:tcW w:w="1447" w:type="dxa"/>
            <w:shd w:val="clear" w:color="auto" w:fill="auto"/>
            <w:noWrap/>
            <w:hideMark/>
          </w:tcPr>
          <w:p w:rsidR="00E13198" w:rsidRPr="00D44DA3" w:rsidRDefault="00E13198" w:rsidP="00485A0D">
            <w:pPr>
              <w:pStyle w:val="tabletext"/>
              <w:spacing w:before="60" w:after="60"/>
            </w:pPr>
            <w:r w:rsidRPr="00D44DA3">
              <w:t>Air</w:t>
            </w:r>
            <w:r>
              <w:t xml:space="preserve"> </w:t>
            </w:r>
            <w:r w:rsidRPr="00D44DA3">
              <w:t>mail</w:t>
            </w:r>
          </w:p>
        </w:tc>
        <w:tc>
          <w:tcPr>
            <w:tcW w:w="1430" w:type="dxa"/>
            <w:shd w:val="clear" w:color="auto" w:fill="auto"/>
            <w:noWrap/>
            <w:hideMark/>
          </w:tcPr>
          <w:p w:rsidR="00E13198" w:rsidRPr="00D0075E" w:rsidRDefault="00E13198" w:rsidP="00485A0D">
            <w:pPr>
              <w:pStyle w:val="tabletext"/>
              <w:spacing w:before="60" w:after="60"/>
              <w:jc w:val="right"/>
            </w:pPr>
            <w:r w:rsidRPr="00D0075E">
              <w:t>83</w:t>
            </w:r>
          </w:p>
        </w:tc>
      </w:tr>
      <w:tr w:rsidR="00E13198" w:rsidRPr="00D44DA3" w:rsidTr="00D37549">
        <w:trPr>
          <w:trHeight w:val="300"/>
        </w:trPr>
        <w:tc>
          <w:tcPr>
            <w:tcW w:w="2283" w:type="dxa"/>
            <w:shd w:val="clear" w:color="auto" w:fill="auto"/>
            <w:noWrap/>
            <w:hideMark/>
          </w:tcPr>
          <w:p w:rsidR="00E13198" w:rsidRPr="00D44DA3" w:rsidRDefault="00E13198" w:rsidP="00485A0D">
            <w:pPr>
              <w:pStyle w:val="tabletext"/>
              <w:spacing w:before="60" w:after="60"/>
            </w:pPr>
            <w:r>
              <w:t>Parcels</w:t>
            </w:r>
          </w:p>
        </w:tc>
        <w:tc>
          <w:tcPr>
            <w:tcW w:w="1447" w:type="dxa"/>
            <w:shd w:val="clear" w:color="auto" w:fill="auto"/>
            <w:noWrap/>
            <w:hideMark/>
          </w:tcPr>
          <w:p w:rsidR="00E13198" w:rsidRPr="00D44DA3" w:rsidRDefault="00E13198" w:rsidP="00485A0D">
            <w:pPr>
              <w:pStyle w:val="tabletext"/>
              <w:spacing w:before="60" w:after="60"/>
            </w:pPr>
            <w:r w:rsidRPr="00D44DA3">
              <w:t>SAL mail</w:t>
            </w:r>
          </w:p>
        </w:tc>
        <w:tc>
          <w:tcPr>
            <w:tcW w:w="1430" w:type="dxa"/>
            <w:shd w:val="clear" w:color="auto" w:fill="auto"/>
            <w:noWrap/>
            <w:hideMark/>
          </w:tcPr>
          <w:p w:rsidR="00E13198" w:rsidRPr="00D0075E" w:rsidRDefault="00E13198" w:rsidP="00485A0D">
            <w:pPr>
              <w:pStyle w:val="tabletext"/>
              <w:spacing w:before="60" w:after="60"/>
              <w:jc w:val="right"/>
            </w:pPr>
            <w:r w:rsidRPr="00D0075E">
              <w:t>7</w:t>
            </w:r>
          </w:p>
        </w:tc>
      </w:tr>
      <w:tr w:rsidR="00E13198" w:rsidRPr="00D44DA3" w:rsidTr="006A72B2">
        <w:trPr>
          <w:trHeight w:val="300"/>
        </w:trPr>
        <w:tc>
          <w:tcPr>
            <w:tcW w:w="2283" w:type="dxa"/>
            <w:shd w:val="clear" w:color="auto" w:fill="auto"/>
            <w:noWrap/>
            <w:hideMark/>
          </w:tcPr>
          <w:p w:rsidR="00E13198" w:rsidRPr="00D44DA3" w:rsidRDefault="00E13198" w:rsidP="00485A0D">
            <w:pPr>
              <w:pStyle w:val="tabletext"/>
              <w:spacing w:before="60" w:after="60"/>
            </w:pPr>
            <w:r>
              <w:t>Parcels</w:t>
            </w:r>
          </w:p>
        </w:tc>
        <w:tc>
          <w:tcPr>
            <w:tcW w:w="1447" w:type="dxa"/>
            <w:shd w:val="clear" w:color="auto" w:fill="auto"/>
            <w:noWrap/>
            <w:hideMark/>
          </w:tcPr>
          <w:p w:rsidR="00E13198" w:rsidRPr="00D44DA3" w:rsidRDefault="00E13198" w:rsidP="00485A0D">
            <w:pPr>
              <w:pStyle w:val="tabletext"/>
              <w:spacing w:before="60" w:after="60"/>
            </w:pPr>
            <w:r w:rsidRPr="00D44DA3">
              <w:t>Surface mail</w:t>
            </w:r>
          </w:p>
        </w:tc>
        <w:tc>
          <w:tcPr>
            <w:tcW w:w="1430" w:type="dxa"/>
            <w:shd w:val="clear" w:color="auto" w:fill="auto"/>
            <w:noWrap/>
            <w:hideMark/>
          </w:tcPr>
          <w:p w:rsidR="00E13198" w:rsidRPr="00D0075E" w:rsidRDefault="00E13198" w:rsidP="00485A0D">
            <w:pPr>
              <w:pStyle w:val="tabletext"/>
              <w:spacing w:before="60" w:after="60"/>
              <w:jc w:val="right"/>
            </w:pPr>
            <w:r w:rsidRPr="00D0075E">
              <w:t>10</w:t>
            </w:r>
          </w:p>
        </w:tc>
      </w:tr>
      <w:tr w:rsidR="00E13198" w:rsidRPr="00E13198" w:rsidTr="006A72B2">
        <w:trPr>
          <w:trHeight w:val="300"/>
        </w:trPr>
        <w:tc>
          <w:tcPr>
            <w:tcW w:w="2283" w:type="dxa"/>
            <w:shd w:val="clear" w:color="auto" w:fill="auto"/>
            <w:noWrap/>
            <w:hideMark/>
          </w:tcPr>
          <w:p w:rsidR="00E13198" w:rsidRPr="00D44DA3" w:rsidRDefault="00E13198" w:rsidP="00485A0D">
            <w:pPr>
              <w:pStyle w:val="tabletext"/>
              <w:spacing w:before="60" w:after="60"/>
            </w:pPr>
            <w:r>
              <w:t>Express mail service</w:t>
            </w:r>
            <w:r w:rsidR="00620A4C">
              <w:t>s</w:t>
            </w:r>
          </w:p>
        </w:tc>
        <w:tc>
          <w:tcPr>
            <w:tcW w:w="1447" w:type="dxa"/>
            <w:shd w:val="clear" w:color="auto" w:fill="auto"/>
            <w:noWrap/>
            <w:hideMark/>
          </w:tcPr>
          <w:p w:rsidR="00E13198" w:rsidRPr="00D44DA3" w:rsidRDefault="00E13198" w:rsidP="00485A0D">
            <w:pPr>
              <w:pStyle w:val="tabletext"/>
              <w:spacing w:before="60" w:after="60"/>
            </w:pPr>
            <w:r w:rsidRPr="00D44DA3">
              <w:t>Air</w:t>
            </w:r>
            <w:r>
              <w:t xml:space="preserve"> mail</w:t>
            </w:r>
          </w:p>
        </w:tc>
        <w:tc>
          <w:tcPr>
            <w:tcW w:w="1430" w:type="dxa"/>
            <w:shd w:val="clear" w:color="auto" w:fill="auto"/>
            <w:noWrap/>
            <w:hideMark/>
          </w:tcPr>
          <w:p w:rsidR="00E13198" w:rsidRPr="00D44DA3" w:rsidRDefault="00E13198" w:rsidP="00485A0D">
            <w:pPr>
              <w:pStyle w:val="tabletext"/>
              <w:spacing w:before="60" w:after="60"/>
              <w:jc w:val="right"/>
            </w:pPr>
            <w:r w:rsidRPr="00D44DA3">
              <w:t>100</w:t>
            </w:r>
          </w:p>
        </w:tc>
      </w:tr>
      <w:tr w:rsidR="00E13198" w:rsidRPr="00E13198" w:rsidTr="006A72B2">
        <w:trPr>
          <w:trHeight w:val="300"/>
        </w:trPr>
        <w:tc>
          <w:tcPr>
            <w:tcW w:w="2283" w:type="dxa"/>
            <w:shd w:val="clear" w:color="auto" w:fill="auto"/>
            <w:noWrap/>
            <w:hideMark/>
          </w:tcPr>
          <w:p w:rsidR="00E13198" w:rsidRPr="00D44DA3" w:rsidRDefault="00E13198" w:rsidP="00485A0D">
            <w:pPr>
              <w:pStyle w:val="tabletext"/>
              <w:spacing w:before="60" w:after="60"/>
            </w:pPr>
            <w:r>
              <w:t>Express mail service</w:t>
            </w:r>
            <w:r w:rsidR="00620A4C">
              <w:t>s</w:t>
            </w:r>
          </w:p>
        </w:tc>
        <w:tc>
          <w:tcPr>
            <w:tcW w:w="1447" w:type="dxa"/>
            <w:shd w:val="clear" w:color="auto" w:fill="auto"/>
            <w:noWrap/>
            <w:hideMark/>
          </w:tcPr>
          <w:p w:rsidR="00E13198" w:rsidRPr="00D44DA3" w:rsidRDefault="00E13198" w:rsidP="00485A0D">
            <w:pPr>
              <w:pStyle w:val="tabletext"/>
              <w:spacing w:before="60" w:after="60"/>
            </w:pPr>
            <w:r w:rsidRPr="00D44DA3">
              <w:t>SAL</w:t>
            </w:r>
            <w:r>
              <w:t xml:space="preserve"> mail</w:t>
            </w:r>
          </w:p>
        </w:tc>
        <w:tc>
          <w:tcPr>
            <w:tcW w:w="1430" w:type="dxa"/>
            <w:shd w:val="clear" w:color="auto" w:fill="auto"/>
            <w:noWrap/>
            <w:hideMark/>
          </w:tcPr>
          <w:p w:rsidR="00E13198" w:rsidRPr="00D44DA3" w:rsidRDefault="00E13198" w:rsidP="00485A0D">
            <w:pPr>
              <w:pStyle w:val="tabletext"/>
              <w:spacing w:before="60" w:after="60"/>
              <w:jc w:val="right"/>
            </w:pPr>
            <w:r w:rsidRPr="00D44DA3">
              <w:t>0</w:t>
            </w:r>
          </w:p>
        </w:tc>
      </w:tr>
      <w:tr w:rsidR="00E13198" w:rsidRPr="00E13198" w:rsidTr="006A72B2">
        <w:trPr>
          <w:trHeight w:val="300"/>
        </w:trPr>
        <w:tc>
          <w:tcPr>
            <w:tcW w:w="2283" w:type="dxa"/>
            <w:tcBorders>
              <w:bottom w:val="single" w:sz="4" w:space="0" w:color="auto"/>
            </w:tcBorders>
            <w:shd w:val="clear" w:color="auto" w:fill="auto"/>
            <w:noWrap/>
            <w:hideMark/>
          </w:tcPr>
          <w:p w:rsidR="00E13198" w:rsidRPr="00D44DA3" w:rsidRDefault="00E13198" w:rsidP="00485A0D">
            <w:pPr>
              <w:pStyle w:val="tabletext"/>
              <w:spacing w:before="60" w:after="60"/>
            </w:pPr>
            <w:r>
              <w:t>Express mail service</w:t>
            </w:r>
            <w:r w:rsidR="00620A4C">
              <w:t>s</w:t>
            </w:r>
          </w:p>
        </w:tc>
        <w:tc>
          <w:tcPr>
            <w:tcW w:w="1447" w:type="dxa"/>
            <w:tcBorders>
              <w:bottom w:val="single" w:sz="4" w:space="0" w:color="auto"/>
            </w:tcBorders>
            <w:shd w:val="clear" w:color="auto" w:fill="auto"/>
            <w:noWrap/>
            <w:hideMark/>
          </w:tcPr>
          <w:p w:rsidR="00E13198" w:rsidRPr="00D44DA3" w:rsidRDefault="00E13198" w:rsidP="00485A0D">
            <w:pPr>
              <w:pStyle w:val="tabletext"/>
              <w:spacing w:before="60" w:after="60"/>
            </w:pPr>
            <w:r w:rsidRPr="00D44DA3">
              <w:t>Surface mail</w:t>
            </w:r>
          </w:p>
        </w:tc>
        <w:tc>
          <w:tcPr>
            <w:tcW w:w="1430" w:type="dxa"/>
            <w:tcBorders>
              <w:bottom w:val="single" w:sz="4" w:space="0" w:color="auto"/>
            </w:tcBorders>
            <w:shd w:val="clear" w:color="auto" w:fill="auto"/>
            <w:noWrap/>
            <w:hideMark/>
          </w:tcPr>
          <w:p w:rsidR="00E13198" w:rsidRPr="00D44DA3" w:rsidRDefault="00E13198" w:rsidP="00485A0D">
            <w:pPr>
              <w:pStyle w:val="tabletext"/>
              <w:spacing w:before="60" w:after="60"/>
              <w:jc w:val="right"/>
            </w:pPr>
            <w:r w:rsidRPr="00D44DA3">
              <w:t>0</w:t>
            </w:r>
          </w:p>
        </w:tc>
      </w:tr>
    </w:tbl>
    <w:p w:rsidR="00D0075E" w:rsidRDefault="00B919D3" w:rsidP="00D25E08">
      <w:pPr>
        <w:pStyle w:val="FigureFooter"/>
      </w:pPr>
      <w:proofErr w:type="gramStart"/>
      <w:r w:rsidRPr="00B919D3">
        <w:rPr>
          <w:b/>
        </w:rPr>
        <w:t>a</w:t>
      </w:r>
      <w:proofErr w:type="gramEnd"/>
      <w:r>
        <w:t xml:space="preserve"> </w:t>
      </w:r>
      <w:r w:rsidR="0054776C" w:rsidRPr="00E13198">
        <w:t xml:space="preserve">Figure </w:t>
      </w:r>
      <w:r w:rsidR="00D0075E" w:rsidRPr="00E13198">
        <w:t>cannot be separated</w:t>
      </w:r>
      <w:r w:rsidR="00D73FEB">
        <w:t>,</w:t>
      </w:r>
      <w:r w:rsidR="00D0075E" w:rsidRPr="00E13198">
        <w:t xml:space="preserve"> as </w:t>
      </w:r>
      <w:r w:rsidR="00D73FEB">
        <w:t xml:space="preserve">Australia </w:t>
      </w:r>
      <w:r w:rsidR="0054776C">
        <w:t>Post combines</w:t>
      </w:r>
      <w:r w:rsidR="00D73FEB">
        <w:t xml:space="preserve"> letters and other articles </w:t>
      </w:r>
      <w:r w:rsidR="0054776C">
        <w:t>for</w:t>
      </w:r>
      <w:r w:rsidR="00D73FEB">
        <w:t xml:space="preserve"> </w:t>
      </w:r>
      <w:r w:rsidR="00D0075E" w:rsidRPr="00E13198">
        <w:t>volumes by arrival method</w:t>
      </w:r>
      <w:r w:rsidR="00D25E08">
        <w:t>.</w:t>
      </w:r>
    </w:p>
    <w:p w:rsidR="00A3520C" w:rsidRDefault="00A3520C" w:rsidP="00A3520C">
      <w:pPr>
        <w:pStyle w:val="FigureFooter"/>
      </w:pPr>
      <w:r>
        <w:t>Source: Department of Agriculture</w:t>
      </w:r>
      <w:r w:rsidR="00F2605D">
        <w:t>, April 2014</w:t>
      </w:r>
    </w:p>
    <w:p w:rsidR="00175A73" w:rsidRDefault="000D49BF" w:rsidP="00A3520C">
      <w:pPr>
        <w:pStyle w:val="FindingsNormalNumbering"/>
        <w:ind w:left="0" w:firstLine="0"/>
      </w:pPr>
      <w:r>
        <w:t xml:space="preserve">Table </w:t>
      </w:r>
      <w:r w:rsidR="002410BF">
        <w:t>5</w:t>
      </w:r>
      <w:r>
        <w:t xml:space="preserve"> </w:t>
      </w:r>
      <w:r w:rsidR="00F2605D">
        <w:t>shows</w:t>
      </w:r>
      <w:r>
        <w:t xml:space="preserve"> the </w:t>
      </w:r>
      <w:r w:rsidR="002410BF">
        <w:t>number</w:t>
      </w:r>
      <w:r>
        <w:t xml:space="preserve"> of international mail items that arrived in Australia (at each international mail centre) </w:t>
      </w:r>
      <w:r w:rsidR="00FB4074">
        <w:t>between</w:t>
      </w:r>
      <w:r>
        <w:t xml:space="preserve"> 1 July 2008</w:t>
      </w:r>
      <w:r w:rsidR="00FB4074">
        <w:t xml:space="preserve"> and </w:t>
      </w:r>
      <w:r w:rsidR="00157EFF">
        <w:t>30 June 2013</w:t>
      </w:r>
      <w:r>
        <w:t>.</w:t>
      </w:r>
      <w:r w:rsidR="00FB4074">
        <w:t xml:space="preserve"> </w:t>
      </w:r>
      <w:r w:rsidR="0055217A">
        <w:t xml:space="preserve">International mail volumes </w:t>
      </w:r>
      <w:r w:rsidR="0054776C">
        <w:t>(particularly for other articles)</w:t>
      </w:r>
      <w:r w:rsidR="0054776C" w:rsidDel="0054776C">
        <w:t xml:space="preserve"> </w:t>
      </w:r>
      <w:r w:rsidR="0055217A">
        <w:t>inc</w:t>
      </w:r>
      <w:r w:rsidR="00FB4074">
        <w:t>reased over the five years.</w:t>
      </w:r>
    </w:p>
    <w:p w:rsidR="00D25E08" w:rsidRDefault="00D25E08" w:rsidP="00C17305">
      <w:pPr>
        <w:pStyle w:val="Figureandtablecaptions"/>
      </w:pPr>
      <w:r w:rsidRPr="0097788B">
        <w:t xml:space="preserve">Table </w:t>
      </w:r>
      <w:proofErr w:type="gramStart"/>
      <w:r w:rsidR="00BA7C4B">
        <w:t>5</w:t>
      </w:r>
      <w:r w:rsidRPr="0097788B">
        <w:t xml:space="preserve"> </w:t>
      </w:r>
      <w:r w:rsidR="00CD4A4F">
        <w:t xml:space="preserve"> </w:t>
      </w:r>
      <w:r w:rsidR="0004682C">
        <w:t>International</w:t>
      </w:r>
      <w:proofErr w:type="gramEnd"/>
      <w:r w:rsidR="0004682C">
        <w:t xml:space="preserve"> </w:t>
      </w:r>
      <w:r>
        <w:t>mail items received in Australia, 2008</w:t>
      </w:r>
      <w:r w:rsidR="00E27BA3">
        <w:t>–</w:t>
      </w:r>
      <w:r>
        <w:t>13</w:t>
      </w:r>
    </w:p>
    <w:tbl>
      <w:tblPr>
        <w:tblW w:w="8897" w:type="dxa"/>
        <w:tblLayout w:type="fixed"/>
        <w:tblLook w:val="04A0"/>
      </w:tblPr>
      <w:tblGrid>
        <w:gridCol w:w="1384"/>
        <w:gridCol w:w="1787"/>
        <w:gridCol w:w="1190"/>
        <w:gridCol w:w="1134"/>
        <w:gridCol w:w="1134"/>
        <w:gridCol w:w="1134"/>
        <w:gridCol w:w="1134"/>
      </w:tblGrid>
      <w:tr w:rsidR="00FB3E69" w:rsidRPr="00D44DA3" w:rsidTr="00541DCF">
        <w:trPr>
          <w:trHeight w:val="300"/>
          <w:tblHeader/>
        </w:trPr>
        <w:tc>
          <w:tcPr>
            <w:tcW w:w="1384" w:type="dxa"/>
            <w:tcBorders>
              <w:top w:val="single" w:sz="4" w:space="0" w:color="auto"/>
              <w:bottom w:val="single" w:sz="4" w:space="0" w:color="auto"/>
            </w:tcBorders>
            <w:shd w:val="clear" w:color="auto" w:fill="auto"/>
            <w:noWrap/>
            <w:vAlign w:val="center"/>
            <w:hideMark/>
          </w:tcPr>
          <w:p w:rsidR="00FB3E69" w:rsidRPr="00D44DA3" w:rsidRDefault="00FB3E69" w:rsidP="00485A0D">
            <w:pPr>
              <w:pStyle w:val="Tableheader"/>
            </w:pPr>
            <w:r w:rsidRPr="00D44DA3">
              <w:t>Location</w:t>
            </w:r>
          </w:p>
        </w:tc>
        <w:tc>
          <w:tcPr>
            <w:tcW w:w="1787" w:type="dxa"/>
            <w:tcBorders>
              <w:top w:val="single" w:sz="4" w:space="0" w:color="auto"/>
              <w:bottom w:val="single" w:sz="4" w:space="0" w:color="auto"/>
            </w:tcBorders>
            <w:shd w:val="clear" w:color="auto" w:fill="auto"/>
            <w:noWrap/>
            <w:hideMark/>
          </w:tcPr>
          <w:p w:rsidR="00FB3E69" w:rsidRPr="00D44DA3" w:rsidRDefault="006635B4" w:rsidP="00485A0D">
            <w:pPr>
              <w:pStyle w:val="Tableheader"/>
            </w:pPr>
            <w:r>
              <w:t>Mail c</w:t>
            </w:r>
            <w:r w:rsidR="00FB3E69" w:rsidRPr="00D44DA3">
              <w:t>lass</w:t>
            </w:r>
          </w:p>
        </w:tc>
        <w:tc>
          <w:tcPr>
            <w:tcW w:w="1190" w:type="dxa"/>
            <w:tcBorders>
              <w:top w:val="single" w:sz="4" w:space="0" w:color="auto"/>
              <w:bottom w:val="single" w:sz="4" w:space="0" w:color="auto"/>
            </w:tcBorders>
            <w:shd w:val="clear" w:color="auto" w:fill="auto"/>
            <w:noWrap/>
            <w:hideMark/>
          </w:tcPr>
          <w:p w:rsidR="00FB3E69" w:rsidRPr="00D44DA3" w:rsidRDefault="002847C9" w:rsidP="00485A0D">
            <w:pPr>
              <w:pStyle w:val="Tableheader"/>
              <w:jc w:val="right"/>
            </w:pPr>
            <w:r>
              <w:t>20</w:t>
            </w:r>
            <w:r w:rsidR="00FB3E69" w:rsidRPr="00D44DA3">
              <w:t>08</w:t>
            </w:r>
            <w:r w:rsidR="00612B0D">
              <w:t>–</w:t>
            </w:r>
            <w:r w:rsidR="00FB3E69" w:rsidRPr="00D44DA3">
              <w:t>09</w:t>
            </w:r>
          </w:p>
        </w:tc>
        <w:tc>
          <w:tcPr>
            <w:tcW w:w="1134" w:type="dxa"/>
            <w:tcBorders>
              <w:top w:val="single" w:sz="4" w:space="0" w:color="auto"/>
              <w:bottom w:val="single" w:sz="4" w:space="0" w:color="auto"/>
            </w:tcBorders>
            <w:shd w:val="clear" w:color="auto" w:fill="auto"/>
            <w:noWrap/>
            <w:hideMark/>
          </w:tcPr>
          <w:p w:rsidR="00FB3E69" w:rsidRPr="00D44DA3" w:rsidRDefault="002847C9" w:rsidP="00485A0D">
            <w:pPr>
              <w:pStyle w:val="Tableheader"/>
              <w:jc w:val="right"/>
            </w:pPr>
            <w:r>
              <w:t>20</w:t>
            </w:r>
            <w:r w:rsidR="00FB3E69" w:rsidRPr="00D44DA3">
              <w:t>09</w:t>
            </w:r>
            <w:r w:rsidR="00612B0D">
              <w:t>–</w:t>
            </w:r>
            <w:r w:rsidR="00FB3E69" w:rsidRPr="00D44DA3">
              <w:t>10</w:t>
            </w:r>
          </w:p>
        </w:tc>
        <w:tc>
          <w:tcPr>
            <w:tcW w:w="1134" w:type="dxa"/>
            <w:tcBorders>
              <w:top w:val="single" w:sz="4" w:space="0" w:color="auto"/>
              <w:bottom w:val="single" w:sz="4" w:space="0" w:color="auto"/>
            </w:tcBorders>
            <w:shd w:val="clear" w:color="auto" w:fill="auto"/>
            <w:noWrap/>
            <w:hideMark/>
          </w:tcPr>
          <w:p w:rsidR="00FB3E69" w:rsidRPr="00D44DA3" w:rsidRDefault="002847C9" w:rsidP="00485A0D">
            <w:pPr>
              <w:pStyle w:val="Tableheader"/>
              <w:jc w:val="right"/>
            </w:pPr>
            <w:r>
              <w:t>20</w:t>
            </w:r>
            <w:r w:rsidR="00FB3E69" w:rsidRPr="00D44DA3">
              <w:t>10</w:t>
            </w:r>
            <w:r w:rsidR="00612B0D">
              <w:t>–</w:t>
            </w:r>
            <w:r w:rsidR="00FB3E69" w:rsidRPr="00D44DA3">
              <w:t>11</w:t>
            </w:r>
          </w:p>
        </w:tc>
        <w:tc>
          <w:tcPr>
            <w:tcW w:w="1134" w:type="dxa"/>
            <w:tcBorders>
              <w:top w:val="single" w:sz="4" w:space="0" w:color="auto"/>
              <w:bottom w:val="single" w:sz="4" w:space="0" w:color="auto"/>
            </w:tcBorders>
            <w:shd w:val="clear" w:color="auto" w:fill="auto"/>
            <w:noWrap/>
            <w:hideMark/>
          </w:tcPr>
          <w:p w:rsidR="00FB3E69" w:rsidRPr="00D44DA3" w:rsidRDefault="002847C9" w:rsidP="00485A0D">
            <w:pPr>
              <w:pStyle w:val="Tableheader"/>
              <w:jc w:val="right"/>
            </w:pPr>
            <w:r>
              <w:t>20</w:t>
            </w:r>
            <w:r w:rsidR="00FB3E69" w:rsidRPr="00D44DA3">
              <w:t>11</w:t>
            </w:r>
            <w:r w:rsidR="00612B0D">
              <w:t>–</w:t>
            </w:r>
            <w:r w:rsidR="00FB3E69" w:rsidRPr="00D44DA3">
              <w:t>12</w:t>
            </w:r>
          </w:p>
        </w:tc>
        <w:tc>
          <w:tcPr>
            <w:tcW w:w="1134" w:type="dxa"/>
            <w:tcBorders>
              <w:top w:val="single" w:sz="4" w:space="0" w:color="auto"/>
              <w:bottom w:val="single" w:sz="4" w:space="0" w:color="auto"/>
            </w:tcBorders>
          </w:tcPr>
          <w:p w:rsidR="00FB3E69" w:rsidRPr="00FB3E69" w:rsidRDefault="002847C9" w:rsidP="00485A0D">
            <w:pPr>
              <w:pStyle w:val="Tableheader"/>
              <w:jc w:val="right"/>
            </w:pPr>
            <w:r>
              <w:t>20</w:t>
            </w:r>
            <w:r w:rsidR="00FB3E69" w:rsidRPr="00FB3E69">
              <w:t>12</w:t>
            </w:r>
            <w:r w:rsidR="00612B0D">
              <w:t>–</w:t>
            </w:r>
            <w:r w:rsidR="00FB3E69" w:rsidRPr="00FB3E69">
              <w:t>13</w:t>
            </w:r>
          </w:p>
        </w:tc>
      </w:tr>
      <w:tr w:rsidR="00FB3E69" w:rsidRPr="00D44DA3" w:rsidTr="00541DCF">
        <w:trPr>
          <w:trHeight w:val="300"/>
        </w:trPr>
        <w:tc>
          <w:tcPr>
            <w:tcW w:w="1384" w:type="dxa"/>
            <w:vMerge w:val="restart"/>
            <w:tcBorders>
              <w:top w:val="single" w:sz="4" w:space="0" w:color="auto"/>
            </w:tcBorders>
            <w:shd w:val="clear" w:color="auto" w:fill="auto"/>
            <w:noWrap/>
            <w:vAlign w:val="center"/>
            <w:hideMark/>
          </w:tcPr>
          <w:p w:rsidR="00FB3E69" w:rsidRPr="00D44DA3" w:rsidRDefault="00FB3E69" w:rsidP="00485A0D">
            <w:pPr>
              <w:pStyle w:val="Tableheader"/>
            </w:pPr>
            <w:r w:rsidRPr="00D44DA3">
              <w:t>Brisbane Airport Transit Centre</w:t>
            </w:r>
          </w:p>
        </w:tc>
        <w:tc>
          <w:tcPr>
            <w:tcW w:w="1787" w:type="dxa"/>
            <w:tcBorders>
              <w:top w:val="single" w:sz="4" w:space="0" w:color="auto"/>
            </w:tcBorders>
            <w:shd w:val="clear" w:color="auto" w:fill="auto"/>
            <w:noWrap/>
            <w:hideMark/>
          </w:tcPr>
          <w:p w:rsidR="00FB3E69" w:rsidRPr="00D44DA3" w:rsidRDefault="00FB3E69" w:rsidP="00485A0D">
            <w:pPr>
              <w:pStyle w:val="tabletext"/>
              <w:spacing w:before="40" w:after="40"/>
            </w:pPr>
            <w:r w:rsidRPr="00D44DA3">
              <w:t>Letter</w:t>
            </w:r>
            <w:r w:rsidR="00CF628B">
              <w:t>s</w:t>
            </w:r>
          </w:p>
        </w:tc>
        <w:tc>
          <w:tcPr>
            <w:tcW w:w="1190" w:type="dxa"/>
            <w:tcBorders>
              <w:top w:val="single" w:sz="4" w:space="0" w:color="auto"/>
            </w:tcBorders>
            <w:shd w:val="clear" w:color="auto" w:fill="auto"/>
            <w:noWrap/>
            <w:hideMark/>
          </w:tcPr>
          <w:p w:rsidR="00FB3E69" w:rsidRPr="00D44DA3" w:rsidRDefault="00FB3E69" w:rsidP="00485A0D">
            <w:pPr>
              <w:pStyle w:val="tabletext"/>
              <w:spacing w:before="40" w:after="40"/>
              <w:jc w:val="right"/>
            </w:pPr>
            <w:r w:rsidRPr="00D44DA3">
              <w:t>6</w:t>
            </w:r>
            <w:r w:rsidR="00612B0D">
              <w:t xml:space="preserve"> </w:t>
            </w:r>
            <w:r w:rsidRPr="00D44DA3">
              <w:t>607</w:t>
            </w:r>
            <w:r w:rsidR="00612B0D">
              <w:t xml:space="preserve"> </w:t>
            </w:r>
            <w:r w:rsidRPr="00D44DA3">
              <w:t>500</w:t>
            </w:r>
          </w:p>
        </w:tc>
        <w:tc>
          <w:tcPr>
            <w:tcW w:w="1134" w:type="dxa"/>
            <w:tcBorders>
              <w:top w:val="single" w:sz="4" w:space="0" w:color="auto"/>
            </w:tcBorders>
            <w:shd w:val="clear" w:color="auto" w:fill="auto"/>
            <w:noWrap/>
            <w:hideMark/>
          </w:tcPr>
          <w:p w:rsidR="00FB3E69" w:rsidRPr="00D44DA3" w:rsidRDefault="00FB3E69" w:rsidP="00485A0D">
            <w:pPr>
              <w:pStyle w:val="tabletext"/>
              <w:spacing w:before="40" w:after="40"/>
              <w:jc w:val="right"/>
            </w:pPr>
            <w:r w:rsidRPr="00D44DA3">
              <w:t>6</w:t>
            </w:r>
            <w:r w:rsidR="00612B0D">
              <w:t xml:space="preserve"> </w:t>
            </w:r>
            <w:r w:rsidRPr="00D44DA3">
              <w:t>316</w:t>
            </w:r>
            <w:r w:rsidR="00612B0D">
              <w:t xml:space="preserve"> </w:t>
            </w:r>
            <w:r w:rsidRPr="00D44DA3">
              <w:t>771</w:t>
            </w:r>
          </w:p>
        </w:tc>
        <w:tc>
          <w:tcPr>
            <w:tcW w:w="1134" w:type="dxa"/>
            <w:tcBorders>
              <w:top w:val="single" w:sz="4" w:space="0" w:color="auto"/>
            </w:tcBorders>
            <w:shd w:val="clear" w:color="auto" w:fill="auto"/>
            <w:noWrap/>
            <w:hideMark/>
          </w:tcPr>
          <w:p w:rsidR="00FB3E69" w:rsidRPr="00D44DA3" w:rsidRDefault="00FB3E69" w:rsidP="00485A0D">
            <w:pPr>
              <w:pStyle w:val="tabletext"/>
              <w:spacing w:before="40" w:after="40"/>
              <w:jc w:val="right"/>
            </w:pPr>
            <w:r w:rsidRPr="00D44DA3">
              <w:t>6</w:t>
            </w:r>
            <w:r w:rsidR="007449EC">
              <w:t xml:space="preserve"> </w:t>
            </w:r>
            <w:r w:rsidRPr="00D44DA3">
              <w:t>581</w:t>
            </w:r>
            <w:r w:rsidR="007449EC">
              <w:t xml:space="preserve"> </w:t>
            </w:r>
            <w:r w:rsidRPr="00D44DA3">
              <w:t>762</w:t>
            </w:r>
          </w:p>
        </w:tc>
        <w:tc>
          <w:tcPr>
            <w:tcW w:w="1134" w:type="dxa"/>
            <w:tcBorders>
              <w:top w:val="single" w:sz="4" w:space="0" w:color="auto"/>
            </w:tcBorders>
            <w:shd w:val="clear" w:color="auto" w:fill="auto"/>
            <w:noWrap/>
            <w:hideMark/>
          </w:tcPr>
          <w:p w:rsidR="00FB3E69" w:rsidRPr="00D44DA3" w:rsidRDefault="007449EC" w:rsidP="00485A0D">
            <w:pPr>
              <w:pStyle w:val="tabletext"/>
              <w:spacing w:before="40" w:after="40"/>
              <w:jc w:val="right"/>
            </w:pPr>
            <w:r>
              <w:t xml:space="preserve">6 </w:t>
            </w:r>
            <w:r w:rsidR="00FB3E69" w:rsidRPr="00D44DA3">
              <w:t>855</w:t>
            </w:r>
            <w:r>
              <w:t xml:space="preserve"> </w:t>
            </w:r>
            <w:r w:rsidR="00FB3E69" w:rsidRPr="00D44DA3">
              <w:t>299</w:t>
            </w:r>
          </w:p>
        </w:tc>
        <w:tc>
          <w:tcPr>
            <w:tcW w:w="1134" w:type="dxa"/>
            <w:tcBorders>
              <w:top w:val="single" w:sz="4" w:space="0" w:color="auto"/>
            </w:tcBorders>
          </w:tcPr>
          <w:p w:rsidR="00FB3E69" w:rsidRPr="00FB3E69" w:rsidRDefault="007449EC" w:rsidP="00485A0D">
            <w:pPr>
              <w:pStyle w:val="tabletext"/>
              <w:spacing w:before="40" w:after="40"/>
              <w:jc w:val="right"/>
            </w:pPr>
            <w:r>
              <w:t xml:space="preserve">6 </w:t>
            </w:r>
            <w:r w:rsidR="00FB3E69" w:rsidRPr="00FB3E69">
              <w:t>438</w:t>
            </w:r>
            <w:r>
              <w:t xml:space="preserve"> </w:t>
            </w:r>
            <w:r w:rsidR="00FB3E69" w:rsidRPr="00FB3E69">
              <w:t>410</w:t>
            </w:r>
          </w:p>
        </w:tc>
      </w:tr>
      <w:tr w:rsidR="00FB3E69" w:rsidRPr="00D44DA3" w:rsidTr="00541DCF">
        <w:trPr>
          <w:trHeight w:val="300"/>
        </w:trPr>
        <w:tc>
          <w:tcPr>
            <w:tcW w:w="1384" w:type="dxa"/>
            <w:vMerge/>
            <w:vAlign w:val="center"/>
            <w:hideMark/>
          </w:tcPr>
          <w:p w:rsidR="00FB3E69" w:rsidRPr="00D44DA3" w:rsidRDefault="00FB3E69" w:rsidP="00485A0D">
            <w:pPr>
              <w:pStyle w:val="Tableheader"/>
            </w:pPr>
          </w:p>
        </w:tc>
        <w:tc>
          <w:tcPr>
            <w:tcW w:w="1787" w:type="dxa"/>
            <w:shd w:val="clear" w:color="auto" w:fill="auto"/>
            <w:noWrap/>
            <w:hideMark/>
          </w:tcPr>
          <w:p w:rsidR="00FB3E69" w:rsidRPr="00D44DA3" w:rsidRDefault="006635B4" w:rsidP="00485A0D">
            <w:pPr>
              <w:pStyle w:val="tabletext"/>
              <w:spacing w:before="40" w:after="40"/>
            </w:pPr>
            <w:r>
              <w:t>Other a</w:t>
            </w:r>
            <w:r w:rsidR="00FB3E69" w:rsidRPr="00D44DA3">
              <w:t>rticles</w:t>
            </w:r>
          </w:p>
        </w:tc>
        <w:tc>
          <w:tcPr>
            <w:tcW w:w="1190" w:type="dxa"/>
            <w:shd w:val="clear" w:color="auto" w:fill="auto"/>
            <w:noWrap/>
            <w:hideMark/>
          </w:tcPr>
          <w:p w:rsidR="00FB3E69" w:rsidRPr="00D44DA3" w:rsidRDefault="00612B0D" w:rsidP="00485A0D">
            <w:pPr>
              <w:pStyle w:val="tabletext"/>
              <w:spacing w:before="40" w:after="40"/>
              <w:jc w:val="right"/>
            </w:pPr>
            <w:r>
              <w:t xml:space="preserve">1 313 </w:t>
            </w:r>
            <w:r w:rsidR="00FB3E69" w:rsidRPr="00D44DA3">
              <w:t>046</w:t>
            </w:r>
          </w:p>
        </w:tc>
        <w:tc>
          <w:tcPr>
            <w:tcW w:w="1134" w:type="dxa"/>
            <w:shd w:val="clear" w:color="auto" w:fill="auto"/>
            <w:noWrap/>
            <w:hideMark/>
          </w:tcPr>
          <w:p w:rsidR="00FB3E69" w:rsidRPr="00D44DA3" w:rsidRDefault="00612B0D" w:rsidP="00485A0D">
            <w:pPr>
              <w:pStyle w:val="tabletext"/>
              <w:spacing w:before="40" w:after="40"/>
              <w:jc w:val="right"/>
            </w:pPr>
            <w:r>
              <w:t xml:space="preserve">1 947 </w:t>
            </w:r>
            <w:r w:rsidR="00FB3E69" w:rsidRPr="00D44DA3">
              <w:t>091</w:t>
            </w:r>
          </w:p>
        </w:tc>
        <w:tc>
          <w:tcPr>
            <w:tcW w:w="1134" w:type="dxa"/>
            <w:shd w:val="clear" w:color="auto" w:fill="auto"/>
            <w:noWrap/>
            <w:hideMark/>
          </w:tcPr>
          <w:p w:rsidR="00FB3E69" w:rsidRPr="00D44DA3" w:rsidRDefault="007449EC" w:rsidP="00485A0D">
            <w:pPr>
              <w:pStyle w:val="tabletext"/>
              <w:spacing w:before="40" w:after="40"/>
              <w:jc w:val="right"/>
            </w:pPr>
            <w:r>
              <w:t xml:space="preserve">3 595 </w:t>
            </w:r>
            <w:r w:rsidR="00FB3E69" w:rsidRPr="00D44DA3">
              <w:t>561</w:t>
            </w:r>
          </w:p>
        </w:tc>
        <w:tc>
          <w:tcPr>
            <w:tcW w:w="1134" w:type="dxa"/>
            <w:shd w:val="clear" w:color="auto" w:fill="auto"/>
            <w:noWrap/>
            <w:hideMark/>
          </w:tcPr>
          <w:p w:rsidR="00FB3E69" w:rsidRPr="00D44DA3" w:rsidRDefault="007449EC" w:rsidP="00485A0D">
            <w:pPr>
              <w:pStyle w:val="tabletext"/>
              <w:spacing w:before="40" w:after="40"/>
              <w:jc w:val="right"/>
            </w:pPr>
            <w:r>
              <w:t xml:space="preserve">4 381 </w:t>
            </w:r>
            <w:r w:rsidR="00FB3E69" w:rsidRPr="00D44DA3">
              <w:t>398</w:t>
            </w:r>
          </w:p>
        </w:tc>
        <w:tc>
          <w:tcPr>
            <w:tcW w:w="1134" w:type="dxa"/>
          </w:tcPr>
          <w:p w:rsidR="00FB3E69" w:rsidRPr="00FB3E69" w:rsidRDefault="007449EC" w:rsidP="00485A0D">
            <w:pPr>
              <w:pStyle w:val="tabletext"/>
              <w:spacing w:before="40" w:after="40"/>
              <w:jc w:val="right"/>
            </w:pPr>
            <w:r>
              <w:t xml:space="preserve">5 864 </w:t>
            </w:r>
            <w:r w:rsidR="00FB3E69" w:rsidRPr="00FB3E69">
              <w:t>998</w:t>
            </w:r>
          </w:p>
        </w:tc>
      </w:tr>
      <w:tr w:rsidR="00FB3E69" w:rsidRPr="00D44DA3" w:rsidTr="00541DCF">
        <w:trPr>
          <w:trHeight w:val="300"/>
        </w:trPr>
        <w:tc>
          <w:tcPr>
            <w:tcW w:w="1384" w:type="dxa"/>
            <w:vMerge/>
            <w:vAlign w:val="center"/>
            <w:hideMark/>
          </w:tcPr>
          <w:p w:rsidR="00FB3E69" w:rsidRPr="00D44DA3" w:rsidRDefault="00FB3E69" w:rsidP="00485A0D">
            <w:pPr>
              <w:pStyle w:val="Tableheader"/>
            </w:pPr>
          </w:p>
        </w:tc>
        <w:tc>
          <w:tcPr>
            <w:tcW w:w="1787" w:type="dxa"/>
            <w:shd w:val="clear" w:color="auto" w:fill="auto"/>
            <w:noWrap/>
            <w:hideMark/>
          </w:tcPr>
          <w:p w:rsidR="00FB3E69" w:rsidRPr="00D44DA3" w:rsidRDefault="006635B4" w:rsidP="00485A0D">
            <w:pPr>
              <w:pStyle w:val="tabletext"/>
              <w:spacing w:before="40" w:after="40"/>
            </w:pPr>
            <w:r>
              <w:t>Express mail s</w:t>
            </w:r>
            <w:r w:rsidR="00FB3E69">
              <w:t>ervice</w:t>
            </w:r>
            <w:r w:rsidR="00620A4C">
              <w:t>s</w:t>
            </w:r>
          </w:p>
        </w:tc>
        <w:tc>
          <w:tcPr>
            <w:tcW w:w="1190" w:type="dxa"/>
            <w:shd w:val="clear" w:color="auto" w:fill="auto"/>
            <w:noWrap/>
            <w:hideMark/>
          </w:tcPr>
          <w:p w:rsidR="00FB3E69" w:rsidRPr="00D44DA3" w:rsidRDefault="00FB3E69" w:rsidP="00485A0D">
            <w:pPr>
              <w:pStyle w:val="tabletext"/>
              <w:spacing w:before="40" w:after="40"/>
              <w:jc w:val="right"/>
            </w:pPr>
            <w:r w:rsidRPr="00D44DA3">
              <w:t>159</w:t>
            </w:r>
            <w:r w:rsidR="00612B0D">
              <w:t xml:space="preserve"> </w:t>
            </w:r>
            <w:r w:rsidRPr="00D44DA3">
              <w:t>970</w:t>
            </w:r>
          </w:p>
        </w:tc>
        <w:tc>
          <w:tcPr>
            <w:tcW w:w="1134" w:type="dxa"/>
            <w:shd w:val="clear" w:color="auto" w:fill="auto"/>
            <w:noWrap/>
            <w:hideMark/>
          </w:tcPr>
          <w:p w:rsidR="00FB3E69" w:rsidRPr="00D44DA3" w:rsidRDefault="00FB3E69" w:rsidP="00485A0D">
            <w:pPr>
              <w:pStyle w:val="tabletext"/>
              <w:spacing w:before="40" w:after="40"/>
              <w:jc w:val="right"/>
            </w:pPr>
            <w:r w:rsidRPr="00D44DA3">
              <w:t>231</w:t>
            </w:r>
            <w:r w:rsidR="00612B0D">
              <w:t xml:space="preserve"> </w:t>
            </w:r>
            <w:r w:rsidRPr="00D44DA3">
              <w:t>334</w:t>
            </w:r>
          </w:p>
        </w:tc>
        <w:tc>
          <w:tcPr>
            <w:tcW w:w="1134" w:type="dxa"/>
            <w:shd w:val="clear" w:color="auto" w:fill="auto"/>
            <w:noWrap/>
            <w:hideMark/>
          </w:tcPr>
          <w:p w:rsidR="00FB3E69" w:rsidRPr="00D44DA3" w:rsidRDefault="00FB3E69" w:rsidP="00485A0D">
            <w:pPr>
              <w:pStyle w:val="tabletext"/>
              <w:spacing w:before="40" w:after="40"/>
              <w:jc w:val="right"/>
            </w:pPr>
            <w:r w:rsidRPr="00D44DA3">
              <w:t>306</w:t>
            </w:r>
            <w:r w:rsidR="007449EC">
              <w:t xml:space="preserve"> </w:t>
            </w:r>
            <w:r w:rsidRPr="00D44DA3">
              <w:t>766</w:t>
            </w:r>
          </w:p>
        </w:tc>
        <w:tc>
          <w:tcPr>
            <w:tcW w:w="1134" w:type="dxa"/>
            <w:shd w:val="clear" w:color="auto" w:fill="auto"/>
            <w:noWrap/>
            <w:hideMark/>
          </w:tcPr>
          <w:p w:rsidR="00FB3E69" w:rsidRPr="00D44DA3" w:rsidRDefault="00FB3E69" w:rsidP="00485A0D">
            <w:pPr>
              <w:pStyle w:val="tabletext"/>
              <w:spacing w:before="40" w:after="40"/>
              <w:jc w:val="right"/>
            </w:pPr>
            <w:r w:rsidRPr="00D44DA3">
              <w:t>358</w:t>
            </w:r>
            <w:r w:rsidR="007449EC">
              <w:t xml:space="preserve"> </w:t>
            </w:r>
            <w:r w:rsidRPr="00D44DA3">
              <w:t>881</w:t>
            </w:r>
          </w:p>
        </w:tc>
        <w:tc>
          <w:tcPr>
            <w:tcW w:w="1134" w:type="dxa"/>
          </w:tcPr>
          <w:p w:rsidR="00FB3E69" w:rsidRPr="00FB3E69" w:rsidRDefault="00FB3E69" w:rsidP="00485A0D">
            <w:pPr>
              <w:pStyle w:val="tabletext"/>
              <w:spacing w:before="40" w:after="40"/>
              <w:jc w:val="right"/>
            </w:pPr>
            <w:r w:rsidRPr="00FB3E69">
              <w:t>353</w:t>
            </w:r>
            <w:r w:rsidR="007449EC">
              <w:t xml:space="preserve"> </w:t>
            </w:r>
            <w:r w:rsidRPr="00FB3E69">
              <w:t>992</w:t>
            </w:r>
          </w:p>
        </w:tc>
      </w:tr>
      <w:tr w:rsidR="00FB3E69" w:rsidRPr="00D44DA3" w:rsidTr="00541DCF">
        <w:trPr>
          <w:trHeight w:val="300"/>
        </w:trPr>
        <w:tc>
          <w:tcPr>
            <w:tcW w:w="1384" w:type="dxa"/>
            <w:vMerge/>
            <w:vAlign w:val="center"/>
            <w:hideMark/>
          </w:tcPr>
          <w:p w:rsidR="00FB3E69" w:rsidRPr="00D44DA3" w:rsidRDefault="00FB3E69" w:rsidP="00485A0D">
            <w:pPr>
              <w:pStyle w:val="Tableheader"/>
            </w:pPr>
          </w:p>
        </w:tc>
        <w:tc>
          <w:tcPr>
            <w:tcW w:w="1787" w:type="dxa"/>
            <w:shd w:val="clear" w:color="auto" w:fill="auto"/>
            <w:noWrap/>
            <w:hideMark/>
          </w:tcPr>
          <w:p w:rsidR="00FB3E69" w:rsidRPr="00D44DA3" w:rsidRDefault="00FB3E69" w:rsidP="00485A0D">
            <w:pPr>
              <w:pStyle w:val="tabletext"/>
              <w:spacing w:before="40" w:after="40"/>
            </w:pPr>
            <w:r w:rsidRPr="00D44DA3">
              <w:t>Parcels</w:t>
            </w:r>
          </w:p>
        </w:tc>
        <w:tc>
          <w:tcPr>
            <w:tcW w:w="1190" w:type="dxa"/>
            <w:shd w:val="clear" w:color="auto" w:fill="auto"/>
            <w:noWrap/>
            <w:hideMark/>
          </w:tcPr>
          <w:p w:rsidR="00FB3E69" w:rsidRPr="00D44DA3" w:rsidRDefault="00612B0D" w:rsidP="00485A0D">
            <w:pPr>
              <w:pStyle w:val="tabletext"/>
              <w:spacing w:before="40" w:after="40"/>
              <w:jc w:val="right"/>
            </w:pPr>
            <w:r>
              <w:t xml:space="preserve">62 </w:t>
            </w:r>
            <w:r w:rsidR="00FB3E69" w:rsidRPr="00D44DA3">
              <w:t>653</w:t>
            </w:r>
          </w:p>
        </w:tc>
        <w:tc>
          <w:tcPr>
            <w:tcW w:w="1134" w:type="dxa"/>
            <w:shd w:val="clear" w:color="auto" w:fill="auto"/>
            <w:noWrap/>
            <w:hideMark/>
          </w:tcPr>
          <w:p w:rsidR="00FB3E69" w:rsidRPr="00D44DA3" w:rsidRDefault="00612B0D" w:rsidP="00485A0D">
            <w:pPr>
              <w:pStyle w:val="tabletext"/>
              <w:spacing w:before="40" w:after="40"/>
              <w:jc w:val="right"/>
            </w:pPr>
            <w:r>
              <w:t xml:space="preserve">73 </w:t>
            </w:r>
            <w:r w:rsidR="00FB3E69" w:rsidRPr="00D44DA3">
              <w:t>799</w:t>
            </w:r>
          </w:p>
        </w:tc>
        <w:tc>
          <w:tcPr>
            <w:tcW w:w="1134" w:type="dxa"/>
            <w:shd w:val="clear" w:color="auto" w:fill="auto"/>
            <w:noWrap/>
            <w:hideMark/>
          </w:tcPr>
          <w:p w:rsidR="00FB3E69" w:rsidRPr="00D44DA3" w:rsidRDefault="007449EC" w:rsidP="00485A0D">
            <w:pPr>
              <w:pStyle w:val="tabletext"/>
              <w:spacing w:before="40" w:after="40"/>
              <w:jc w:val="right"/>
            </w:pPr>
            <w:r>
              <w:t xml:space="preserve">89 </w:t>
            </w:r>
            <w:r w:rsidR="00FB3E69" w:rsidRPr="00D44DA3">
              <w:t>729</w:t>
            </w:r>
          </w:p>
        </w:tc>
        <w:tc>
          <w:tcPr>
            <w:tcW w:w="1134" w:type="dxa"/>
            <w:shd w:val="clear" w:color="auto" w:fill="auto"/>
            <w:noWrap/>
            <w:hideMark/>
          </w:tcPr>
          <w:p w:rsidR="00FB3E69" w:rsidRPr="00D44DA3" w:rsidRDefault="007449EC" w:rsidP="00485A0D">
            <w:pPr>
              <w:pStyle w:val="tabletext"/>
              <w:spacing w:before="40" w:after="40"/>
              <w:jc w:val="right"/>
            </w:pPr>
            <w:r>
              <w:t xml:space="preserve">329 </w:t>
            </w:r>
            <w:r w:rsidR="00FB3E69" w:rsidRPr="00D44DA3">
              <w:t>349</w:t>
            </w:r>
          </w:p>
        </w:tc>
        <w:tc>
          <w:tcPr>
            <w:tcW w:w="1134" w:type="dxa"/>
          </w:tcPr>
          <w:p w:rsidR="00FB3E69" w:rsidRPr="00FB3E69" w:rsidRDefault="007449EC" w:rsidP="00485A0D">
            <w:pPr>
              <w:pStyle w:val="tabletext"/>
              <w:spacing w:before="40" w:after="40"/>
              <w:jc w:val="right"/>
            </w:pPr>
            <w:r>
              <w:t xml:space="preserve">281 </w:t>
            </w:r>
            <w:r w:rsidR="00FB3E69" w:rsidRPr="00FB3E69">
              <w:t>821</w:t>
            </w:r>
          </w:p>
        </w:tc>
      </w:tr>
      <w:tr w:rsidR="00FB3E69" w:rsidRPr="00D44DA3" w:rsidTr="00541DCF">
        <w:trPr>
          <w:trHeight w:val="300"/>
        </w:trPr>
        <w:tc>
          <w:tcPr>
            <w:tcW w:w="1384" w:type="dxa"/>
            <w:vMerge/>
            <w:tcBorders>
              <w:bottom w:val="single" w:sz="4" w:space="0" w:color="auto"/>
            </w:tcBorders>
            <w:vAlign w:val="center"/>
            <w:hideMark/>
          </w:tcPr>
          <w:p w:rsidR="00FB3E69" w:rsidRPr="00D44DA3" w:rsidRDefault="00FB3E69" w:rsidP="00485A0D">
            <w:pPr>
              <w:pStyle w:val="Tableheader"/>
            </w:pPr>
          </w:p>
        </w:tc>
        <w:tc>
          <w:tcPr>
            <w:tcW w:w="1787" w:type="dxa"/>
            <w:tcBorders>
              <w:bottom w:val="single" w:sz="4" w:space="0" w:color="auto"/>
            </w:tcBorders>
            <w:shd w:val="clear" w:color="auto" w:fill="auto"/>
            <w:noWrap/>
            <w:hideMark/>
          </w:tcPr>
          <w:p w:rsidR="00FB3E69" w:rsidRPr="00D44DA3" w:rsidRDefault="00FB3E69" w:rsidP="00485A0D">
            <w:pPr>
              <w:pStyle w:val="tabletext"/>
              <w:spacing w:before="40" w:after="40"/>
            </w:pPr>
            <w:r w:rsidRPr="00D44DA3">
              <w:t>Registered</w:t>
            </w:r>
            <w:r w:rsidR="00B919D3">
              <w:t xml:space="preserve"> </w:t>
            </w:r>
            <w:r w:rsidR="00210106">
              <w:t xml:space="preserve"> </w:t>
            </w:r>
            <w:r w:rsidR="00B919D3" w:rsidRPr="00210106">
              <w:rPr>
                <w:b/>
              </w:rPr>
              <w:t>a</w:t>
            </w:r>
          </w:p>
        </w:tc>
        <w:tc>
          <w:tcPr>
            <w:tcW w:w="1190" w:type="dxa"/>
            <w:tcBorders>
              <w:bottom w:val="single" w:sz="4" w:space="0" w:color="auto"/>
            </w:tcBorders>
            <w:shd w:val="clear" w:color="auto" w:fill="auto"/>
            <w:noWrap/>
            <w:hideMark/>
          </w:tcPr>
          <w:p w:rsidR="00FB3E69" w:rsidRPr="00D44DA3" w:rsidRDefault="00612B0D" w:rsidP="00485A0D">
            <w:pPr>
              <w:pStyle w:val="tabletext"/>
              <w:spacing w:before="40" w:after="40"/>
              <w:jc w:val="right"/>
            </w:pPr>
            <w:r>
              <w:t xml:space="preserve">101 </w:t>
            </w:r>
            <w:r w:rsidR="00FB3E69" w:rsidRPr="00D44DA3">
              <w:t>943</w:t>
            </w:r>
          </w:p>
        </w:tc>
        <w:tc>
          <w:tcPr>
            <w:tcW w:w="1134" w:type="dxa"/>
            <w:tcBorders>
              <w:bottom w:val="single" w:sz="4" w:space="0" w:color="auto"/>
            </w:tcBorders>
            <w:shd w:val="clear" w:color="auto" w:fill="auto"/>
            <w:noWrap/>
            <w:hideMark/>
          </w:tcPr>
          <w:p w:rsidR="00FB3E69" w:rsidRPr="00D44DA3" w:rsidRDefault="00612B0D" w:rsidP="00485A0D">
            <w:pPr>
              <w:pStyle w:val="tabletext"/>
              <w:spacing w:before="40" w:after="40"/>
              <w:jc w:val="right"/>
            </w:pPr>
            <w:r>
              <w:t xml:space="preserve">263 </w:t>
            </w:r>
            <w:r w:rsidR="00FB3E69" w:rsidRPr="00D44DA3">
              <w:t>629</w:t>
            </w:r>
          </w:p>
        </w:tc>
        <w:tc>
          <w:tcPr>
            <w:tcW w:w="1134" w:type="dxa"/>
            <w:tcBorders>
              <w:bottom w:val="single" w:sz="4" w:space="0" w:color="auto"/>
            </w:tcBorders>
            <w:shd w:val="clear" w:color="auto" w:fill="auto"/>
            <w:noWrap/>
            <w:hideMark/>
          </w:tcPr>
          <w:p w:rsidR="00FB3E69" w:rsidRPr="00D44DA3" w:rsidRDefault="007449EC" w:rsidP="00485A0D">
            <w:pPr>
              <w:pStyle w:val="tabletext"/>
              <w:spacing w:before="40" w:after="40"/>
              <w:jc w:val="right"/>
            </w:pPr>
            <w:r>
              <w:t xml:space="preserve">451 </w:t>
            </w:r>
            <w:r w:rsidR="00FB3E69" w:rsidRPr="00D44DA3">
              <w:t>837</w:t>
            </w:r>
          </w:p>
        </w:tc>
        <w:tc>
          <w:tcPr>
            <w:tcW w:w="1134" w:type="dxa"/>
            <w:tcBorders>
              <w:bottom w:val="single" w:sz="4" w:space="0" w:color="auto"/>
            </w:tcBorders>
            <w:shd w:val="clear" w:color="auto" w:fill="auto"/>
            <w:noWrap/>
            <w:hideMark/>
          </w:tcPr>
          <w:p w:rsidR="00FB3E69" w:rsidRPr="00D44DA3" w:rsidRDefault="007449EC" w:rsidP="00485A0D">
            <w:pPr>
              <w:pStyle w:val="tabletext"/>
              <w:spacing w:before="40" w:after="40"/>
              <w:jc w:val="right"/>
            </w:pPr>
            <w:r>
              <w:t xml:space="preserve">328 </w:t>
            </w:r>
            <w:r w:rsidR="00FB3E69" w:rsidRPr="00D44DA3">
              <w:t>906</w:t>
            </w:r>
          </w:p>
        </w:tc>
        <w:tc>
          <w:tcPr>
            <w:tcW w:w="1134" w:type="dxa"/>
            <w:tcBorders>
              <w:bottom w:val="single" w:sz="4" w:space="0" w:color="auto"/>
            </w:tcBorders>
          </w:tcPr>
          <w:p w:rsidR="00FB3E69" w:rsidRPr="00FB3E69" w:rsidRDefault="007449EC" w:rsidP="00485A0D">
            <w:pPr>
              <w:pStyle w:val="tabletext"/>
              <w:spacing w:before="40" w:after="40"/>
              <w:jc w:val="right"/>
            </w:pPr>
            <w:r>
              <w:t>na</w:t>
            </w:r>
          </w:p>
        </w:tc>
      </w:tr>
      <w:tr w:rsidR="006635B4" w:rsidRPr="00D44DA3" w:rsidTr="00541DCF">
        <w:trPr>
          <w:trHeight w:val="300"/>
        </w:trPr>
        <w:tc>
          <w:tcPr>
            <w:tcW w:w="1384" w:type="dxa"/>
            <w:vMerge w:val="restart"/>
            <w:tcBorders>
              <w:top w:val="single" w:sz="4" w:space="0" w:color="auto"/>
            </w:tcBorders>
            <w:shd w:val="clear" w:color="auto" w:fill="auto"/>
            <w:noWrap/>
            <w:vAlign w:val="center"/>
            <w:hideMark/>
          </w:tcPr>
          <w:p w:rsidR="006635B4" w:rsidRPr="00D44DA3" w:rsidRDefault="006635B4" w:rsidP="00485A0D">
            <w:pPr>
              <w:pStyle w:val="Tableheader"/>
            </w:pPr>
            <w:r w:rsidRPr="00D44DA3">
              <w:t>Melbourne Gateway Facility</w:t>
            </w:r>
          </w:p>
        </w:tc>
        <w:tc>
          <w:tcPr>
            <w:tcW w:w="1787" w:type="dxa"/>
            <w:tcBorders>
              <w:top w:val="single" w:sz="4" w:space="0" w:color="auto"/>
            </w:tcBorders>
            <w:shd w:val="clear" w:color="auto" w:fill="auto"/>
            <w:noWrap/>
            <w:hideMark/>
          </w:tcPr>
          <w:p w:rsidR="006635B4" w:rsidRPr="00D44DA3" w:rsidRDefault="006635B4" w:rsidP="00485A0D">
            <w:pPr>
              <w:pStyle w:val="tabletext"/>
              <w:spacing w:before="40" w:after="40"/>
            </w:pPr>
            <w:r w:rsidRPr="00D44DA3">
              <w:t>Letter</w:t>
            </w:r>
            <w:r>
              <w:t>s</w:t>
            </w:r>
          </w:p>
        </w:tc>
        <w:tc>
          <w:tcPr>
            <w:tcW w:w="1190" w:type="dxa"/>
            <w:tcBorders>
              <w:top w:val="single" w:sz="4" w:space="0" w:color="auto"/>
            </w:tcBorders>
            <w:shd w:val="clear" w:color="auto" w:fill="auto"/>
            <w:noWrap/>
            <w:hideMark/>
          </w:tcPr>
          <w:p w:rsidR="006635B4" w:rsidRPr="00D44DA3" w:rsidRDefault="00612B0D" w:rsidP="00485A0D">
            <w:pPr>
              <w:pStyle w:val="tabletext"/>
              <w:spacing w:before="40" w:after="40"/>
              <w:jc w:val="right"/>
            </w:pPr>
            <w:r>
              <w:t xml:space="preserve">18 665 </w:t>
            </w:r>
            <w:r w:rsidR="006635B4" w:rsidRPr="00D44DA3">
              <w:t>356</w:t>
            </w:r>
          </w:p>
        </w:tc>
        <w:tc>
          <w:tcPr>
            <w:tcW w:w="1134" w:type="dxa"/>
            <w:tcBorders>
              <w:top w:val="single" w:sz="4" w:space="0" w:color="auto"/>
            </w:tcBorders>
            <w:shd w:val="clear" w:color="auto" w:fill="auto"/>
            <w:noWrap/>
            <w:hideMark/>
          </w:tcPr>
          <w:p w:rsidR="006635B4" w:rsidRPr="00D44DA3" w:rsidRDefault="00612B0D" w:rsidP="00485A0D">
            <w:pPr>
              <w:pStyle w:val="tabletext"/>
              <w:spacing w:before="40" w:after="40"/>
              <w:jc w:val="right"/>
            </w:pPr>
            <w:r>
              <w:t xml:space="preserve">14 886 </w:t>
            </w:r>
            <w:r w:rsidR="006635B4" w:rsidRPr="00D44DA3">
              <w:t>943</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16 676 </w:t>
            </w:r>
            <w:r w:rsidR="006635B4" w:rsidRPr="00D44DA3">
              <w:t>223</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17 301 </w:t>
            </w:r>
            <w:r w:rsidR="006635B4" w:rsidRPr="00D44DA3">
              <w:t>886</w:t>
            </w:r>
          </w:p>
        </w:tc>
        <w:tc>
          <w:tcPr>
            <w:tcW w:w="1134" w:type="dxa"/>
            <w:tcBorders>
              <w:top w:val="single" w:sz="4" w:space="0" w:color="auto"/>
            </w:tcBorders>
          </w:tcPr>
          <w:p w:rsidR="006635B4" w:rsidRPr="00FB3E69" w:rsidRDefault="007449EC" w:rsidP="00485A0D">
            <w:pPr>
              <w:pStyle w:val="tabletext"/>
              <w:spacing w:before="40" w:after="40"/>
              <w:jc w:val="right"/>
            </w:pPr>
            <w:r>
              <w:t xml:space="preserve">21 </w:t>
            </w:r>
            <w:r w:rsidR="006635B4" w:rsidRPr="00FB3E69">
              <w:t>249</w:t>
            </w:r>
            <w:r>
              <w:t xml:space="preserve"> </w:t>
            </w:r>
            <w:r w:rsidR="006635B4" w:rsidRPr="00FB3E69">
              <w:t>851</w:t>
            </w:r>
          </w:p>
        </w:tc>
      </w:tr>
      <w:tr w:rsidR="006635B4" w:rsidRPr="00D44DA3" w:rsidTr="00541DCF">
        <w:trPr>
          <w:trHeight w:val="300"/>
        </w:trPr>
        <w:tc>
          <w:tcPr>
            <w:tcW w:w="1384" w:type="dxa"/>
            <w:vMerge/>
            <w:vAlign w:val="center"/>
            <w:hideMark/>
          </w:tcPr>
          <w:p w:rsidR="006635B4" w:rsidRPr="00D44DA3" w:rsidRDefault="006635B4" w:rsidP="00485A0D">
            <w:pPr>
              <w:pStyle w:val="Tableheader"/>
            </w:pPr>
          </w:p>
        </w:tc>
        <w:tc>
          <w:tcPr>
            <w:tcW w:w="1787" w:type="dxa"/>
            <w:shd w:val="clear" w:color="auto" w:fill="auto"/>
            <w:noWrap/>
            <w:hideMark/>
          </w:tcPr>
          <w:p w:rsidR="006635B4" w:rsidRPr="00D44DA3" w:rsidRDefault="006635B4" w:rsidP="00485A0D">
            <w:pPr>
              <w:pStyle w:val="tabletext"/>
              <w:spacing w:before="40" w:after="40"/>
            </w:pPr>
            <w:r>
              <w:t>Other a</w:t>
            </w:r>
            <w:r w:rsidRPr="00D44DA3">
              <w:t>rticles</w:t>
            </w:r>
          </w:p>
        </w:tc>
        <w:tc>
          <w:tcPr>
            <w:tcW w:w="1190" w:type="dxa"/>
            <w:shd w:val="clear" w:color="auto" w:fill="auto"/>
            <w:noWrap/>
            <w:hideMark/>
          </w:tcPr>
          <w:p w:rsidR="006635B4" w:rsidRPr="00D44DA3" w:rsidRDefault="00612B0D" w:rsidP="00485A0D">
            <w:pPr>
              <w:pStyle w:val="tabletext"/>
              <w:spacing w:before="40" w:after="40"/>
              <w:jc w:val="right"/>
            </w:pPr>
            <w:r>
              <w:t xml:space="preserve">3 </w:t>
            </w:r>
            <w:r w:rsidR="006635B4" w:rsidRPr="00D44DA3">
              <w:t>464</w:t>
            </w:r>
            <w:r>
              <w:t xml:space="preserve"> </w:t>
            </w:r>
            <w:r w:rsidR="006635B4" w:rsidRPr="00D44DA3">
              <w:t>913</w:t>
            </w:r>
          </w:p>
        </w:tc>
        <w:tc>
          <w:tcPr>
            <w:tcW w:w="1134" w:type="dxa"/>
            <w:shd w:val="clear" w:color="auto" w:fill="auto"/>
            <w:noWrap/>
            <w:hideMark/>
          </w:tcPr>
          <w:p w:rsidR="006635B4" w:rsidRPr="00D44DA3" w:rsidRDefault="00612B0D" w:rsidP="00485A0D">
            <w:pPr>
              <w:pStyle w:val="tabletext"/>
              <w:spacing w:before="40" w:after="40"/>
              <w:jc w:val="right"/>
            </w:pPr>
            <w:r>
              <w:t xml:space="preserve">5 </w:t>
            </w:r>
            <w:r w:rsidR="006635B4" w:rsidRPr="00D44DA3">
              <w:t>467</w:t>
            </w:r>
            <w:r>
              <w:t xml:space="preserve"> </w:t>
            </w:r>
            <w:r w:rsidR="006635B4" w:rsidRPr="00D44DA3">
              <w:t>738</w:t>
            </w:r>
          </w:p>
        </w:tc>
        <w:tc>
          <w:tcPr>
            <w:tcW w:w="1134" w:type="dxa"/>
            <w:shd w:val="clear" w:color="auto" w:fill="auto"/>
            <w:noWrap/>
            <w:hideMark/>
          </w:tcPr>
          <w:p w:rsidR="006635B4" w:rsidRPr="00D44DA3" w:rsidRDefault="007449EC" w:rsidP="00485A0D">
            <w:pPr>
              <w:pStyle w:val="tabletext"/>
              <w:spacing w:before="40" w:after="40"/>
              <w:jc w:val="right"/>
            </w:pPr>
            <w:r>
              <w:t xml:space="preserve">11 </w:t>
            </w:r>
            <w:r w:rsidR="006635B4" w:rsidRPr="00D44DA3">
              <w:t>330</w:t>
            </w:r>
            <w:r>
              <w:t xml:space="preserve"> </w:t>
            </w:r>
            <w:r w:rsidR="006635B4" w:rsidRPr="00D44DA3">
              <w:t>187</w:t>
            </w:r>
          </w:p>
        </w:tc>
        <w:tc>
          <w:tcPr>
            <w:tcW w:w="1134" w:type="dxa"/>
            <w:shd w:val="clear" w:color="auto" w:fill="auto"/>
            <w:noWrap/>
            <w:hideMark/>
          </w:tcPr>
          <w:p w:rsidR="006635B4" w:rsidRPr="00D44DA3" w:rsidRDefault="007449EC" w:rsidP="00485A0D">
            <w:pPr>
              <w:pStyle w:val="tabletext"/>
              <w:spacing w:before="40" w:after="40"/>
              <w:jc w:val="right"/>
            </w:pPr>
            <w:r>
              <w:t xml:space="preserve">12 </w:t>
            </w:r>
            <w:r w:rsidR="006635B4" w:rsidRPr="00D44DA3">
              <w:t>293</w:t>
            </w:r>
            <w:r>
              <w:t xml:space="preserve"> </w:t>
            </w:r>
            <w:r w:rsidR="006635B4" w:rsidRPr="00D44DA3">
              <w:t>111</w:t>
            </w:r>
          </w:p>
        </w:tc>
        <w:tc>
          <w:tcPr>
            <w:tcW w:w="1134" w:type="dxa"/>
          </w:tcPr>
          <w:p w:rsidR="006635B4" w:rsidRPr="00FB3E69" w:rsidRDefault="007449EC" w:rsidP="00485A0D">
            <w:pPr>
              <w:pStyle w:val="tabletext"/>
              <w:spacing w:before="40" w:after="40"/>
              <w:jc w:val="right"/>
            </w:pPr>
            <w:r>
              <w:t xml:space="preserve">11 </w:t>
            </w:r>
            <w:r w:rsidR="006635B4" w:rsidRPr="00FB3E69">
              <w:t>762</w:t>
            </w:r>
            <w:r>
              <w:t xml:space="preserve"> </w:t>
            </w:r>
            <w:r w:rsidR="006635B4" w:rsidRPr="00FB3E69">
              <w:t>369</w:t>
            </w:r>
          </w:p>
        </w:tc>
      </w:tr>
      <w:tr w:rsidR="006635B4" w:rsidRPr="00D44DA3" w:rsidTr="00541DCF">
        <w:trPr>
          <w:trHeight w:val="300"/>
        </w:trPr>
        <w:tc>
          <w:tcPr>
            <w:tcW w:w="1384" w:type="dxa"/>
            <w:vMerge/>
            <w:vAlign w:val="center"/>
            <w:hideMark/>
          </w:tcPr>
          <w:p w:rsidR="006635B4" w:rsidRPr="00D44DA3" w:rsidRDefault="006635B4" w:rsidP="00485A0D">
            <w:pPr>
              <w:pStyle w:val="Tableheader"/>
            </w:pPr>
          </w:p>
        </w:tc>
        <w:tc>
          <w:tcPr>
            <w:tcW w:w="1787" w:type="dxa"/>
            <w:shd w:val="clear" w:color="auto" w:fill="auto"/>
            <w:noWrap/>
            <w:hideMark/>
          </w:tcPr>
          <w:p w:rsidR="006635B4" w:rsidRPr="00D44DA3" w:rsidRDefault="006635B4" w:rsidP="00485A0D">
            <w:pPr>
              <w:pStyle w:val="tabletext"/>
              <w:spacing w:before="40" w:after="40"/>
            </w:pPr>
            <w:r>
              <w:t>Express mail service</w:t>
            </w:r>
            <w:r w:rsidR="00620A4C">
              <w:t>s</w:t>
            </w:r>
          </w:p>
        </w:tc>
        <w:tc>
          <w:tcPr>
            <w:tcW w:w="1190" w:type="dxa"/>
            <w:shd w:val="clear" w:color="auto" w:fill="auto"/>
            <w:noWrap/>
            <w:hideMark/>
          </w:tcPr>
          <w:p w:rsidR="006635B4" w:rsidRPr="00D44DA3" w:rsidRDefault="00612B0D" w:rsidP="00485A0D">
            <w:pPr>
              <w:pStyle w:val="tabletext"/>
              <w:spacing w:before="40" w:after="40"/>
              <w:jc w:val="right"/>
            </w:pPr>
            <w:r>
              <w:t xml:space="preserve">932 </w:t>
            </w:r>
            <w:r w:rsidR="006635B4" w:rsidRPr="00D44DA3">
              <w:t>065</w:t>
            </w:r>
          </w:p>
        </w:tc>
        <w:tc>
          <w:tcPr>
            <w:tcW w:w="1134" w:type="dxa"/>
            <w:shd w:val="clear" w:color="auto" w:fill="auto"/>
            <w:noWrap/>
            <w:hideMark/>
          </w:tcPr>
          <w:p w:rsidR="006635B4" w:rsidRPr="00D44DA3" w:rsidRDefault="00612B0D" w:rsidP="00485A0D">
            <w:pPr>
              <w:pStyle w:val="tabletext"/>
              <w:spacing w:before="40" w:after="40"/>
              <w:jc w:val="right"/>
            </w:pPr>
            <w:r>
              <w:t xml:space="preserve">1 150 </w:t>
            </w:r>
            <w:r w:rsidR="006635B4" w:rsidRPr="00D44DA3">
              <w:t>350</w:t>
            </w:r>
          </w:p>
        </w:tc>
        <w:tc>
          <w:tcPr>
            <w:tcW w:w="1134" w:type="dxa"/>
            <w:shd w:val="clear" w:color="auto" w:fill="auto"/>
            <w:noWrap/>
            <w:hideMark/>
          </w:tcPr>
          <w:p w:rsidR="006635B4" w:rsidRPr="00D44DA3" w:rsidRDefault="007449EC" w:rsidP="00485A0D">
            <w:pPr>
              <w:pStyle w:val="tabletext"/>
              <w:spacing w:before="40" w:after="40"/>
              <w:jc w:val="right"/>
            </w:pPr>
            <w:r>
              <w:t xml:space="preserve">1 344 </w:t>
            </w:r>
            <w:r w:rsidR="006635B4" w:rsidRPr="00D44DA3">
              <w:t>612</w:t>
            </w:r>
          </w:p>
        </w:tc>
        <w:tc>
          <w:tcPr>
            <w:tcW w:w="1134" w:type="dxa"/>
            <w:shd w:val="clear" w:color="auto" w:fill="auto"/>
            <w:noWrap/>
            <w:hideMark/>
          </w:tcPr>
          <w:p w:rsidR="006635B4" w:rsidRPr="00D44DA3" w:rsidRDefault="007449EC" w:rsidP="00485A0D">
            <w:pPr>
              <w:pStyle w:val="tabletext"/>
              <w:spacing w:before="40" w:after="40"/>
              <w:jc w:val="right"/>
            </w:pPr>
            <w:r>
              <w:t xml:space="preserve">1 370 </w:t>
            </w:r>
            <w:r w:rsidR="006635B4" w:rsidRPr="00D44DA3">
              <w:t>510</w:t>
            </w:r>
          </w:p>
        </w:tc>
        <w:tc>
          <w:tcPr>
            <w:tcW w:w="1134" w:type="dxa"/>
          </w:tcPr>
          <w:p w:rsidR="006635B4" w:rsidRPr="00FB3E69" w:rsidRDefault="007449EC" w:rsidP="00485A0D">
            <w:pPr>
              <w:pStyle w:val="tabletext"/>
              <w:spacing w:before="40" w:after="40"/>
              <w:jc w:val="right"/>
            </w:pPr>
            <w:r>
              <w:t xml:space="preserve">1 192 </w:t>
            </w:r>
            <w:r w:rsidR="006635B4" w:rsidRPr="00FB3E69">
              <w:t>638</w:t>
            </w:r>
          </w:p>
        </w:tc>
      </w:tr>
      <w:tr w:rsidR="006635B4" w:rsidRPr="00D44DA3" w:rsidTr="00541DCF">
        <w:trPr>
          <w:trHeight w:val="300"/>
        </w:trPr>
        <w:tc>
          <w:tcPr>
            <w:tcW w:w="1384" w:type="dxa"/>
            <w:vMerge/>
            <w:vAlign w:val="center"/>
            <w:hideMark/>
          </w:tcPr>
          <w:p w:rsidR="006635B4" w:rsidRPr="00D44DA3" w:rsidRDefault="006635B4" w:rsidP="00485A0D">
            <w:pPr>
              <w:pStyle w:val="Tableheader"/>
            </w:pPr>
          </w:p>
        </w:tc>
        <w:tc>
          <w:tcPr>
            <w:tcW w:w="1787" w:type="dxa"/>
            <w:shd w:val="clear" w:color="auto" w:fill="auto"/>
            <w:noWrap/>
            <w:hideMark/>
          </w:tcPr>
          <w:p w:rsidR="006635B4" w:rsidRPr="00D44DA3" w:rsidRDefault="006635B4" w:rsidP="00485A0D">
            <w:pPr>
              <w:pStyle w:val="tabletext"/>
              <w:spacing w:before="40" w:after="40"/>
            </w:pPr>
            <w:r w:rsidRPr="00D44DA3">
              <w:t>Parcels</w:t>
            </w:r>
          </w:p>
        </w:tc>
        <w:tc>
          <w:tcPr>
            <w:tcW w:w="1190" w:type="dxa"/>
            <w:shd w:val="clear" w:color="auto" w:fill="auto"/>
            <w:noWrap/>
            <w:hideMark/>
          </w:tcPr>
          <w:p w:rsidR="006635B4" w:rsidRPr="00D44DA3" w:rsidRDefault="00612B0D" w:rsidP="00485A0D">
            <w:pPr>
              <w:pStyle w:val="tabletext"/>
              <w:spacing w:before="40" w:after="40"/>
              <w:jc w:val="right"/>
            </w:pPr>
            <w:r>
              <w:t xml:space="preserve">692 </w:t>
            </w:r>
            <w:r w:rsidR="006635B4" w:rsidRPr="00D44DA3">
              <w:t>587</w:t>
            </w:r>
          </w:p>
        </w:tc>
        <w:tc>
          <w:tcPr>
            <w:tcW w:w="1134" w:type="dxa"/>
            <w:shd w:val="clear" w:color="auto" w:fill="auto"/>
            <w:noWrap/>
            <w:hideMark/>
          </w:tcPr>
          <w:p w:rsidR="006635B4" w:rsidRPr="00D44DA3" w:rsidRDefault="006635B4" w:rsidP="00485A0D">
            <w:pPr>
              <w:pStyle w:val="tabletext"/>
              <w:spacing w:before="40" w:after="40"/>
              <w:jc w:val="right"/>
            </w:pPr>
            <w:r w:rsidRPr="00D44DA3">
              <w:t>781</w:t>
            </w:r>
            <w:r w:rsidR="00612B0D">
              <w:t xml:space="preserve"> </w:t>
            </w:r>
            <w:r w:rsidRPr="00D44DA3">
              <w:t>055</w:t>
            </w:r>
          </w:p>
        </w:tc>
        <w:tc>
          <w:tcPr>
            <w:tcW w:w="1134" w:type="dxa"/>
            <w:shd w:val="clear" w:color="auto" w:fill="auto"/>
            <w:noWrap/>
            <w:hideMark/>
          </w:tcPr>
          <w:p w:rsidR="006635B4" w:rsidRPr="00D44DA3" w:rsidRDefault="007449EC" w:rsidP="00485A0D">
            <w:pPr>
              <w:pStyle w:val="tabletext"/>
              <w:spacing w:before="40" w:after="40"/>
              <w:jc w:val="right"/>
            </w:pPr>
            <w:r>
              <w:t xml:space="preserve">1 </w:t>
            </w:r>
            <w:r w:rsidR="006635B4" w:rsidRPr="00D44DA3">
              <w:t>001</w:t>
            </w:r>
            <w:r>
              <w:t xml:space="preserve"> </w:t>
            </w:r>
            <w:r w:rsidR="006635B4" w:rsidRPr="00D44DA3">
              <w:t>480</w:t>
            </w:r>
          </w:p>
        </w:tc>
        <w:tc>
          <w:tcPr>
            <w:tcW w:w="1134" w:type="dxa"/>
            <w:shd w:val="clear" w:color="auto" w:fill="auto"/>
            <w:noWrap/>
            <w:hideMark/>
          </w:tcPr>
          <w:p w:rsidR="006635B4" w:rsidRPr="00D44DA3" w:rsidRDefault="007449EC" w:rsidP="00485A0D">
            <w:pPr>
              <w:pStyle w:val="tabletext"/>
              <w:spacing w:before="40" w:after="40"/>
              <w:jc w:val="right"/>
            </w:pPr>
            <w:r>
              <w:t xml:space="preserve">1 </w:t>
            </w:r>
            <w:r w:rsidR="006635B4" w:rsidRPr="00D44DA3">
              <w:t>094</w:t>
            </w:r>
            <w:r>
              <w:t xml:space="preserve"> </w:t>
            </w:r>
            <w:r w:rsidR="006635B4" w:rsidRPr="00D44DA3">
              <w:t>853</w:t>
            </w:r>
          </w:p>
        </w:tc>
        <w:tc>
          <w:tcPr>
            <w:tcW w:w="1134" w:type="dxa"/>
          </w:tcPr>
          <w:p w:rsidR="006635B4" w:rsidRPr="00FB3E69" w:rsidRDefault="006635B4" w:rsidP="00485A0D">
            <w:pPr>
              <w:pStyle w:val="tabletext"/>
              <w:spacing w:before="40" w:after="40"/>
              <w:jc w:val="right"/>
            </w:pPr>
            <w:r w:rsidRPr="00FB3E69">
              <w:t>963</w:t>
            </w:r>
            <w:r w:rsidR="007449EC">
              <w:t xml:space="preserve"> </w:t>
            </w:r>
            <w:r w:rsidRPr="00FB3E69">
              <w:t>922</w:t>
            </w:r>
          </w:p>
        </w:tc>
      </w:tr>
      <w:tr w:rsidR="006635B4" w:rsidRPr="00D44DA3" w:rsidTr="00541DCF">
        <w:trPr>
          <w:trHeight w:val="300"/>
        </w:trPr>
        <w:tc>
          <w:tcPr>
            <w:tcW w:w="1384" w:type="dxa"/>
            <w:vMerge/>
            <w:tcBorders>
              <w:bottom w:val="single" w:sz="4" w:space="0" w:color="auto"/>
            </w:tcBorders>
            <w:vAlign w:val="center"/>
            <w:hideMark/>
          </w:tcPr>
          <w:p w:rsidR="006635B4" w:rsidRPr="00D44DA3" w:rsidRDefault="006635B4" w:rsidP="00485A0D">
            <w:pPr>
              <w:pStyle w:val="Tableheader"/>
            </w:pPr>
          </w:p>
        </w:tc>
        <w:tc>
          <w:tcPr>
            <w:tcW w:w="1787" w:type="dxa"/>
            <w:tcBorders>
              <w:bottom w:val="single" w:sz="4" w:space="0" w:color="auto"/>
            </w:tcBorders>
            <w:shd w:val="clear" w:color="auto" w:fill="auto"/>
            <w:noWrap/>
            <w:hideMark/>
          </w:tcPr>
          <w:p w:rsidR="006635B4" w:rsidRPr="00D44DA3" w:rsidRDefault="00210106" w:rsidP="00485A0D">
            <w:pPr>
              <w:pStyle w:val="tabletext"/>
              <w:spacing w:before="40" w:after="40"/>
            </w:pPr>
            <w:r w:rsidRPr="00D44DA3">
              <w:t>Registered</w:t>
            </w:r>
            <w:r>
              <w:t xml:space="preserve">  </w:t>
            </w:r>
            <w:r w:rsidRPr="00210106">
              <w:rPr>
                <w:b/>
              </w:rPr>
              <w:t>a</w:t>
            </w:r>
          </w:p>
        </w:tc>
        <w:tc>
          <w:tcPr>
            <w:tcW w:w="1190"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 xml:space="preserve">915 </w:t>
            </w:r>
            <w:r w:rsidR="006635B4" w:rsidRPr="00D44DA3">
              <w:t>523</w:t>
            </w:r>
          </w:p>
        </w:tc>
        <w:tc>
          <w:tcPr>
            <w:tcW w:w="1134"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 xml:space="preserve">1 210 </w:t>
            </w:r>
            <w:r w:rsidR="006635B4" w:rsidRPr="00D44DA3">
              <w:t>452</w:t>
            </w:r>
          </w:p>
        </w:tc>
        <w:tc>
          <w:tcPr>
            <w:tcW w:w="1134" w:type="dxa"/>
            <w:tcBorders>
              <w:bottom w:val="single" w:sz="4" w:space="0" w:color="auto"/>
            </w:tcBorders>
            <w:shd w:val="clear" w:color="auto" w:fill="auto"/>
            <w:noWrap/>
            <w:hideMark/>
          </w:tcPr>
          <w:p w:rsidR="006635B4" w:rsidRPr="00D44DA3" w:rsidRDefault="007449EC" w:rsidP="00485A0D">
            <w:pPr>
              <w:pStyle w:val="tabletext"/>
              <w:spacing w:before="40" w:after="40"/>
              <w:jc w:val="right"/>
            </w:pPr>
            <w:r>
              <w:t>na</w:t>
            </w:r>
          </w:p>
        </w:tc>
        <w:tc>
          <w:tcPr>
            <w:tcW w:w="1134" w:type="dxa"/>
            <w:tcBorders>
              <w:bottom w:val="single" w:sz="4" w:space="0" w:color="auto"/>
            </w:tcBorders>
            <w:shd w:val="clear" w:color="auto" w:fill="auto"/>
            <w:noWrap/>
            <w:hideMark/>
          </w:tcPr>
          <w:p w:rsidR="006635B4" w:rsidRPr="00D44DA3" w:rsidRDefault="007449EC" w:rsidP="00485A0D">
            <w:pPr>
              <w:pStyle w:val="tabletext"/>
              <w:spacing w:before="40" w:after="40"/>
              <w:jc w:val="right"/>
            </w:pPr>
            <w:r>
              <w:t>na</w:t>
            </w:r>
          </w:p>
        </w:tc>
        <w:tc>
          <w:tcPr>
            <w:tcW w:w="1134" w:type="dxa"/>
            <w:tcBorders>
              <w:bottom w:val="single" w:sz="4" w:space="0" w:color="auto"/>
            </w:tcBorders>
          </w:tcPr>
          <w:p w:rsidR="006635B4" w:rsidRPr="00FB3E69" w:rsidRDefault="007449EC" w:rsidP="00485A0D">
            <w:pPr>
              <w:pStyle w:val="tabletext"/>
              <w:spacing w:before="40" w:after="40"/>
              <w:jc w:val="right"/>
            </w:pPr>
            <w:r>
              <w:t>na</w:t>
            </w:r>
          </w:p>
        </w:tc>
      </w:tr>
      <w:tr w:rsidR="006635B4" w:rsidRPr="00D44DA3" w:rsidTr="00541DCF">
        <w:trPr>
          <w:trHeight w:val="300"/>
        </w:trPr>
        <w:tc>
          <w:tcPr>
            <w:tcW w:w="1384" w:type="dxa"/>
            <w:vMerge w:val="restart"/>
            <w:tcBorders>
              <w:top w:val="single" w:sz="4" w:space="0" w:color="auto"/>
            </w:tcBorders>
            <w:shd w:val="clear" w:color="auto" w:fill="auto"/>
            <w:noWrap/>
            <w:vAlign w:val="center"/>
            <w:hideMark/>
          </w:tcPr>
          <w:p w:rsidR="006635B4" w:rsidRPr="00D44DA3" w:rsidRDefault="006635B4" w:rsidP="00485A0D">
            <w:pPr>
              <w:pStyle w:val="Tableheader"/>
            </w:pPr>
            <w:r w:rsidRPr="00D44DA3">
              <w:t>Perth Gateway Facility</w:t>
            </w:r>
          </w:p>
        </w:tc>
        <w:tc>
          <w:tcPr>
            <w:tcW w:w="1787" w:type="dxa"/>
            <w:tcBorders>
              <w:top w:val="single" w:sz="4" w:space="0" w:color="auto"/>
            </w:tcBorders>
            <w:shd w:val="clear" w:color="auto" w:fill="auto"/>
            <w:noWrap/>
            <w:hideMark/>
          </w:tcPr>
          <w:p w:rsidR="006635B4" w:rsidRPr="00D44DA3" w:rsidRDefault="006635B4" w:rsidP="00485A0D">
            <w:pPr>
              <w:pStyle w:val="tabletext"/>
              <w:spacing w:before="40" w:after="40"/>
            </w:pPr>
            <w:r w:rsidRPr="00D44DA3">
              <w:t>Letter</w:t>
            </w:r>
            <w:r>
              <w:t>s</w:t>
            </w:r>
          </w:p>
        </w:tc>
        <w:tc>
          <w:tcPr>
            <w:tcW w:w="1190" w:type="dxa"/>
            <w:tcBorders>
              <w:top w:val="single" w:sz="4" w:space="0" w:color="auto"/>
            </w:tcBorders>
            <w:shd w:val="clear" w:color="auto" w:fill="auto"/>
            <w:noWrap/>
            <w:hideMark/>
          </w:tcPr>
          <w:p w:rsidR="006635B4" w:rsidRPr="00D44DA3" w:rsidRDefault="00612B0D" w:rsidP="00485A0D">
            <w:pPr>
              <w:pStyle w:val="tabletext"/>
              <w:spacing w:before="40" w:after="40"/>
              <w:jc w:val="right"/>
            </w:pPr>
            <w:r>
              <w:t xml:space="preserve">7 268 </w:t>
            </w:r>
            <w:r w:rsidR="006635B4" w:rsidRPr="00D44DA3">
              <w:t>720</w:t>
            </w:r>
          </w:p>
        </w:tc>
        <w:tc>
          <w:tcPr>
            <w:tcW w:w="1134" w:type="dxa"/>
            <w:tcBorders>
              <w:top w:val="single" w:sz="4" w:space="0" w:color="auto"/>
            </w:tcBorders>
            <w:shd w:val="clear" w:color="auto" w:fill="auto"/>
            <w:noWrap/>
            <w:hideMark/>
          </w:tcPr>
          <w:p w:rsidR="006635B4" w:rsidRPr="00D44DA3" w:rsidRDefault="00612B0D" w:rsidP="00485A0D">
            <w:pPr>
              <w:pStyle w:val="tabletext"/>
              <w:spacing w:before="40" w:after="40"/>
              <w:jc w:val="right"/>
            </w:pPr>
            <w:r>
              <w:t xml:space="preserve">7 </w:t>
            </w:r>
            <w:r w:rsidR="006635B4" w:rsidRPr="00D44DA3">
              <w:t>648</w:t>
            </w:r>
            <w:r>
              <w:t xml:space="preserve"> </w:t>
            </w:r>
            <w:r w:rsidR="006635B4" w:rsidRPr="00D44DA3">
              <w:t>150</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7 957 </w:t>
            </w:r>
            <w:r w:rsidR="006635B4" w:rsidRPr="00D44DA3">
              <w:t>200</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7 </w:t>
            </w:r>
            <w:r w:rsidR="006635B4" w:rsidRPr="00D44DA3">
              <w:t>933</w:t>
            </w:r>
            <w:r>
              <w:t xml:space="preserve"> </w:t>
            </w:r>
            <w:r w:rsidR="006635B4" w:rsidRPr="00D44DA3">
              <w:t>759</w:t>
            </w:r>
          </w:p>
        </w:tc>
        <w:tc>
          <w:tcPr>
            <w:tcW w:w="1134" w:type="dxa"/>
            <w:tcBorders>
              <w:top w:val="single" w:sz="4" w:space="0" w:color="auto"/>
            </w:tcBorders>
          </w:tcPr>
          <w:p w:rsidR="006635B4" w:rsidRPr="00FB3E69" w:rsidRDefault="007449EC" w:rsidP="00485A0D">
            <w:pPr>
              <w:pStyle w:val="tabletext"/>
              <w:spacing w:before="40" w:after="40"/>
              <w:jc w:val="right"/>
            </w:pPr>
            <w:r>
              <w:t xml:space="preserve">8 204 </w:t>
            </w:r>
            <w:r w:rsidR="006635B4" w:rsidRPr="00FB3E69">
              <w:t>640</w:t>
            </w:r>
          </w:p>
        </w:tc>
      </w:tr>
      <w:tr w:rsidR="006635B4" w:rsidRPr="00D44DA3" w:rsidTr="00541DCF">
        <w:trPr>
          <w:trHeight w:val="300"/>
        </w:trPr>
        <w:tc>
          <w:tcPr>
            <w:tcW w:w="1384" w:type="dxa"/>
            <w:vMerge/>
            <w:vAlign w:val="center"/>
            <w:hideMark/>
          </w:tcPr>
          <w:p w:rsidR="006635B4" w:rsidRPr="00D44DA3" w:rsidRDefault="006635B4" w:rsidP="00485A0D">
            <w:pPr>
              <w:pStyle w:val="Tableheader"/>
            </w:pPr>
          </w:p>
        </w:tc>
        <w:tc>
          <w:tcPr>
            <w:tcW w:w="1787" w:type="dxa"/>
            <w:shd w:val="clear" w:color="auto" w:fill="auto"/>
            <w:noWrap/>
            <w:hideMark/>
          </w:tcPr>
          <w:p w:rsidR="006635B4" w:rsidRPr="00D44DA3" w:rsidRDefault="006635B4" w:rsidP="00485A0D">
            <w:pPr>
              <w:pStyle w:val="tabletext"/>
              <w:spacing w:before="40" w:after="40"/>
            </w:pPr>
            <w:r>
              <w:t>Other a</w:t>
            </w:r>
            <w:r w:rsidRPr="00D44DA3">
              <w:t>rticles</w:t>
            </w:r>
          </w:p>
        </w:tc>
        <w:tc>
          <w:tcPr>
            <w:tcW w:w="1190" w:type="dxa"/>
            <w:shd w:val="clear" w:color="auto" w:fill="auto"/>
            <w:noWrap/>
            <w:hideMark/>
          </w:tcPr>
          <w:p w:rsidR="006635B4" w:rsidRPr="00D44DA3" w:rsidRDefault="00612B0D" w:rsidP="00485A0D">
            <w:pPr>
              <w:pStyle w:val="tabletext"/>
              <w:spacing w:before="40" w:after="40"/>
              <w:jc w:val="right"/>
            </w:pPr>
            <w:r>
              <w:t xml:space="preserve">1 </w:t>
            </w:r>
            <w:r w:rsidR="006635B4" w:rsidRPr="00D44DA3">
              <w:t>077</w:t>
            </w:r>
            <w:r>
              <w:t xml:space="preserve"> </w:t>
            </w:r>
            <w:r w:rsidR="006635B4" w:rsidRPr="00D44DA3">
              <w:t>152</w:t>
            </w:r>
          </w:p>
        </w:tc>
        <w:tc>
          <w:tcPr>
            <w:tcW w:w="1134" w:type="dxa"/>
            <w:shd w:val="clear" w:color="auto" w:fill="auto"/>
            <w:noWrap/>
            <w:hideMark/>
          </w:tcPr>
          <w:p w:rsidR="006635B4" w:rsidRPr="00D44DA3" w:rsidRDefault="00612B0D" w:rsidP="00485A0D">
            <w:pPr>
              <w:pStyle w:val="tabletext"/>
              <w:spacing w:before="40" w:after="40"/>
              <w:jc w:val="right"/>
            </w:pPr>
            <w:r>
              <w:t xml:space="preserve">1 392 </w:t>
            </w:r>
            <w:r w:rsidR="006635B4" w:rsidRPr="00D44DA3">
              <w:t>569</w:t>
            </w:r>
          </w:p>
        </w:tc>
        <w:tc>
          <w:tcPr>
            <w:tcW w:w="1134" w:type="dxa"/>
            <w:shd w:val="clear" w:color="auto" w:fill="auto"/>
            <w:noWrap/>
            <w:hideMark/>
          </w:tcPr>
          <w:p w:rsidR="006635B4" w:rsidRPr="00D44DA3" w:rsidRDefault="007449EC" w:rsidP="00485A0D">
            <w:pPr>
              <w:pStyle w:val="tabletext"/>
              <w:spacing w:before="40" w:after="40"/>
              <w:jc w:val="right"/>
            </w:pPr>
            <w:r>
              <w:t xml:space="preserve">2 </w:t>
            </w:r>
            <w:r w:rsidR="006635B4" w:rsidRPr="00D44DA3">
              <w:t>029</w:t>
            </w:r>
            <w:r>
              <w:t xml:space="preserve"> </w:t>
            </w:r>
            <w:r w:rsidR="006635B4" w:rsidRPr="00D44DA3">
              <w:t>152</w:t>
            </w:r>
          </w:p>
        </w:tc>
        <w:tc>
          <w:tcPr>
            <w:tcW w:w="1134" w:type="dxa"/>
            <w:shd w:val="clear" w:color="auto" w:fill="auto"/>
            <w:noWrap/>
            <w:hideMark/>
          </w:tcPr>
          <w:p w:rsidR="006635B4" w:rsidRPr="00D44DA3" w:rsidRDefault="007449EC" w:rsidP="00485A0D">
            <w:pPr>
              <w:pStyle w:val="tabletext"/>
              <w:spacing w:before="40" w:after="40"/>
              <w:jc w:val="right"/>
            </w:pPr>
            <w:r>
              <w:t xml:space="preserve">2 </w:t>
            </w:r>
            <w:r w:rsidR="006635B4" w:rsidRPr="00D44DA3">
              <w:t>724</w:t>
            </w:r>
            <w:r>
              <w:t xml:space="preserve"> </w:t>
            </w:r>
            <w:r w:rsidR="006635B4" w:rsidRPr="00D44DA3">
              <w:t>745</w:t>
            </w:r>
          </w:p>
        </w:tc>
        <w:tc>
          <w:tcPr>
            <w:tcW w:w="1134" w:type="dxa"/>
          </w:tcPr>
          <w:p w:rsidR="006635B4" w:rsidRPr="00FB3E69" w:rsidRDefault="007449EC" w:rsidP="00485A0D">
            <w:pPr>
              <w:pStyle w:val="tabletext"/>
              <w:spacing w:before="40" w:after="40"/>
              <w:jc w:val="right"/>
            </w:pPr>
            <w:r>
              <w:t xml:space="preserve">3 </w:t>
            </w:r>
            <w:r w:rsidR="006635B4" w:rsidRPr="00FB3E69">
              <w:t>518</w:t>
            </w:r>
            <w:r>
              <w:t xml:space="preserve"> </w:t>
            </w:r>
            <w:r w:rsidR="006635B4" w:rsidRPr="00FB3E69">
              <w:t>758</w:t>
            </w:r>
          </w:p>
        </w:tc>
      </w:tr>
      <w:tr w:rsidR="006635B4" w:rsidRPr="00D44DA3" w:rsidTr="00541DCF">
        <w:trPr>
          <w:trHeight w:val="300"/>
        </w:trPr>
        <w:tc>
          <w:tcPr>
            <w:tcW w:w="1384" w:type="dxa"/>
            <w:vMerge/>
            <w:vAlign w:val="center"/>
            <w:hideMark/>
          </w:tcPr>
          <w:p w:rsidR="006635B4" w:rsidRPr="00D44DA3" w:rsidRDefault="006635B4" w:rsidP="00485A0D">
            <w:pPr>
              <w:pStyle w:val="Tableheader"/>
            </w:pPr>
          </w:p>
        </w:tc>
        <w:tc>
          <w:tcPr>
            <w:tcW w:w="1787" w:type="dxa"/>
            <w:shd w:val="clear" w:color="auto" w:fill="auto"/>
            <w:noWrap/>
            <w:hideMark/>
          </w:tcPr>
          <w:p w:rsidR="006635B4" w:rsidRPr="00D44DA3" w:rsidRDefault="006635B4" w:rsidP="00485A0D">
            <w:pPr>
              <w:pStyle w:val="tabletext"/>
              <w:spacing w:before="40" w:after="40"/>
            </w:pPr>
            <w:r>
              <w:t>Express mail service</w:t>
            </w:r>
            <w:r w:rsidR="00620A4C">
              <w:t>s</w:t>
            </w:r>
          </w:p>
        </w:tc>
        <w:tc>
          <w:tcPr>
            <w:tcW w:w="1190" w:type="dxa"/>
            <w:shd w:val="clear" w:color="auto" w:fill="auto"/>
            <w:noWrap/>
            <w:hideMark/>
          </w:tcPr>
          <w:p w:rsidR="006635B4" w:rsidRPr="00D44DA3" w:rsidRDefault="00612B0D" w:rsidP="00485A0D">
            <w:pPr>
              <w:pStyle w:val="tabletext"/>
              <w:spacing w:before="40" w:after="40"/>
              <w:jc w:val="right"/>
            </w:pPr>
            <w:r>
              <w:t xml:space="preserve">58 </w:t>
            </w:r>
            <w:r w:rsidR="006635B4" w:rsidRPr="00D44DA3">
              <w:t>518</w:t>
            </w:r>
          </w:p>
        </w:tc>
        <w:tc>
          <w:tcPr>
            <w:tcW w:w="1134" w:type="dxa"/>
            <w:shd w:val="clear" w:color="auto" w:fill="auto"/>
            <w:noWrap/>
            <w:hideMark/>
          </w:tcPr>
          <w:p w:rsidR="006635B4" w:rsidRPr="00D44DA3" w:rsidRDefault="006635B4" w:rsidP="00485A0D">
            <w:pPr>
              <w:pStyle w:val="tabletext"/>
              <w:spacing w:before="40" w:after="40"/>
              <w:jc w:val="right"/>
            </w:pPr>
            <w:r w:rsidRPr="00D44DA3">
              <w:t>72</w:t>
            </w:r>
            <w:r w:rsidR="00612B0D">
              <w:t xml:space="preserve"> </w:t>
            </w:r>
            <w:r w:rsidRPr="00D44DA3">
              <w:t>321</w:t>
            </w:r>
          </w:p>
        </w:tc>
        <w:tc>
          <w:tcPr>
            <w:tcW w:w="1134" w:type="dxa"/>
            <w:shd w:val="clear" w:color="auto" w:fill="auto"/>
            <w:noWrap/>
            <w:hideMark/>
          </w:tcPr>
          <w:p w:rsidR="006635B4" w:rsidRPr="00D44DA3" w:rsidRDefault="007449EC" w:rsidP="00485A0D">
            <w:pPr>
              <w:pStyle w:val="tabletext"/>
              <w:spacing w:before="40" w:after="40"/>
              <w:jc w:val="right"/>
            </w:pPr>
            <w:r>
              <w:t xml:space="preserve">103 </w:t>
            </w:r>
            <w:r w:rsidR="006635B4" w:rsidRPr="00D44DA3">
              <w:t>715</w:t>
            </w:r>
          </w:p>
        </w:tc>
        <w:tc>
          <w:tcPr>
            <w:tcW w:w="1134" w:type="dxa"/>
            <w:shd w:val="clear" w:color="auto" w:fill="auto"/>
            <w:noWrap/>
            <w:hideMark/>
          </w:tcPr>
          <w:p w:rsidR="006635B4" w:rsidRPr="00D44DA3" w:rsidRDefault="007449EC" w:rsidP="00485A0D">
            <w:pPr>
              <w:pStyle w:val="tabletext"/>
              <w:spacing w:before="40" w:after="40"/>
              <w:jc w:val="right"/>
            </w:pPr>
            <w:r>
              <w:t xml:space="preserve">124 </w:t>
            </w:r>
            <w:r w:rsidR="006635B4" w:rsidRPr="00D44DA3">
              <w:t>263</w:t>
            </w:r>
          </w:p>
        </w:tc>
        <w:tc>
          <w:tcPr>
            <w:tcW w:w="1134" w:type="dxa"/>
          </w:tcPr>
          <w:p w:rsidR="006635B4" w:rsidRPr="00FB3E69" w:rsidRDefault="007449EC" w:rsidP="00485A0D">
            <w:pPr>
              <w:pStyle w:val="tabletext"/>
              <w:spacing w:before="40" w:after="40"/>
              <w:jc w:val="right"/>
            </w:pPr>
            <w:r>
              <w:t xml:space="preserve">142 </w:t>
            </w:r>
            <w:r w:rsidR="006635B4" w:rsidRPr="00FB3E69">
              <w:t>346</w:t>
            </w:r>
          </w:p>
        </w:tc>
      </w:tr>
      <w:tr w:rsidR="006635B4" w:rsidRPr="00D44DA3" w:rsidTr="00541DCF">
        <w:trPr>
          <w:trHeight w:val="300"/>
        </w:trPr>
        <w:tc>
          <w:tcPr>
            <w:tcW w:w="1384" w:type="dxa"/>
            <w:vMerge/>
            <w:vAlign w:val="center"/>
            <w:hideMark/>
          </w:tcPr>
          <w:p w:rsidR="006635B4" w:rsidRPr="00D44DA3" w:rsidRDefault="006635B4" w:rsidP="00485A0D">
            <w:pPr>
              <w:pStyle w:val="Tableheader"/>
            </w:pPr>
          </w:p>
        </w:tc>
        <w:tc>
          <w:tcPr>
            <w:tcW w:w="1787" w:type="dxa"/>
            <w:shd w:val="clear" w:color="auto" w:fill="auto"/>
            <w:noWrap/>
            <w:hideMark/>
          </w:tcPr>
          <w:p w:rsidR="006635B4" w:rsidRPr="00D44DA3" w:rsidRDefault="006635B4" w:rsidP="00485A0D">
            <w:pPr>
              <w:pStyle w:val="tabletext"/>
              <w:spacing w:before="40" w:after="40"/>
            </w:pPr>
            <w:r w:rsidRPr="00D44DA3">
              <w:t>Parcels</w:t>
            </w:r>
          </w:p>
        </w:tc>
        <w:tc>
          <w:tcPr>
            <w:tcW w:w="1190" w:type="dxa"/>
            <w:shd w:val="clear" w:color="auto" w:fill="auto"/>
            <w:noWrap/>
            <w:hideMark/>
          </w:tcPr>
          <w:p w:rsidR="006635B4" w:rsidRPr="00D44DA3" w:rsidRDefault="00612B0D" w:rsidP="00485A0D">
            <w:pPr>
              <w:pStyle w:val="tabletext"/>
              <w:spacing w:before="40" w:after="40"/>
              <w:jc w:val="right"/>
            </w:pPr>
            <w:r>
              <w:t xml:space="preserve">65 </w:t>
            </w:r>
            <w:r w:rsidR="006635B4" w:rsidRPr="00D44DA3">
              <w:t>954</w:t>
            </w:r>
          </w:p>
        </w:tc>
        <w:tc>
          <w:tcPr>
            <w:tcW w:w="1134" w:type="dxa"/>
            <w:shd w:val="clear" w:color="auto" w:fill="auto"/>
            <w:noWrap/>
            <w:hideMark/>
          </w:tcPr>
          <w:p w:rsidR="006635B4" w:rsidRPr="00D44DA3" w:rsidRDefault="00612B0D" w:rsidP="00485A0D">
            <w:pPr>
              <w:pStyle w:val="tabletext"/>
              <w:spacing w:before="40" w:after="40"/>
              <w:jc w:val="right"/>
            </w:pPr>
            <w:r>
              <w:t xml:space="preserve">82 </w:t>
            </w:r>
            <w:r w:rsidR="006635B4" w:rsidRPr="00D44DA3">
              <w:t>456</w:t>
            </w:r>
          </w:p>
        </w:tc>
        <w:tc>
          <w:tcPr>
            <w:tcW w:w="1134" w:type="dxa"/>
            <w:shd w:val="clear" w:color="auto" w:fill="auto"/>
            <w:noWrap/>
            <w:hideMark/>
          </w:tcPr>
          <w:p w:rsidR="006635B4" w:rsidRPr="00D44DA3" w:rsidRDefault="007449EC" w:rsidP="00485A0D">
            <w:pPr>
              <w:pStyle w:val="tabletext"/>
              <w:spacing w:before="40" w:after="40"/>
              <w:jc w:val="right"/>
            </w:pPr>
            <w:r>
              <w:t xml:space="preserve">77 </w:t>
            </w:r>
            <w:r w:rsidR="006635B4" w:rsidRPr="00D44DA3">
              <w:t>448</w:t>
            </w:r>
          </w:p>
        </w:tc>
        <w:tc>
          <w:tcPr>
            <w:tcW w:w="1134" w:type="dxa"/>
            <w:shd w:val="clear" w:color="auto" w:fill="auto"/>
            <w:noWrap/>
            <w:hideMark/>
          </w:tcPr>
          <w:p w:rsidR="006635B4" w:rsidRPr="00D44DA3" w:rsidRDefault="007449EC" w:rsidP="00485A0D">
            <w:pPr>
              <w:pStyle w:val="tabletext"/>
              <w:spacing w:before="40" w:after="40"/>
              <w:jc w:val="right"/>
            </w:pPr>
            <w:r>
              <w:t xml:space="preserve">80 </w:t>
            </w:r>
            <w:r w:rsidR="006635B4" w:rsidRPr="00D44DA3">
              <w:t>433</w:t>
            </w:r>
          </w:p>
        </w:tc>
        <w:tc>
          <w:tcPr>
            <w:tcW w:w="1134" w:type="dxa"/>
          </w:tcPr>
          <w:p w:rsidR="006635B4" w:rsidRPr="00FB3E69" w:rsidRDefault="007449EC" w:rsidP="00485A0D">
            <w:pPr>
              <w:pStyle w:val="tabletext"/>
              <w:spacing w:before="40" w:after="40"/>
              <w:jc w:val="right"/>
            </w:pPr>
            <w:r>
              <w:t xml:space="preserve">114 </w:t>
            </w:r>
            <w:r w:rsidR="006635B4" w:rsidRPr="00FB3E69">
              <w:t>814</w:t>
            </w:r>
          </w:p>
        </w:tc>
      </w:tr>
      <w:tr w:rsidR="006635B4" w:rsidRPr="00D44DA3" w:rsidTr="00541DCF">
        <w:trPr>
          <w:trHeight w:val="300"/>
        </w:trPr>
        <w:tc>
          <w:tcPr>
            <w:tcW w:w="1384" w:type="dxa"/>
            <w:vMerge/>
            <w:tcBorders>
              <w:bottom w:val="single" w:sz="4" w:space="0" w:color="auto"/>
            </w:tcBorders>
            <w:vAlign w:val="center"/>
            <w:hideMark/>
          </w:tcPr>
          <w:p w:rsidR="006635B4" w:rsidRPr="00D44DA3" w:rsidRDefault="006635B4" w:rsidP="00485A0D">
            <w:pPr>
              <w:pStyle w:val="Tableheader"/>
            </w:pPr>
          </w:p>
        </w:tc>
        <w:tc>
          <w:tcPr>
            <w:tcW w:w="1787" w:type="dxa"/>
            <w:tcBorders>
              <w:bottom w:val="single" w:sz="4" w:space="0" w:color="auto"/>
            </w:tcBorders>
            <w:shd w:val="clear" w:color="auto" w:fill="auto"/>
            <w:noWrap/>
            <w:hideMark/>
          </w:tcPr>
          <w:p w:rsidR="006635B4" w:rsidRPr="00D44DA3" w:rsidRDefault="00210106" w:rsidP="00485A0D">
            <w:pPr>
              <w:pStyle w:val="tabletext"/>
              <w:spacing w:before="40" w:after="40"/>
            </w:pPr>
            <w:r w:rsidRPr="00D44DA3">
              <w:t>Registered</w:t>
            </w:r>
            <w:r>
              <w:t xml:space="preserve">  </w:t>
            </w:r>
            <w:r w:rsidRPr="00210106">
              <w:rPr>
                <w:b/>
              </w:rPr>
              <w:t>a</w:t>
            </w:r>
          </w:p>
        </w:tc>
        <w:tc>
          <w:tcPr>
            <w:tcW w:w="1190"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 xml:space="preserve">222 </w:t>
            </w:r>
            <w:r w:rsidR="006635B4" w:rsidRPr="00D44DA3">
              <w:t>827</w:t>
            </w:r>
          </w:p>
        </w:tc>
        <w:tc>
          <w:tcPr>
            <w:tcW w:w="1134"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 xml:space="preserve">300 </w:t>
            </w:r>
            <w:r w:rsidR="006635B4" w:rsidRPr="00D44DA3">
              <w:t>427</w:t>
            </w:r>
          </w:p>
        </w:tc>
        <w:tc>
          <w:tcPr>
            <w:tcW w:w="1134" w:type="dxa"/>
            <w:tcBorders>
              <w:bottom w:val="single" w:sz="4" w:space="0" w:color="auto"/>
            </w:tcBorders>
            <w:shd w:val="clear" w:color="auto" w:fill="auto"/>
            <w:noWrap/>
            <w:hideMark/>
          </w:tcPr>
          <w:p w:rsidR="006635B4" w:rsidRPr="00D44DA3" w:rsidRDefault="007449EC" w:rsidP="00485A0D">
            <w:pPr>
              <w:pStyle w:val="tabletext"/>
              <w:spacing w:before="40" w:after="40"/>
              <w:jc w:val="right"/>
            </w:pPr>
            <w:r>
              <w:t xml:space="preserve">381 </w:t>
            </w:r>
            <w:r w:rsidR="006635B4" w:rsidRPr="00D44DA3">
              <w:t>323</w:t>
            </w:r>
          </w:p>
        </w:tc>
        <w:tc>
          <w:tcPr>
            <w:tcW w:w="1134" w:type="dxa"/>
            <w:tcBorders>
              <w:bottom w:val="single" w:sz="4" w:space="0" w:color="auto"/>
            </w:tcBorders>
            <w:shd w:val="clear" w:color="auto" w:fill="auto"/>
            <w:noWrap/>
            <w:hideMark/>
          </w:tcPr>
          <w:p w:rsidR="006635B4" w:rsidRPr="00D44DA3" w:rsidRDefault="007449EC" w:rsidP="00485A0D">
            <w:pPr>
              <w:pStyle w:val="tabletext"/>
              <w:spacing w:before="40" w:after="40"/>
              <w:jc w:val="right"/>
            </w:pPr>
            <w:r>
              <w:t xml:space="preserve">210 </w:t>
            </w:r>
            <w:r w:rsidR="006635B4" w:rsidRPr="00D44DA3">
              <w:t>675</w:t>
            </w:r>
          </w:p>
        </w:tc>
        <w:tc>
          <w:tcPr>
            <w:tcW w:w="1134" w:type="dxa"/>
            <w:tcBorders>
              <w:bottom w:val="single" w:sz="4" w:space="0" w:color="auto"/>
            </w:tcBorders>
          </w:tcPr>
          <w:p w:rsidR="006635B4" w:rsidRPr="00FB3E69" w:rsidRDefault="007449EC" w:rsidP="00485A0D">
            <w:pPr>
              <w:pStyle w:val="tabletext"/>
              <w:spacing w:before="40" w:after="40"/>
              <w:jc w:val="right"/>
            </w:pPr>
            <w:r>
              <w:t>na</w:t>
            </w:r>
          </w:p>
        </w:tc>
      </w:tr>
      <w:tr w:rsidR="006635B4" w:rsidRPr="00D44DA3" w:rsidTr="00541DCF">
        <w:trPr>
          <w:trHeight w:val="300"/>
        </w:trPr>
        <w:tc>
          <w:tcPr>
            <w:tcW w:w="1384" w:type="dxa"/>
            <w:vMerge w:val="restart"/>
            <w:tcBorders>
              <w:top w:val="single" w:sz="4" w:space="0" w:color="auto"/>
            </w:tcBorders>
            <w:shd w:val="clear" w:color="auto" w:fill="auto"/>
            <w:noWrap/>
            <w:vAlign w:val="center"/>
            <w:hideMark/>
          </w:tcPr>
          <w:p w:rsidR="006635B4" w:rsidRPr="00D44DA3" w:rsidRDefault="006635B4" w:rsidP="00485A0D">
            <w:pPr>
              <w:pStyle w:val="Tableheader"/>
            </w:pPr>
            <w:r w:rsidRPr="00D44DA3">
              <w:t>Sydney Gateway Facility</w:t>
            </w:r>
          </w:p>
        </w:tc>
        <w:tc>
          <w:tcPr>
            <w:tcW w:w="1787" w:type="dxa"/>
            <w:tcBorders>
              <w:top w:val="single" w:sz="4" w:space="0" w:color="auto"/>
            </w:tcBorders>
            <w:shd w:val="clear" w:color="auto" w:fill="auto"/>
            <w:noWrap/>
            <w:hideMark/>
          </w:tcPr>
          <w:p w:rsidR="006635B4" w:rsidRPr="00D44DA3" w:rsidRDefault="006635B4" w:rsidP="00485A0D">
            <w:pPr>
              <w:pStyle w:val="tabletext"/>
              <w:spacing w:before="40" w:after="40"/>
            </w:pPr>
            <w:r w:rsidRPr="00D44DA3">
              <w:t>Letter</w:t>
            </w:r>
            <w:r>
              <w:t>s</w:t>
            </w:r>
          </w:p>
        </w:tc>
        <w:tc>
          <w:tcPr>
            <w:tcW w:w="1190" w:type="dxa"/>
            <w:tcBorders>
              <w:top w:val="single" w:sz="4" w:space="0" w:color="auto"/>
            </w:tcBorders>
            <w:shd w:val="clear" w:color="auto" w:fill="auto"/>
            <w:noWrap/>
            <w:hideMark/>
          </w:tcPr>
          <w:p w:rsidR="006635B4" w:rsidRPr="00D44DA3" w:rsidRDefault="00612B0D" w:rsidP="00485A0D">
            <w:pPr>
              <w:pStyle w:val="tabletext"/>
              <w:spacing w:before="40" w:after="40"/>
              <w:jc w:val="right"/>
            </w:pPr>
            <w:r>
              <w:t xml:space="preserve">83 504 </w:t>
            </w:r>
            <w:r w:rsidR="006635B4" w:rsidRPr="00D44DA3">
              <w:t>337</w:t>
            </w:r>
          </w:p>
        </w:tc>
        <w:tc>
          <w:tcPr>
            <w:tcW w:w="1134" w:type="dxa"/>
            <w:tcBorders>
              <w:top w:val="single" w:sz="4" w:space="0" w:color="auto"/>
            </w:tcBorders>
            <w:shd w:val="clear" w:color="auto" w:fill="auto"/>
            <w:noWrap/>
            <w:hideMark/>
          </w:tcPr>
          <w:p w:rsidR="006635B4" w:rsidRPr="00D44DA3" w:rsidRDefault="00612B0D" w:rsidP="00485A0D">
            <w:pPr>
              <w:pStyle w:val="tabletext"/>
              <w:spacing w:before="40" w:after="40"/>
              <w:jc w:val="right"/>
            </w:pPr>
            <w:r>
              <w:t xml:space="preserve">77 133 </w:t>
            </w:r>
            <w:r w:rsidR="006635B4" w:rsidRPr="00D44DA3">
              <w:t>446</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67 994 </w:t>
            </w:r>
            <w:r w:rsidR="006635B4" w:rsidRPr="00D44DA3">
              <w:t>451</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68 909 </w:t>
            </w:r>
            <w:r w:rsidR="006635B4" w:rsidRPr="00D44DA3">
              <w:t>936</w:t>
            </w:r>
          </w:p>
        </w:tc>
        <w:tc>
          <w:tcPr>
            <w:tcW w:w="1134" w:type="dxa"/>
            <w:tcBorders>
              <w:top w:val="single" w:sz="4" w:space="0" w:color="auto"/>
            </w:tcBorders>
          </w:tcPr>
          <w:p w:rsidR="006635B4" w:rsidRPr="00FB3E69" w:rsidRDefault="007449EC" w:rsidP="00485A0D">
            <w:pPr>
              <w:pStyle w:val="tabletext"/>
              <w:spacing w:before="40" w:after="40"/>
              <w:jc w:val="right"/>
            </w:pPr>
            <w:r>
              <w:t xml:space="preserve">79 801 </w:t>
            </w:r>
            <w:r w:rsidR="006635B4" w:rsidRPr="00FB3E69">
              <w:t>993</w:t>
            </w:r>
          </w:p>
        </w:tc>
      </w:tr>
      <w:tr w:rsidR="006635B4" w:rsidRPr="00D44DA3" w:rsidTr="00541DCF">
        <w:trPr>
          <w:trHeight w:val="300"/>
        </w:trPr>
        <w:tc>
          <w:tcPr>
            <w:tcW w:w="1384" w:type="dxa"/>
            <w:vMerge/>
            <w:vAlign w:val="center"/>
            <w:hideMark/>
          </w:tcPr>
          <w:p w:rsidR="006635B4" w:rsidRPr="00D44DA3" w:rsidRDefault="006635B4" w:rsidP="00485A0D">
            <w:pPr>
              <w:pStyle w:val="tabletext"/>
              <w:spacing w:before="40" w:after="40"/>
            </w:pPr>
          </w:p>
        </w:tc>
        <w:tc>
          <w:tcPr>
            <w:tcW w:w="1787" w:type="dxa"/>
            <w:shd w:val="clear" w:color="auto" w:fill="auto"/>
            <w:noWrap/>
            <w:hideMark/>
          </w:tcPr>
          <w:p w:rsidR="006635B4" w:rsidRPr="00D44DA3" w:rsidRDefault="006635B4" w:rsidP="00485A0D">
            <w:pPr>
              <w:pStyle w:val="tabletext"/>
              <w:spacing w:before="40" w:after="40"/>
            </w:pPr>
            <w:r>
              <w:t>Other a</w:t>
            </w:r>
            <w:r w:rsidRPr="00D44DA3">
              <w:t>rticles</w:t>
            </w:r>
          </w:p>
        </w:tc>
        <w:tc>
          <w:tcPr>
            <w:tcW w:w="1190" w:type="dxa"/>
            <w:shd w:val="clear" w:color="auto" w:fill="auto"/>
            <w:noWrap/>
            <w:hideMark/>
          </w:tcPr>
          <w:p w:rsidR="006635B4" w:rsidRPr="00D44DA3" w:rsidRDefault="00612B0D" w:rsidP="00485A0D">
            <w:pPr>
              <w:pStyle w:val="tabletext"/>
              <w:spacing w:before="40" w:after="40"/>
              <w:jc w:val="right"/>
            </w:pPr>
            <w:r>
              <w:t xml:space="preserve">9 </w:t>
            </w:r>
            <w:r w:rsidR="006635B4" w:rsidRPr="00D44DA3">
              <w:t>220</w:t>
            </w:r>
            <w:r>
              <w:t xml:space="preserve"> </w:t>
            </w:r>
            <w:r w:rsidR="006635B4" w:rsidRPr="00D44DA3">
              <w:t>308</w:t>
            </w:r>
          </w:p>
        </w:tc>
        <w:tc>
          <w:tcPr>
            <w:tcW w:w="1134" w:type="dxa"/>
            <w:shd w:val="clear" w:color="auto" w:fill="auto"/>
            <w:noWrap/>
            <w:hideMark/>
          </w:tcPr>
          <w:p w:rsidR="006635B4" w:rsidRPr="00D44DA3" w:rsidRDefault="00612B0D" w:rsidP="00485A0D">
            <w:pPr>
              <w:pStyle w:val="tabletext"/>
              <w:spacing w:before="40" w:after="40"/>
              <w:jc w:val="right"/>
            </w:pPr>
            <w:r>
              <w:t xml:space="preserve">17 </w:t>
            </w:r>
            <w:r w:rsidR="006635B4" w:rsidRPr="00D44DA3">
              <w:t>535</w:t>
            </w:r>
            <w:r>
              <w:t xml:space="preserve"> </w:t>
            </w:r>
            <w:r w:rsidR="006635B4" w:rsidRPr="00D44DA3">
              <w:t>330</w:t>
            </w:r>
          </w:p>
        </w:tc>
        <w:tc>
          <w:tcPr>
            <w:tcW w:w="1134" w:type="dxa"/>
            <w:shd w:val="clear" w:color="auto" w:fill="auto"/>
            <w:noWrap/>
            <w:hideMark/>
          </w:tcPr>
          <w:p w:rsidR="006635B4" w:rsidRPr="00D44DA3" w:rsidRDefault="007449EC" w:rsidP="00485A0D">
            <w:pPr>
              <w:pStyle w:val="tabletext"/>
              <w:spacing w:before="40" w:after="40"/>
              <w:jc w:val="right"/>
            </w:pPr>
            <w:r>
              <w:t xml:space="preserve">28 </w:t>
            </w:r>
            <w:r w:rsidR="006635B4" w:rsidRPr="00D44DA3">
              <w:t>573</w:t>
            </w:r>
            <w:r>
              <w:t xml:space="preserve"> </w:t>
            </w:r>
            <w:r w:rsidR="006635B4" w:rsidRPr="00D44DA3">
              <w:t>771</w:t>
            </w:r>
          </w:p>
        </w:tc>
        <w:tc>
          <w:tcPr>
            <w:tcW w:w="1134" w:type="dxa"/>
            <w:shd w:val="clear" w:color="auto" w:fill="auto"/>
            <w:noWrap/>
            <w:hideMark/>
          </w:tcPr>
          <w:p w:rsidR="006635B4" w:rsidRPr="00D44DA3" w:rsidRDefault="007449EC" w:rsidP="00485A0D">
            <w:pPr>
              <w:pStyle w:val="tabletext"/>
              <w:spacing w:before="40" w:after="40"/>
              <w:jc w:val="right"/>
            </w:pPr>
            <w:r>
              <w:t xml:space="preserve">36 </w:t>
            </w:r>
            <w:r w:rsidR="006635B4" w:rsidRPr="00D44DA3">
              <w:t>354</w:t>
            </w:r>
            <w:r>
              <w:t xml:space="preserve"> </w:t>
            </w:r>
            <w:r w:rsidR="006635B4" w:rsidRPr="00D44DA3">
              <w:t>041</w:t>
            </w:r>
          </w:p>
        </w:tc>
        <w:tc>
          <w:tcPr>
            <w:tcW w:w="1134" w:type="dxa"/>
          </w:tcPr>
          <w:p w:rsidR="006635B4" w:rsidRPr="00FB3E69" w:rsidRDefault="007449EC" w:rsidP="00485A0D">
            <w:pPr>
              <w:pStyle w:val="tabletext"/>
              <w:spacing w:before="40" w:after="40"/>
              <w:jc w:val="right"/>
            </w:pPr>
            <w:r>
              <w:t xml:space="preserve">42 </w:t>
            </w:r>
            <w:r w:rsidR="006635B4" w:rsidRPr="00FB3E69">
              <w:t>764</w:t>
            </w:r>
            <w:r>
              <w:t xml:space="preserve"> </w:t>
            </w:r>
            <w:r w:rsidR="006635B4" w:rsidRPr="00FB3E69">
              <w:t>707</w:t>
            </w:r>
          </w:p>
        </w:tc>
      </w:tr>
      <w:tr w:rsidR="006635B4" w:rsidRPr="00D44DA3" w:rsidTr="00541DCF">
        <w:trPr>
          <w:trHeight w:val="300"/>
        </w:trPr>
        <w:tc>
          <w:tcPr>
            <w:tcW w:w="1384" w:type="dxa"/>
            <w:vMerge/>
            <w:vAlign w:val="center"/>
            <w:hideMark/>
          </w:tcPr>
          <w:p w:rsidR="006635B4" w:rsidRPr="00D44DA3" w:rsidRDefault="006635B4" w:rsidP="00485A0D">
            <w:pPr>
              <w:pStyle w:val="tabletext"/>
              <w:spacing w:before="40" w:after="40"/>
            </w:pPr>
          </w:p>
        </w:tc>
        <w:tc>
          <w:tcPr>
            <w:tcW w:w="1787" w:type="dxa"/>
            <w:shd w:val="clear" w:color="auto" w:fill="auto"/>
            <w:noWrap/>
            <w:hideMark/>
          </w:tcPr>
          <w:p w:rsidR="006635B4" w:rsidRPr="00D44DA3" w:rsidRDefault="006635B4" w:rsidP="00485A0D">
            <w:pPr>
              <w:pStyle w:val="tabletext"/>
              <w:spacing w:before="40" w:after="40"/>
            </w:pPr>
            <w:r>
              <w:t>Express mail service</w:t>
            </w:r>
            <w:r w:rsidR="00620A4C">
              <w:t>s</w:t>
            </w:r>
          </w:p>
        </w:tc>
        <w:tc>
          <w:tcPr>
            <w:tcW w:w="1190" w:type="dxa"/>
            <w:shd w:val="clear" w:color="auto" w:fill="auto"/>
            <w:noWrap/>
            <w:hideMark/>
          </w:tcPr>
          <w:p w:rsidR="006635B4" w:rsidRPr="00D44DA3" w:rsidRDefault="00612B0D" w:rsidP="00485A0D">
            <w:pPr>
              <w:pStyle w:val="tabletext"/>
              <w:spacing w:before="40" w:after="40"/>
              <w:jc w:val="right"/>
            </w:pPr>
            <w:r>
              <w:t xml:space="preserve">1 309 </w:t>
            </w:r>
            <w:r w:rsidR="006635B4" w:rsidRPr="00D44DA3">
              <w:t>160</w:t>
            </w:r>
          </w:p>
        </w:tc>
        <w:tc>
          <w:tcPr>
            <w:tcW w:w="1134" w:type="dxa"/>
            <w:shd w:val="clear" w:color="auto" w:fill="auto"/>
            <w:noWrap/>
            <w:hideMark/>
          </w:tcPr>
          <w:p w:rsidR="006635B4" w:rsidRPr="00D44DA3" w:rsidRDefault="00612B0D" w:rsidP="00485A0D">
            <w:pPr>
              <w:pStyle w:val="tabletext"/>
              <w:spacing w:before="40" w:after="40"/>
              <w:jc w:val="right"/>
            </w:pPr>
            <w:r>
              <w:t xml:space="preserve">1 569 </w:t>
            </w:r>
            <w:r w:rsidR="006635B4" w:rsidRPr="00D44DA3">
              <w:t>999</w:t>
            </w:r>
          </w:p>
        </w:tc>
        <w:tc>
          <w:tcPr>
            <w:tcW w:w="1134" w:type="dxa"/>
            <w:shd w:val="clear" w:color="auto" w:fill="auto"/>
            <w:noWrap/>
            <w:hideMark/>
          </w:tcPr>
          <w:p w:rsidR="006635B4" w:rsidRPr="00D44DA3" w:rsidRDefault="007449EC" w:rsidP="00485A0D">
            <w:pPr>
              <w:pStyle w:val="tabletext"/>
              <w:spacing w:before="40" w:after="40"/>
              <w:jc w:val="right"/>
            </w:pPr>
            <w:r>
              <w:t xml:space="preserve">1 822 </w:t>
            </w:r>
            <w:r w:rsidR="006635B4" w:rsidRPr="00D44DA3">
              <w:t>697</w:t>
            </w:r>
          </w:p>
        </w:tc>
        <w:tc>
          <w:tcPr>
            <w:tcW w:w="1134" w:type="dxa"/>
            <w:shd w:val="clear" w:color="auto" w:fill="auto"/>
            <w:noWrap/>
            <w:hideMark/>
          </w:tcPr>
          <w:p w:rsidR="006635B4" w:rsidRPr="00D44DA3" w:rsidRDefault="007449EC" w:rsidP="00485A0D">
            <w:pPr>
              <w:pStyle w:val="tabletext"/>
              <w:spacing w:before="40" w:after="40"/>
              <w:jc w:val="right"/>
            </w:pPr>
            <w:r>
              <w:t xml:space="preserve">1 987 </w:t>
            </w:r>
            <w:r w:rsidR="006635B4" w:rsidRPr="00D44DA3">
              <w:t>110</w:t>
            </w:r>
          </w:p>
        </w:tc>
        <w:tc>
          <w:tcPr>
            <w:tcW w:w="1134" w:type="dxa"/>
          </w:tcPr>
          <w:p w:rsidR="006635B4" w:rsidRPr="00FB3E69" w:rsidRDefault="007449EC" w:rsidP="00485A0D">
            <w:pPr>
              <w:pStyle w:val="tabletext"/>
              <w:spacing w:before="40" w:after="40"/>
              <w:jc w:val="right"/>
            </w:pPr>
            <w:r>
              <w:t xml:space="preserve">1 896 </w:t>
            </w:r>
            <w:r w:rsidR="006635B4" w:rsidRPr="00FB3E69">
              <w:t>562</w:t>
            </w:r>
          </w:p>
        </w:tc>
      </w:tr>
      <w:tr w:rsidR="006635B4" w:rsidRPr="00D44DA3" w:rsidTr="00541DCF">
        <w:trPr>
          <w:trHeight w:val="300"/>
        </w:trPr>
        <w:tc>
          <w:tcPr>
            <w:tcW w:w="1384" w:type="dxa"/>
            <w:vMerge/>
            <w:vAlign w:val="center"/>
            <w:hideMark/>
          </w:tcPr>
          <w:p w:rsidR="006635B4" w:rsidRPr="00D44DA3" w:rsidRDefault="006635B4" w:rsidP="00485A0D">
            <w:pPr>
              <w:pStyle w:val="tabletext"/>
              <w:spacing w:before="40" w:after="40"/>
            </w:pPr>
          </w:p>
        </w:tc>
        <w:tc>
          <w:tcPr>
            <w:tcW w:w="1787" w:type="dxa"/>
            <w:shd w:val="clear" w:color="auto" w:fill="auto"/>
            <w:noWrap/>
            <w:hideMark/>
          </w:tcPr>
          <w:p w:rsidR="006635B4" w:rsidRPr="00D44DA3" w:rsidRDefault="006635B4" w:rsidP="00485A0D">
            <w:pPr>
              <w:pStyle w:val="tabletext"/>
              <w:spacing w:before="40" w:after="40"/>
            </w:pPr>
            <w:r w:rsidRPr="00D44DA3">
              <w:t>Parcels</w:t>
            </w:r>
          </w:p>
        </w:tc>
        <w:tc>
          <w:tcPr>
            <w:tcW w:w="1190" w:type="dxa"/>
            <w:shd w:val="clear" w:color="auto" w:fill="auto"/>
            <w:noWrap/>
            <w:hideMark/>
          </w:tcPr>
          <w:p w:rsidR="006635B4" w:rsidRPr="00D44DA3" w:rsidRDefault="00612B0D" w:rsidP="00485A0D">
            <w:pPr>
              <w:pStyle w:val="tabletext"/>
              <w:spacing w:before="40" w:after="40"/>
              <w:jc w:val="right"/>
            </w:pPr>
            <w:r>
              <w:t xml:space="preserve">1 </w:t>
            </w:r>
            <w:r w:rsidR="006635B4" w:rsidRPr="00D44DA3">
              <w:t>524</w:t>
            </w:r>
            <w:r>
              <w:t xml:space="preserve"> </w:t>
            </w:r>
            <w:r w:rsidR="006635B4" w:rsidRPr="00D44DA3">
              <w:t>333</w:t>
            </w:r>
          </w:p>
        </w:tc>
        <w:tc>
          <w:tcPr>
            <w:tcW w:w="1134" w:type="dxa"/>
            <w:shd w:val="clear" w:color="auto" w:fill="auto"/>
            <w:noWrap/>
            <w:hideMark/>
          </w:tcPr>
          <w:p w:rsidR="006635B4" w:rsidRPr="00D44DA3" w:rsidRDefault="00612B0D" w:rsidP="00485A0D">
            <w:pPr>
              <w:pStyle w:val="tabletext"/>
              <w:spacing w:before="40" w:after="40"/>
              <w:jc w:val="right"/>
            </w:pPr>
            <w:r>
              <w:t xml:space="preserve">1 </w:t>
            </w:r>
            <w:r w:rsidR="006635B4" w:rsidRPr="00D44DA3">
              <w:t>582</w:t>
            </w:r>
            <w:r>
              <w:t xml:space="preserve"> </w:t>
            </w:r>
            <w:r w:rsidR="006635B4" w:rsidRPr="00D44DA3">
              <w:t>542</w:t>
            </w:r>
          </w:p>
        </w:tc>
        <w:tc>
          <w:tcPr>
            <w:tcW w:w="1134" w:type="dxa"/>
            <w:shd w:val="clear" w:color="auto" w:fill="auto"/>
            <w:noWrap/>
            <w:hideMark/>
          </w:tcPr>
          <w:p w:rsidR="006635B4" w:rsidRPr="00D44DA3" w:rsidRDefault="007449EC" w:rsidP="00485A0D">
            <w:pPr>
              <w:pStyle w:val="tabletext"/>
              <w:spacing w:before="40" w:after="40"/>
              <w:jc w:val="right"/>
            </w:pPr>
            <w:r>
              <w:t xml:space="preserve">1 </w:t>
            </w:r>
            <w:r w:rsidR="006635B4" w:rsidRPr="00D44DA3">
              <w:t>960</w:t>
            </w:r>
            <w:r>
              <w:t xml:space="preserve"> </w:t>
            </w:r>
            <w:r w:rsidR="006635B4" w:rsidRPr="00D44DA3">
              <w:t>654</w:t>
            </w:r>
          </w:p>
        </w:tc>
        <w:tc>
          <w:tcPr>
            <w:tcW w:w="1134" w:type="dxa"/>
            <w:shd w:val="clear" w:color="auto" w:fill="auto"/>
            <w:noWrap/>
            <w:hideMark/>
          </w:tcPr>
          <w:p w:rsidR="006635B4" w:rsidRPr="00D44DA3" w:rsidRDefault="007449EC" w:rsidP="00485A0D">
            <w:pPr>
              <w:pStyle w:val="tabletext"/>
              <w:spacing w:before="40" w:after="40"/>
              <w:jc w:val="right"/>
            </w:pPr>
            <w:r>
              <w:t xml:space="preserve">2 </w:t>
            </w:r>
            <w:r w:rsidR="006635B4" w:rsidRPr="00D44DA3">
              <w:t>112</w:t>
            </w:r>
            <w:r>
              <w:t xml:space="preserve"> </w:t>
            </w:r>
            <w:r w:rsidR="006635B4" w:rsidRPr="00D44DA3">
              <w:t>577</w:t>
            </w:r>
          </w:p>
        </w:tc>
        <w:tc>
          <w:tcPr>
            <w:tcW w:w="1134" w:type="dxa"/>
          </w:tcPr>
          <w:p w:rsidR="006635B4" w:rsidRPr="00FB3E69" w:rsidRDefault="007449EC" w:rsidP="00485A0D">
            <w:pPr>
              <w:pStyle w:val="tabletext"/>
              <w:spacing w:before="40" w:after="40"/>
              <w:jc w:val="right"/>
            </w:pPr>
            <w:r>
              <w:t xml:space="preserve">2 </w:t>
            </w:r>
            <w:r w:rsidR="006635B4" w:rsidRPr="00FB3E69">
              <w:t>026</w:t>
            </w:r>
            <w:r>
              <w:t xml:space="preserve"> </w:t>
            </w:r>
            <w:r w:rsidR="006635B4" w:rsidRPr="00FB3E69">
              <w:t>932</w:t>
            </w:r>
          </w:p>
        </w:tc>
      </w:tr>
      <w:tr w:rsidR="006635B4" w:rsidRPr="00D44DA3" w:rsidTr="00541DCF">
        <w:trPr>
          <w:trHeight w:val="300"/>
        </w:trPr>
        <w:tc>
          <w:tcPr>
            <w:tcW w:w="1384" w:type="dxa"/>
            <w:vMerge/>
            <w:tcBorders>
              <w:bottom w:val="single" w:sz="4" w:space="0" w:color="auto"/>
            </w:tcBorders>
            <w:vAlign w:val="center"/>
            <w:hideMark/>
          </w:tcPr>
          <w:p w:rsidR="006635B4" w:rsidRPr="00D44DA3" w:rsidRDefault="006635B4" w:rsidP="00485A0D">
            <w:pPr>
              <w:pStyle w:val="tabletext"/>
              <w:spacing w:before="40" w:after="40"/>
            </w:pPr>
          </w:p>
        </w:tc>
        <w:tc>
          <w:tcPr>
            <w:tcW w:w="1787" w:type="dxa"/>
            <w:tcBorders>
              <w:bottom w:val="single" w:sz="4" w:space="0" w:color="auto"/>
            </w:tcBorders>
            <w:shd w:val="clear" w:color="auto" w:fill="auto"/>
            <w:noWrap/>
            <w:hideMark/>
          </w:tcPr>
          <w:p w:rsidR="006635B4" w:rsidRPr="00D44DA3" w:rsidRDefault="00F7014D" w:rsidP="00485A0D">
            <w:pPr>
              <w:pStyle w:val="tabletext"/>
              <w:spacing w:before="40" w:after="40"/>
            </w:pPr>
            <w:r w:rsidRPr="00D44DA3">
              <w:t>Registered</w:t>
            </w:r>
            <w:r>
              <w:t xml:space="preserve">  </w:t>
            </w:r>
            <w:r w:rsidRPr="00210106">
              <w:rPr>
                <w:b/>
              </w:rPr>
              <w:t>a</w:t>
            </w:r>
          </w:p>
        </w:tc>
        <w:tc>
          <w:tcPr>
            <w:tcW w:w="1190"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na</w:t>
            </w:r>
          </w:p>
        </w:tc>
        <w:tc>
          <w:tcPr>
            <w:tcW w:w="1134"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na</w:t>
            </w:r>
          </w:p>
        </w:tc>
        <w:tc>
          <w:tcPr>
            <w:tcW w:w="1134"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na</w:t>
            </w:r>
          </w:p>
        </w:tc>
        <w:tc>
          <w:tcPr>
            <w:tcW w:w="1134"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na</w:t>
            </w:r>
          </w:p>
        </w:tc>
        <w:tc>
          <w:tcPr>
            <w:tcW w:w="1134" w:type="dxa"/>
            <w:tcBorders>
              <w:bottom w:val="single" w:sz="4" w:space="0" w:color="auto"/>
            </w:tcBorders>
          </w:tcPr>
          <w:p w:rsidR="006635B4" w:rsidRPr="00FB3E69" w:rsidRDefault="00612B0D" w:rsidP="00485A0D">
            <w:pPr>
              <w:pStyle w:val="tabletext"/>
              <w:spacing w:before="40" w:after="40"/>
              <w:jc w:val="right"/>
            </w:pPr>
            <w:r>
              <w:t>na</w:t>
            </w:r>
          </w:p>
        </w:tc>
      </w:tr>
    </w:tbl>
    <w:p w:rsidR="00485A0D" w:rsidRDefault="00485A0D">
      <w:r>
        <w:rPr>
          <w:b/>
        </w:rPr>
        <w:br w:type="page"/>
      </w:r>
    </w:p>
    <w:tbl>
      <w:tblPr>
        <w:tblW w:w="8897" w:type="dxa"/>
        <w:tblLayout w:type="fixed"/>
        <w:tblLook w:val="04A0"/>
      </w:tblPr>
      <w:tblGrid>
        <w:gridCol w:w="1384"/>
        <w:gridCol w:w="1787"/>
        <w:gridCol w:w="1190"/>
        <w:gridCol w:w="1134"/>
        <w:gridCol w:w="1134"/>
        <w:gridCol w:w="1134"/>
        <w:gridCol w:w="1134"/>
      </w:tblGrid>
      <w:tr w:rsidR="006635B4" w:rsidRPr="00D44DA3" w:rsidTr="00541DCF">
        <w:trPr>
          <w:trHeight w:val="300"/>
        </w:trPr>
        <w:tc>
          <w:tcPr>
            <w:tcW w:w="1384" w:type="dxa"/>
            <w:vMerge w:val="restart"/>
            <w:tcBorders>
              <w:top w:val="single" w:sz="4" w:space="0" w:color="auto"/>
            </w:tcBorders>
            <w:shd w:val="clear" w:color="auto" w:fill="auto"/>
            <w:noWrap/>
            <w:vAlign w:val="center"/>
            <w:hideMark/>
          </w:tcPr>
          <w:p w:rsidR="006635B4" w:rsidRPr="00D44DA3" w:rsidRDefault="006635B4" w:rsidP="00485A0D">
            <w:pPr>
              <w:pStyle w:val="Tableheader"/>
            </w:pPr>
            <w:r w:rsidRPr="00D44DA3">
              <w:lastRenderedPageBreak/>
              <w:t>National</w:t>
            </w:r>
            <w:r>
              <w:t xml:space="preserve"> totals</w:t>
            </w:r>
          </w:p>
        </w:tc>
        <w:tc>
          <w:tcPr>
            <w:tcW w:w="1787" w:type="dxa"/>
            <w:tcBorders>
              <w:top w:val="single" w:sz="4" w:space="0" w:color="auto"/>
            </w:tcBorders>
            <w:shd w:val="clear" w:color="auto" w:fill="auto"/>
            <w:noWrap/>
            <w:hideMark/>
          </w:tcPr>
          <w:p w:rsidR="006635B4" w:rsidRPr="00D44DA3" w:rsidRDefault="006635B4" w:rsidP="00485A0D">
            <w:pPr>
              <w:pStyle w:val="tabletext"/>
              <w:spacing w:before="40" w:after="40"/>
            </w:pPr>
            <w:r w:rsidRPr="00D44DA3">
              <w:t>Letter</w:t>
            </w:r>
            <w:r>
              <w:t>s</w:t>
            </w:r>
          </w:p>
        </w:tc>
        <w:tc>
          <w:tcPr>
            <w:tcW w:w="1190" w:type="dxa"/>
            <w:tcBorders>
              <w:top w:val="single" w:sz="4" w:space="0" w:color="auto"/>
            </w:tcBorders>
            <w:shd w:val="clear" w:color="auto" w:fill="auto"/>
            <w:noWrap/>
            <w:hideMark/>
          </w:tcPr>
          <w:p w:rsidR="006635B4" w:rsidRPr="00D44DA3" w:rsidRDefault="006635B4" w:rsidP="00485A0D">
            <w:pPr>
              <w:pStyle w:val="tabletext"/>
              <w:spacing w:before="40" w:after="40"/>
              <w:jc w:val="right"/>
            </w:pPr>
            <w:r w:rsidRPr="00D44DA3">
              <w:t>116</w:t>
            </w:r>
            <w:r w:rsidR="00612B0D">
              <w:t xml:space="preserve"> </w:t>
            </w:r>
            <w:r w:rsidRPr="00D44DA3">
              <w:t>045</w:t>
            </w:r>
            <w:r w:rsidR="00612B0D">
              <w:t xml:space="preserve"> </w:t>
            </w:r>
            <w:r w:rsidRPr="00D44DA3">
              <w:t>913</w:t>
            </w:r>
          </w:p>
        </w:tc>
        <w:tc>
          <w:tcPr>
            <w:tcW w:w="1134" w:type="dxa"/>
            <w:tcBorders>
              <w:top w:val="single" w:sz="4" w:space="0" w:color="auto"/>
            </w:tcBorders>
            <w:shd w:val="clear" w:color="auto" w:fill="auto"/>
            <w:noWrap/>
            <w:hideMark/>
          </w:tcPr>
          <w:p w:rsidR="006635B4" w:rsidRPr="00D44DA3" w:rsidRDefault="00612B0D" w:rsidP="00485A0D">
            <w:pPr>
              <w:pStyle w:val="tabletext"/>
              <w:spacing w:before="40" w:after="40"/>
              <w:jc w:val="right"/>
            </w:pPr>
            <w:r>
              <w:t xml:space="preserve">105 </w:t>
            </w:r>
            <w:r w:rsidR="006635B4" w:rsidRPr="00D44DA3">
              <w:t>98</w:t>
            </w:r>
            <w:r>
              <w:t xml:space="preserve">5 </w:t>
            </w:r>
            <w:r w:rsidR="006635B4" w:rsidRPr="00D44DA3">
              <w:t>310</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99 209 </w:t>
            </w:r>
            <w:r w:rsidR="006635B4" w:rsidRPr="00D44DA3">
              <w:t>636</w:t>
            </w:r>
          </w:p>
        </w:tc>
        <w:tc>
          <w:tcPr>
            <w:tcW w:w="1134" w:type="dxa"/>
            <w:tcBorders>
              <w:top w:val="single" w:sz="4" w:space="0" w:color="auto"/>
            </w:tcBorders>
            <w:shd w:val="clear" w:color="auto" w:fill="auto"/>
            <w:noWrap/>
            <w:hideMark/>
          </w:tcPr>
          <w:p w:rsidR="006635B4" w:rsidRPr="00D44DA3" w:rsidRDefault="007449EC" w:rsidP="00485A0D">
            <w:pPr>
              <w:pStyle w:val="tabletext"/>
              <w:spacing w:before="40" w:after="40"/>
              <w:jc w:val="right"/>
            </w:pPr>
            <w:r>
              <w:t xml:space="preserve">101 000 </w:t>
            </w:r>
            <w:r w:rsidR="006635B4" w:rsidRPr="00D44DA3">
              <w:t>880</w:t>
            </w:r>
          </w:p>
        </w:tc>
        <w:tc>
          <w:tcPr>
            <w:tcW w:w="1134" w:type="dxa"/>
            <w:tcBorders>
              <w:top w:val="single" w:sz="4" w:space="0" w:color="auto"/>
            </w:tcBorders>
          </w:tcPr>
          <w:p w:rsidR="006635B4" w:rsidRPr="00FB3E69" w:rsidRDefault="007449EC" w:rsidP="00485A0D">
            <w:pPr>
              <w:pStyle w:val="tabletext"/>
              <w:spacing w:before="40" w:after="40"/>
              <w:jc w:val="right"/>
            </w:pPr>
            <w:r>
              <w:t xml:space="preserve">115 694 </w:t>
            </w:r>
            <w:r w:rsidR="006635B4" w:rsidRPr="00FB3E69">
              <w:t>894</w:t>
            </w:r>
          </w:p>
        </w:tc>
      </w:tr>
      <w:tr w:rsidR="006635B4" w:rsidRPr="00D44DA3" w:rsidTr="00541DCF">
        <w:trPr>
          <w:trHeight w:val="300"/>
        </w:trPr>
        <w:tc>
          <w:tcPr>
            <w:tcW w:w="1384" w:type="dxa"/>
            <w:vMerge/>
            <w:vAlign w:val="center"/>
            <w:hideMark/>
          </w:tcPr>
          <w:p w:rsidR="006635B4" w:rsidRPr="00D44DA3" w:rsidRDefault="006635B4" w:rsidP="00485A0D">
            <w:pPr>
              <w:pStyle w:val="tabletext"/>
              <w:spacing w:before="40" w:after="40"/>
            </w:pPr>
          </w:p>
        </w:tc>
        <w:tc>
          <w:tcPr>
            <w:tcW w:w="1787" w:type="dxa"/>
            <w:shd w:val="clear" w:color="auto" w:fill="auto"/>
            <w:noWrap/>
            <w:hideMark/>
          </w:tcPr>
          <w:p w:rsidR="006635B4" w:rsidRPr="00D44DA3" w:rsidRDefault="006635B4" w:rsidP="00485A0D">
            <w:pPr>
              <w:pStyle w:val="tabletext"/>
              <w:spacing w:before="40" w:after="40"/>
            </w:pPr>
            <w:r>
              <w:t>Other a</w:t>
            </w:r>
            <w:r w:rsidRPr="00D44DA3">
              <w:t>rticles</w:t>
            </w:r>
          </w:p>
        </w:tc>
        <w:tc>
          <w:tcPr>
            <w:tcW w:w="1190" w:type="dxa"/>
            <w:shd w:val="clear" w:color="auto" w:fill="auto"/>
            <w:noWrap/>
            <w:hideMark/>
          </w:tcPr>
          <w:p w:rsidR="006635B4" w:rsidRPr="00D44DA3" w:rsidRDefault="00612B0D" w:rsidP="00485A0D">
            <w:pPr>
              <w:pStyle w:val="tabletext"/>
              <w:spacing w:before="40" w:after="40"/>
              <w:jc w:val="right"/>
            </w:pPr>
            <w:r>
              <w:t xml:space="preserve">15 075 </w:t>
            </w:r>
            <w:r w:rsidR="006635B4" w:rsidRPr="00D44DA3">
              <w:t>419</w:t>
            </w:r>
          </w:p>
        </w:tc>
        <w:tc>
          <w:tcPr>
            <w:tcW w:w="1134" w:type="dxa"/>
            <w:shd w:val="clear" w:color="auto" w:fill="auto"/>
            <w:noWrap/>
            <w:hideMark/>
          </w:tcPr>
          <w:p w:rsidR="006635B4" w:rsidRPr="00D44DA3" w:rsidRDefault="00612B0D" w:rsidP="00485A0D">
            <w:pPr>
              <w:pStyle w:val="tabletext"/>
              <w:spacing w:before="40" w:after="40"/>
              <w:jc w:val="right"/>
            </w:pPr>
            <w:r>
              <w:t xml:space="preserve">26 </w:t>
            </w:r>
            <w:r w:rsidR="006635B4" w:rsidRPr="00D44DA3">
              <w:t>342</w:t>
            </w:r>
            <w:r>
              <w:t xml:space="preserve"> </w:t>
            </w:r>
            <w:r w:rsidR="006635B4" w:rsidRPr="00D44DA3">
              <w:t>728</w:t>
            </w:r>
          </w:p>
        </w:tc>
        <w:tc>
          <w:tcPr>
            <w:tcW w:w="1134" w:type="dxa"/>
            <w:shd w:val="clear" w:color="auto" w:fill="auto"/>
            <w:noWrap/>
            <w:hideMark/>
          </w:tcPr>
          <w:p w:rsidR="006635B4" w:rsidRPr="00D44DA3" w:rsidRDefault="007449EC" w:rsidP="00485A0D">
            <w:pPr>
              <w:pStyle w:val="tabletext"/>
              <w:spacing w:before="40" w:after="40"/>
              <w:jc w:val="right"/>
            </w:pPr>
            <w:r>
              <w:t xml:space="preserve">45 </w:t>
            </w:r>
            <w:r w:rsidR="006635B4" w:rsidRPr="00D44DA3">
              <w:t>528</w:t>
            </w:r>
            <w:r>
              <w:t xml:space="preserve"> </w:t>
            </w:r>
            <w:r w:rsidR="006635B4" w:rsidRPr="00D44DA3">
              <w:t>671</w:t>
            </w:r>
          </w:p>
        </w:tc>
        <w:tc>
          <w:tcPr>
            <w:tcW w:w="1134" w:type="dxa"/>
            <w:shd w:val="clear" w:color="auto" w:fill="auto"/>
            <w:noWrap/>
            <w:hideMark/>
          </w:tcPr>
          <w:p w:rsidR="006635B4" w:rsidRPr="00D44DA3" w:rsidRDefault="007449EC" w:rsidP="00485A0D">
            <w:pPr>
              <w:pStyle w:val="tabletext"/>
              <w:spacing w:before="40" w:after="40"/>
              <w:jc w:val="right"/>
            </w:pPr>
            <w:r>
              <w:t xml:space="preserve">55 </w:t>
            </w:r>
            <w:r w:rsidR="006635B4" w:rsidRPr="00D44DA3">
              <w:t>753</w:t>
            </w:r>
            <w:r>
              <w:t xml:space="preserve"> </w:t>
            </w:r>
            <w:r w:rsidR="006635B4" w:rsidRPr="00D44DA3">
              <w:t>295</w:t>
            </w:r>
          </w:p>
        </w:tc>
        <w:tc>
          <w:tcPr>
            <w:tcW w:w="1134" w:type="dxa"/>
          </w:tcPr>
          <w:p w:rsidR="006635B4" w:rsidRPr="00FB3E69" w:rsidRDefault="007449EC" w:rsidP="00485A0D">
            <w:pPr>
              <w:pStyle w:val="tabletext"/>
              <w:spacing w:before="40" w:after="40"/>
              <w:jc w:val="right"/>
            </w:pPr>
            <w:r>
              <w:t xml:space="preserve">63 </w:t>
            </w:r>
            <w:r w:rsidR="006635B4" w:rsidRPr="00FB3E69">
              <w:t>910</w:t>
            </w:r>
            <w:r>
              <w:t xml:space="preserve"> </w:t>
            </w:r>
            <w:r w:rsidR="006635B4" w:rsidRPr="00FB3E69">
              <w:t>832</w:t>
            </w:r>
          </w:p>
        </w:tc>
      </w:tr>
      <w:tr w:rsidR="006635B4" w:rsidRPr="00D44DA3" w:rsidTr="00541DCF">
        <w:trPr>
          <w:trHeight w:val="300"/>
        </w:trPr>
        <w:tc>
          <w:tcPr>
            <w:tcW w:w="1384" w:type="dxa"/>
            <w:vMerge/>
            <w:vAlign w:val="center"/>
            <w:hideMark/>
          </w:tcPr>
          <w:p w:rsidR="006635B4" w:rsidRPr="00D44DA3" w:rsidRDefault="006635B4" w:rsidP="00485A0D">
            <w:pPr>
              <w:pStyle w:val="tabletext"/>
              <w:spacing w:before="40" w:after="40"/>
            </w:pPr>
          </w:p>
        </w:tc>
        <w:tc>
          <w:tcPr>
            <w:tcW w:w="1787" w:type="dxa"/>
            <w:shd w:val="clear" w:color="auto" w:fill="auto"/>
            <w:noWrap/>
            <w:hideMark/>
          </w:tcPr>
          <w:p w:rsidR="006635B4" w:rsidRPr="00D44DA3" w:rsidRDefault="006635B4" w:rsidP="00485A0D">
            <w:pPr>
              <w:pStyle w:val="tabletext"/>
              <w:spacing w:before="40" w:after="40"/>
            </w:pPr>
            <w:r>
              <w:t>Express mail service</w:t>
            </w:r>
            <w:r w:rsidR="00620A4C">
              <w:t>s</w:t>
            </w:r>
          </w:p>
        </w:tc>
        <w:tc>
          <w:tcPr>
            <w:tcW w:w="1190" w:type="dxa"/>
            <w:shd w:val="clear" w:color="auto" w:fill="auto"/>
            <w:noWrap/>
            <w:hideMark/>
          </w:tcPr>
          <w:p w:rsidR="006635B4" w:rsidRPr="00D44DA3" w:rsidRDefault="00612B0D" w:rsidP="00485A0D">
            <w:pPr>
              <w:pStyle w:val="tabletext"/>
              <w:spacing w:before="40" w:after="40"/>
              <w:jc w:val="right"/>
            </w:pPr>
            <w:r>
              <w:t xml:space="preserve">2 </w:t>
            </w:r>
            <w:r w:rsidR="006635B4" w:rsidRPr="00D44DA3">
              <w:t>459</w:t>
            </w:r>
            <w:r>
              <w:t xml:space="preserve"> </w:t>
            </w:r>
            <w:r w:rsidR="006635B4" w:rsidRPr="00D44DA3">
              <w:t>713</w:t>
            </w:r>
          </w:p>
        </w:tc>
        <w:tc>
          <w:tcPr>
            <w:tcW w:w="1134" w:type="dxa"/>
            <w:shd w:val="clear" w:color="auto" w:fill="auto"/>
            <w:noWrap/>
            <w:hideMark/>
          </w:tcPr>
          <w:p w:rsidR="006635B4" w:rsidRPr="00D44DA3" w:rsidRDefault="00612B0D" w:rsidP="00485A0D">
            <w:pPr>
              <w:pStyle w:val="tabletext"/>
              <w:spacing w:before="40" w:after="40"/>
              <w:jc w:val="right"/>
            </w:pPr>
            <w:r>
              <w:t xml:space="preserve">3 024 </w:t>
            </w:r>
            <w:r w:rsidR="006635B4" w:rsidRPr="00D44DA3">
              <w:t>004</w:t>
            </w:r>
          </w:p>
        </w:tc>
        <w:tc>
          <w:tcPr>
            <w:tcW w:w="1134" w:type="dxa"/>
            <w:shd w:val="clear" w:color="auto" w:fill="auto"/>
            <w:noWrap/>
            <w:hideMark/>
          </w:tcPr>
          <w:p w:rsidR="006635B4" w:rsidRPr="00D44DA3" w:rsidRDefault="007449EC" w:rsidP="00485A0D">
            <w:pPr>
              <w:pStyle w:val="tabletext"/>
              <w:spacing w:before="40" w:after="40"/>
              <w:jc w:val="right"/>
            </w:pPr>
            <w:r>
              <w:t xml:space="preserve">3 577 </w:t>
            </w:r>
            <w:r w:rsidR="006635B4" w:rsidRPr="00D44DA3">
              <w:t>790</w:t>
            </w:r>
          </w:p>
        </w:tc>
        <w:tc>
          <w:tcPr>
            <w:tcW w:w="1134" w:type="dxa"/>
            <w:shd w:val="clear" w:color="auto" w:fill="auto"/>
            <w:noWrap/>
            <w:hideMark/>
          </w:tcPr>
          <w:p w:rsidR="006635B4" w:rsidRPr="00D44DA3" w:rsidRDefault="007449EC" w:rsidP="00485A0D">
            <w:pPr>
              <w:pStyle w:val="tabletext"/>
              <w:spacing w:before="40" w:after="40"/>
              <w:jc w:val="right"/>
            </w:pPr>
            <w:r>
              <w:t xml:space="preserve">3 840 </w:t>
            </w:r>
            <w:r w:rsidR="006635B4" w:rsidRPr="00D44DA3">
              <w:t>764</w:t>
            </w:r>
          </w:p>
        </w:tc>
        <w:tc>
          <w:tcPr>
            <w:tcW w:w="1134" w:type="dxa"/>
          </w:tcPr>
          <w:p w:rsidR="006635B4" w:rsidRPr="00FB3E69" w:rsidRDefault="007449EC" w:rsidP="00485A0D">
            <w:pPr>
              <w:pStyle w:val="tabletext"/>
              <w:spacing w:before="40" w:after="40"/>
              <w:jc w:val="right"/>
            </w:pPr>
            <w:r>
              <w:t xml:space="preserve">3 585 </w:t>
            </w:r>
            <w:r w:rsidR="006635B4" w:rsidRPr="00FB3E69">
              <w:t>538</w:t>
            </w:r>
          </w:p>
        </w:tc>
      </w:tr>
      <w:tr w:rsidR="006635B4" w:rsidRPr="00D44DA3" w:rsidTr="00541DCF">
        <w:trPr>
          <w:trHeight w:val="300"/>
        </w:trPr>
        <w:tc>
          <w:tcPr>
            <w:tcW w:w="1384" w:type="dxa"/>
            <w:vMerge/>
            <w:vAlign w:val="center"/>
            <w:hideMark/>
          </w:tcPr>
          <w:p w:rsidR="006635B4" w:rsidRPr="00D44DA3" w:rsidRDefault="006635B4" w:rsidP="00485A0D">
            <w:pPr>
              <w:pStyle w:val="tabletext"/>
              <w:spacing w:before="40" w:after="40"/>
            </w:pPr>
          </w:p>
        </w:tc>
        <w:tc>
          <w:tcPr>
            <w:tcW w:w="1787" w:type="dxa"/>
            <w:shd w:val="clear" w:color="auto" w:fill="auto"/>
            <w:noWrap/>
            <w:hideMark/>
          </w:tcPr>
          <w:p w:rsidR="006635B4" w:rsidRPr="00D44DA3" w:rsidRDefault="006635B4" w:rsidP="00485A0D">
            <w:pPr>
              <w:pStyle w:val="tabletext"/>
              <w:spacing w:before="40" w:after="40"/>
            </w:pPr>
            <w:r w:rsidRPr="00D44DA3">
              <w:t>Parcels</w:t>
            </w:r>
          </w:p>
        </w:tc>
        <w:tc>
          <w:tcPr>
            <w:tcW w:w="1190" w:type="dxa"/>
            <w:shd w:val="clear" w:color="auto" w:fill="auto"/>
            <w:noWrap/>
            <w:hideMark/>
          </w:tcPr>
          <w:p w:rsidR="006635B4" w:rsidRPr="00D44DA3" w:rsidRDefault="00612B0D" w:rsidP="00485A0D">
            <w:pPr>
              <w:pStyle w:val="tabletext"/>
              <w:spacing w:before="40" w:after="40"/>
              <w:jc w:val="right"/>
            </w:pPr>
            <w:r>
              <w:t xml:space="preserve">2 345 </w:t>
            </w:r>
            <w:r w:rsidR="006635B4" w:rsidRPr="00D44DA3">
              <w:t>527</w:t>
            </w:r>
          </w:p>
        </w:tc>
        <w:tc>
          <w:tcPr>
            <w:tcW w:w="1134" w:type="dxa"/>
            <w:shd w:val="clear" w:color="auto" w:fill="auto"/>
            <w:noWrap/>
            <w:hideMark/>
          </w:tcPr>
          <w:p w:rsidR="006635B4" w:rsidRPr="00D44DA3" w:rsidRDefault="00612B0D" w:rsidP="00485A0D">
            <w:pPr>
              <w:pStyle w:val="tabletext"/>
              <w:spacing w:before="40" w:after="40"/>
              <w:jc w:val="right"/>
            </w:pPr>
            <w:r>
              <w:t xml:space="preserve">2 </w:t>
            </w:r>
            <w:r w:rsidR="006635B4" w:rsidRPr="00D44DA3">
              <w:t>519</w:t>
            </w:r>
            <w:r>
              <w:t xml:space="preserve"> </w:t>
            </w:r>
            <w:r w:rsidR="006635B4" w:rsidRPr="00D44DA3">
              <w:t>852</w:t>
            </w:r>
          </w:p>
        </w:tc>
        <w:tc>
          <w:tcPr>
            <w:tcW w:w="1134" w:type="dxa"/>
            <w:shd w:val="clear" w:color="auto" w:fill="auto"/>
            <w:noWrap/>
            <w:hideMark/>
          </w:tcPr>
          <w:p w:rsidR="006635B4" w:rsidRPr="00D44DA3" w:rsidRDefault="007449EC" w:rsidP="00485A0D">
            <w:pPr>
              <w:pStyle w:val="tabletext"/>
              <w:spacing w:before="40" w:after="40"/>
              <w:jc w:val="right"/>
            </w:pPr>
            <w:r>
              <w:t xml:space="preserve">3 </w:t>
            </w:r>
            <w:r w:rsidR="006635B4" w:rsidRPr="00D44DA3">
              <w:t>129</w:t>
            </w:r>
            <w:r>
              <w:t xml:space="preserve"> </w:t>
            </w:r>
            <w:r w:rsidR="006635B4" w:rsidRPr="00D44DA3">
              <w:t>311</w:t>
            </w:r>
          </w:p>
        </w:tc>
        <w:tc>
          <w:tcPr>
            <w:tcW w:w="1134" w:type="dxa"/>
            <w:shd w:val="clear" w:color="auto" w:fill="auto"/>
            <w:noWrap/>
            <w:hideMark/>
          </w:tcPr>
          <w:p w:rsidR="006635B4" w:rsidRPr="00D44DA3" w:rsidRDefault="007449EC" w:rsidP="00485A0D">
            <w:pPr>
              <w:pStyle w:val="tabletext"/>
              <w:spacing w:before="40" w:after="40"/>
              <w:jc w:val="right"/>
            </w:pPr>
            <w:r>
              <w:t xml:space="preserve">3 </w:t>
            </w:r>
            <w:r w:rsidR="006635B4" w:rsidRPr="00D44DA3">
              <w:t>617</w:t>
            </w:r>
            <w:r>
              <w:t xml:space="preserve"> </w:t>
            </w:r>
            <w:r w:rsidR="006635B4" w:rsidRPr="00D44DA3">
              <w:t>212</w:t>
            </w:r>
          </w:p>
        </w:tc>
        <w:tc>
          <w:tcPr>
            <w:tcW w:w="1134" w:type="dxa"/>
          </w:tcPr>
          <w:p w:rsidR="006635B4" w:rsidRPr="00FB3E69" w:rsidRDefault="007449EC" w:rsidP="00485A0D">
            <w:pPr>
              <w:pStyle w:val="tabletext"/>
              <w:spacing w:before="40" w:after="40"/>
              <w:jc w:val="right"/>
            </w:pPr>
            <w:r>
              <w:t xml:space="preserve">3 </w:t>
            </w:r>
            <w:r w:rsidR="006635B4" w:rsidRPr="00FB3E69">
              <w:t>387</w:t>
            </w:r>
            <w:r>
              <w:t xml:space="preserve"> </w:t>
            </w:r>
            <w:r w:rsidR="006635B4" w:rsidRPr="00FB3E69">
              <w:t>489</w:t>
            </w:r>
          </w:p>
        </w:tc>
      </w:tr>
      <w:tr w:rsidR="006635B4" w:rsidRPr="00D44DA3" w:rsidTr="00541DCF">
        <w:trPr>
          <w:trHeight w:val="300"/>
        </w:trPr>
        <w:tc>
          <w:tcPr>
            <w:tcW w:w="1384" w:type="dxa"/>
            <w:vMerge/>
            <w:tcBorders>
              <w:bottom w:val="single" w:sz="4" w:space="0" w:color="auto"/>
            </w:tcBorders>
            <w:vAlign w:val="center"/>
            <w:hideMark/>
          </w:tcPr>
          <w:p w:rsidR="006635B4" w:rsidRPr="00D44DA3" w:rsidRDefault="006635B4" w:rsidP="00485A0D">
            <w:pPr>
              <w:pStyle w:val="tabletext"/>
              <w:spacing w:before="40" w:after="40"/>
            </w:pPr>
          </w:p>
        </w:tc>
        <w:tc>
          <w:tcPr>
            <w:tcW w:w="1787" w:type="dxa"/>
            <w:tcBorders>
              <w:bottom w:val="single" w:sz="4" w:space="0" w:color="auto"/>
            </w:tcBorders>
            <w:shd w:val="clear" w:color="auto" w:fill="auto"/>
            <w:noWrap/>
            <w:hideMark/>
          </w:tcPr>
          <w:p w:rsidR="006635B4" w:rsidRPr="00D44DA3" w:rsidRDefault="00F7014D" w:rsidP="00485A0D">
            <w:pPr>
              <w:pStyle w:val="tabletext"/>
              <w:spacing w:before="40" w:after="40"/>
            </w:pPr>
            <w:r w:rsidRPr="00D44DA3">
              <w:t>Registered</w:t>
            </w:r>
            <w:r>
              <w:t xml:space="preserve">  </w:t>
            </w:r>
            <w:r w:rsidRPr="00210106">
              <w:rPr>
                <w:b/>
              </w:rPr>
              <w:t>a</w:t>
            </w:r>
          </w:p>
        </w:tc>
        <w:tc>
          <w:tcPr>
            <w:tcW w:w="1190"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 xml:space="preserve">1 240 </w:t>
            </w:r>
            <w:r w:rsidR="006635B4" w:rsidRPr="00D44DA3">
              <w:t>293</w:t>
            </w:r>
          </w:p>
        </w:tc>
        <w:tc>
          <w:tcPr>
            <w:tcW w:w="1134" w:type="dxa"/>
            <w:tcBorders>
              <w:bottom w:val="single" w:sz="4" w:space="0" w:color="auto"/>
            </w:tcBorders>
            <w:shd w:val="clear" w:color="auto" w:fill="auto"/>
            <w:noWrap/>
            <w:hideMark/>
          </w:tcPr>
          <w:p w:rsidR="006635B4" w:rsidRPr="00D44DA3" w:rsidRDefault="00612B0D" w:rsidP="00485A0D">
            <w:pPr>
              <w:pStyle w:val="tabletext"/>
              <w:spacing w:before="40" w:after="40"/>
              <w:jc w:val="right"/>
            </w:pPr>
            <w:r>
              <w:t xml:space="preserve">1 774 </w:t>
            </w:r>
            <w:r w:rsidR="006635B4" w:rsidRPr="00D44DA3">
              <w:t>508</w:t>
            </w:r>
          </w:p>
        </w:tc>
        <w:tc>
          <w:tcPr>
            <w:tcW w:w="1134" w:type="dxa"/>
            <w:tcBorders>
              <w:bottom w:val="single" w:sz="4" w:space="0" w:color="auto"/>
            </w:tcBorders>
            <w:shd w:val="clear" w:color="auto" w:fill="auto"/>
            <w:noWrap/>
            <w:hideMark/>
          </w:tcPr>
          <w:p w:rsidR="006635B4" w:rsidRPr="00D44DA3" w:rsidRDefault="006635B4" w:rsidP="00485A0D">
            <w:pPr>
              <w:pStyle w:val="tabletext"/>
              <w:spacing w:before="40" w:after="40"/>
              <w:jc w:val="right"/>
            </w:pPr>
            <w:r w:rsidRPr="00D44DA3">
              <w:t>833</w:t>
            </w:r>
            <w:r w:rsidR="00612B0D">
              <w:t xml:space="preserve"> </w:t>
            </w:r>
            <w:r w:rsidRPr="00D44DA3">
              <w:t>160</w:t>
            </w:r>
          </w:p>
        </w:tc>
        <w:tc>
          <w:tcPr>
            <w:tcW w:w="1134" w:type="dxa"/>
            <w:tcBorders>
              <w:bottom w:val="single" w:sz="4" w:space="0" w:color="auto"/>
            </w:tcBorders>
            <w:shd w:val="clear" w:color="auto" w:fill="auto"/>
            <w:noWrap/>
            <w:hideMark/>
          </w:tcPr>
          <w:p w:rsidR="006635B4" w:rsidRPr="00D44DA3" w:rsidRDefault="006635B4" w:rsidP="00485A0D">
            <w:pPr>
              <w:pStyle w:val="tabletext"/>
              <w:spacing w:before="40" w:after="40"/>
              <w:jc w:val="right"/>
            </w:pPr>
            <w:r w:rsidRPr="00D44DA3">
              <w:t>539</w:t>
            </w:r>
            <w:r w:rsidR="00612B0D">
              <w:t xml:space="preserve"> </w:t>
            </w:r>
            <w:r w:rsidRPr="00D44DA3">
              <w:t>581</w:t>
            </w:r>
          </w:p>
        </w:tc>
        <w:tc>
          <w:tcPr>
            <w:tcW w:w="1134" w:type="dxa"/>
            <w:tcBorders>
              <w:bottom w:val="single" w:sz="4" w:space="0" w:color="auto"/>
            </w:tcBorders>
          </w:tcPr>
          <w:p w:rsidR="006635B4" w:rsidRPr="00FB3E69" w:rsidRDefault="00CE575E" w:rsidP="00485A0D">
            <w:pPr>
              <w:pStyle w:val="tabletext"/>
              <w:spacing w:before="40" w:after="40"/>
              <w:jc w:val="right"/>
            </w:pPr>
            <w:r>
              <w:t>na</w:t>
            </w:r>
          </w:p>
        </w:tc>
      </w:tr>
    </w:tbl>
    <w:p w:rsidR="00F7014D" w:rsidRDefault="00B919D3" w:rsidP="00F7014D">
      <w:pPr>
        <w:pStyle w:val="FigureFooter"/>
      </w:pPr>
      <w:proofErr w:type="gramStart"/>
      <w:r w:rsidRPr="00AA3A17">
        <w:t>a</w:t>
      </w:r>
      <w:proofErr w:type="gramEnd"/>
      <w:r w:rsidR="000D49BF" w:rsidRPr="000D49BF">
        <w:t xml:space="preserve"> </w:t>
      </w:r>
      <w:r w:rsidR="007E4C19" w:rsidRPr="000D49BF">
        <w:t>Registered mail is no longer classified separate</w:t>
      </w:r>
      <w:r w:rsidR="00501D52">
        <w:t>ly</w:t>
      </w:r>
      <w:r w:rsidR="007E4C19" w:rsidRPr="000D49BF">
        <w:t>. Registe</w:t>
      </w:r>
      <w:r w:rsidR="007E4C19">
        <w:t>red class mail is included in the l</w:t>
      </w:r>
      <w:r w:rsidR="007E4C19" w:rsidRPr="000D49BF">
        <w:t>etter</w:t>
      </w:r>
      <w:r w:rsidR="007E4C19">
        <w:t>, other articles and p</w:t>
      </w:r>
      <w:r w:rsidR="007E4C19" w:rsidRPr="000D49BF">
        <w:t>arcels</w:t>
      </w:r>
      <w:r w:rsidR="007E4C19">
        <w:t xml:space="preserve"> information</w:t>
      </w:r>
      <w:r w:rsidR="007E4C19" w:rsidRPr="000D49BF">
        <w:t>.</w:t>
      </w:r>
    </w:p>
    <w:p w:rsidR="00F7014D" w:rsidRDefault="00F7014D" w:rsidP="00D25E08">
      <w:pPr>
        <w:pStyle w:val="FigureFooter"/>
      </w:pPr>
      <w:r>
        <w:t>Source: Department of Agriculture</w:t>
      </w:r>
      <w:r w:rsidR="00F2605D">
        <w:t>, April 2014</w:t>
      </w:r>
    </w:p>
    <w:p w:rsidR="00D477CE" w:rsidRDefault="00D477CE" w:rsidP="00D477CE">
      <w:pPr>
        <w:pStyle w:val="FindingsNormalNumbering"/>
        <w:ind w:left="0" w:firstLine="0"/>
      </w:pPr>
      <w:r>
        <w:t>It is important to note that Australia Post does not record items on a per item basis</w:t>
      </w:r>
      <w:r w:rsidR="00AA3A17">
        <w:t>;</w:t>
      </w:r>
      <w:r>
        <w:t xml:space="preserve"> rather</w:t>
      </w:r>
      <w:r w:rsidR="00AA3A17">
        <w:t>,</w:t>
      </w:r>
      <w:r>
        <w:t xml:space="preserve"> </w:t>
      </w:r>
      <w:r w:rsidR="00AA3A17">
        <w:t xml:space="preserve">it records </w:t>
      </w:r>
      <w:r>
        <w:t>items by weight. Therefore</w:t>
      </w:r>
      <w:r w:rsidR="00AA3A17">
        <w:t>,</w:t>
      </w:r>
      <w:r>
        <w:t xml:space="preserve"> </w:t>
      </w:r>
      <w:r w:rsidR="00BA7C4B">
        <w:t>table 5</w:t>
      </w:r>
      <w:r w:rsidR="00121F7A">
        <w:t xml:space="preserve"> </w:t>
      </w:r>
      <w:r w:rsidR="00AA3A17">
        <w:t xml:space="preserve">provides </w:t>
      </w:r>
      <w:r w:rsidR="00121F7A">
        <w:t>approximate numbers</w:t>
      </w:r>
      <w:r>
        <w:t xml:space="preserve"> for letters, other articles and parcels based on the average weight per item. Express mail service</w:t>
      </w:r>
      <w:r w:rsidR="00620A4C">
        <w:t>s</w:t>
      </w:r>
      <w:r>
        <w:t xml:space="preserve"> are identifiable </w:t>
      </w:r>
      <w:r w:rsidR="00AA3A17">
        <w:t>by</w:t>
      </w:r>
      <w:r>
        <w:t xml:space="preserve"> individual barcodes</w:t>
      </w:r>
      <w:r w:rsidR="00AA3A17">
        <w:t>.</w:t>
      </w:r>
      <w:r>
        <w:t xml:space="preserve"> </w:t>
      </w:r>
      <w:r w:rsidR="00AA3A17">
        <w:t xml:space="preserve">Therefore, </w:t>
      </w:r>
      <w:r>
        <w:t xml:space="preserve">these items are </w:t>
      </w:r>
      <w:r w:rsidR="00663404">
        <w:t xml:space="preserve">accurately </w:t>
      </w:r>
      <w:r>
        <w:t>recorded on a per item basis.</w:t>
      </w:r>
    </w:p>
    <w:p w:rsidR="00B919D3" w:rsidRDefault="00AA3A17" w:rsidP="009B1CFB">
      <w:pPr>
        <w:pStyle w:val="FindingsNormalNumbering"/>
        <w:ind w:left="0" w:firstLine="0"/>
      </w:pPr>
      <w:r>
        <w:t xml:space="preserve">Table 5 </w:t>
      </w:r>
      <w:r w:rsidR="00257E67">
        <w:t xml:space="preserve">shows the increase in international mail volumes </w:t>
      </w:r>
      <w:r>
        <w:t>in</w:t>
      </w:r>
      <w:r w:rsidR="00257E67">
        <w:t xml:space="preserve"> the five years</w:t>
      </w:r>
      <w:r>
        <w:t xml:space="preserve"> to 30 June 2013</w:t>
      </w:r>
      <w:r w:rsidR="00257E67">
        <w:t>.</w:t>
      </w:r>
      <w:r w:rsidR="00D477CE" w:rsidRPr="00D477CE">
        <w:t xml:space="preserve"> </w:t>
      </w:r>
      <w:r w:rsidR="00D477CE">
        <w:t xml:space="preserve">The total volume international mail increased by approximately 136 </w:t>
      </w:r>
      <w:r w:rsidR="000163E8">
        <w:t>per cent</w:t>
      </w:r>
      <w:r w:rsidR="00D477CE">
        <w:t>. In particular, t</w:t>
      </w:r>
      <w:r w:rsidR="00257E67">
        <w:t>he volume of other articles increased</w:t>
      </w:r>
      <w:r w:rsidR="001E28E7">
        <w:t xml:space="preserve"> rapidly</w:t>
      </w:r>
      <w:r>
        <w:t>,</w:t>
      </w:r>
      <w:r w:rsidR="001E28E7">
        <w:t xml:space="preserve"> </w:t>
      </w:r>
      <w:r w:rsidR="00257E67">
        <w:t xml:space="preserve">by approximately 424 </w:t>
      </w:r>
      <w:r w:rsidR="000163E8">
        <w:t>per cent</w:t>
      </w:r>
      <w:r w:rsidR="00257E67">
        <w:t xml:space="preserve">, whereas parcels and express mail services </w:t>
      </w:r>
      <w:r>
        <w:t xml:space="preserve">saw </w:t>
      </w:r>
      <w:r w:rsidR="00257E67">
        <w:t>increa</w:t>
      </w:r>
      <w:r w:rsidR="00121F7A">
        <w:t>ses of approximately 144 and 146</w:t>
      </w:r>
      <w:r>
        <w:t> </w:t>
      </w:r>
      <w:r w:rsidR="000163E8">
        <w:t>per</w:t>
      </w:r>
      <w:r>
        <w:t> </w:t>
      </w:r>
      <w:r w:rsidR="000163E8">
        <w:t>cent</w:t>
      </w:r>
      <w:r w:rsidR="00257E67">
        <w:t xml:space="preserve"> respectively. With </w:t>
      </w:r>
      <w:r>
        <w:t>volume</w:t>
      </w:r>
      <w:r w:rsidR="00F7014D">
        <w:t>s</w:t>
      </w:r>
      <w:r>
        <w:t xml:space="preserve"> </w:t>
      </w:r>
      <w:r w:rsidR="00257E67">
        <w:t xml:space="preserve">likely to increase in the future, the department </w:t>
      </w:r>
      <w:r>
        <w:t>must</w:t>
      </w:r>
      <w:r w:rsidR="00257E67">
        <w:t xml:space="preserve"> </w:t>
      </w:r>
      <w:r w:rsidR="001E28E7">
        <w:t xml:space="preserve">continue </w:t>
      </w:r>
      <w:r>
        <w:t xml:space="preserve">to </w:t>
      </w:r>
      <w:r w:rsidR="001E28E7">
        <w:t>enhanc</w:t>
      </w:r>
      <w:r>
        <w:t>e</w:t>
      </w:r>
      <w:r w:rsidR="001E28E7">
        <w:t xml:space="preserve"> and refin</w:t>
      </w:r>
      <w:r>
        <w:t>e</w:t>
      </w:r>
      <w:r w:rsidR="00EB147A">
        <w:t xml:space="preserve"> its </w:t>
      </w:r>
      <w:r w:rsidR="00D477CE">
        <w:t>systems and processes</w:t>
      </w:r>
      <w:r w:rsidR="00EB147A">
        <w:t xml:space="preserve"> </w:t>
      </w:r>
      <w:r w:rsidR="00D477CE">
        <w:t>to</w:t>
      </w:r>
      <w:r w:rsidR="00EB147A">
        <w:t xml:space="preserve"> ensure </w:t>
      </w:r>
      <w:r>
        <w:t xml:space="preserve">it locates and assesses </w:t>
      </w:r>
      <w:r w:rsidR="00EB147A">
        <w:t xml:space="preserve">items of biosecurity concern </w:t>
      </w:r>
      <w:r w:rsidR="00B72941">
        <w:t>effectively and efficiently.</w:t>
      </w:r>
    </w:p>
    <w:p w:rsidR="00D477CE" w:rsidRDefault="00D477CE" w:rsidP="00D477CE">
      <w:pPr>
        <w:pStyle w:val="FindingsNormalNumbering"/>
        <w:ind w:left="0" w:firstLine="0"/>
      </w:pPr>
      <w:r>
        <w:t>The Sydney Gateway Facility processes the majority of international mail. In 2012</w:t>
      </w:r>
      <w:r w:rsidR="00706ED8">
        <w:t>–</w:t>
      </w:r>
      <w:r>
        <w:t xml:space="preserve">13 Sydney processed approximately 68 </w:t>
      </w:r>
      <w:r w:rsidR="000163E8">
        <w:t>per cent</w:t>
      </w:r>
      <w:r>
        <w:t xml:space="preserve"> of international mail, wh</w:t>
      </w:r>
      <w:r w:rsidR="00D03CC5">
        <w:t>ile</w:t>
      </w:r>
      <w:r>
        <w:t xml:space="preserve"> Melbourne, Brisbane and Perth processed approximately 19 </w:t>
      </w:r>
      <w:r w:rsidR="000163E8">
        <w:t>per cent</w:t>
      </w:r>
      <w:r>
        <w:t xml:space="preserve">, 7 </w:t>
      </w:r>
      <w:r w:rsidR="000163E8">
        <w:t>per cent</w:t>
      </w:r>
      <w:r>
        <w:t xml:space="preserve"> and 6 </w:t>
      </w:r>
      <w:r w:rsidR="000163E8">
        <w:t>per cent</w:t>
      </w:r>
      <w:r>
        <w:t xml:space="preserve"> respectively.</w:t>
      </w:r>
    </w:p>
    <w:p w:rsidR="00FB20EF" w:rsidRDefault="00FB20EF" w:rsidP="00FB20EF">
      <w:pPr>
        <w:pStyle w:val="FindingsNormalNumbering"/>
        <w:ind w:left="0" w:firstLine="0"/>
      </w:pPr>
      <w:r>
        <w:t xml:space="preserve">Australia Post </w:t>
      </w:r>
      <w:r w:rsidR="00F83C2D">
        <w:t xml:space="preserve">cannot </w:t>
      </w:r>
      <w:r>
        <w:t>easily separat</w:t>
      </w:r>
      <w:r w:rsidR="00F83C2D">
        <w:t>e</w:t>
      </w:r>
      <w:r>
        <w:t xml:space="preserve"> international mail that is of interest to the department. Consequently, </w:t>
      </w:r>
      <w:r w:rsidR="00F83C2D">
        <w:t xml:space="preserve">the department screens </w:t>
      </w:r>
      <w:r>
        <w:t xml:space="preserve">more international mail items than necessary to ensure </w:t>
      </w:r>
      <w:r w:rsidR="00F83C2D">
        <w:t xml:space="preserve">it assesses </w:t>
      </w:r>
      <w:r>
        <w:t>items of interest.</w:t>
      </w:r>
      <w:r w:rsidR="00BA7C4B">
        <w:t xml:space="preserve"> Improvements in </w:t>
      </w:r>
      <w:r w:rsidR="00F83C2D">
        <w:t xml:space="preserve">Australia Post’s </w:t>
      </w:r>
      <w:r w:rsidR="00BA7C4B">
        <w:t>presentation of</w:t>
      </w:r>
      <w:r w:rsidR="000B31B4">
        <w:t xml:space="preserve"> </w:t>
      </w:r>
      <w:r w:rsidR="00BA7C4B">
        <w:t>mail</w:t>
      </w:r>
      <w:r w:rsidR="0071086E" w:rsidRPr="0071086E">
        <w:t xml:space="preserve"> </w:t>
      </w:r>
      <w:r w:rsidR="00F83C2D">
        <w:t xml:space="preserve">of interest to </w:t>
      </w:r>
      <w:r w:rsidR="0071086E">
        <w:t xml:space="preserve">the department </w:t>
      </w:r>
      <w:r w:rsidR="00BA7C4B">
        <w:t>would reduce</w:t>
      </w:r>
      <w:r w:rsidR="000B31B4">
        <w:t xml:space="preserve"> the amount of mail </w:t>
      </w:r>
      <w:r w:rsidR="00BA7C4B">
        <w:t xml:space="preserve">the </w:t>
      </w:r>
      <w:r w:rsidR="00214A4E">
        <w:t>departmen</w:t>
      </w:r>
      <w:r w:rsidR="000B31B4">
        <w:t>t</w:t>
      </w:r>
      <w:r w:rsidR="00A8084D">
        <w:t xml:space="preserve"> </w:t>
      </w:r>
      <w:r w:rsidR="0004682C">
        <w:t>screened</w:t>
      </w:r>
      <w:r w:rsidR="00F83C2D">
        <w:t xml:space="preserve"> and</w:t>
      </w:r>
      <w:r w:rsidR="00A8084D">
        <w:t xml:space="preserve"> increas</w:t>
      </w:r>
      <w:r w:rsidR="00F83C2D">
        <w:t>e</w:t>
      </w:r>
      <w:r w:rsidR="00A8084D">
        <w:t xml:space="preserve"> the </w:t>
      </w:r>
      <w:r w:rsidR="00F83C2D">
        <w:t xml:space="preserve">mail clearance </w:t>
      </w:r>
      <w:r w:rsidR="00A8084D">
        <w:t>rate.</w:t>
      </w:r>
    </w:p>
    <w:p w:rsidR="00EB1DFF" w:rsidRDefault="00EB1DFF" w:rsidP="00EB1DFF">
      <w:pPr>
        <w:pStyle w:val="FindingsNormalNumbering"/>
        <w:ind w:left="0" w:firstLine="0"/>
      </w:pPr>
      <w:r>
        <w:t xml:space="preserve">Table </w:t>
      </w:r>
      <w:r w:rsidR="00BA7C4B">
        <w:t>6</w:t>
      </w:r>
      <w:r>
        <w:t xml:space="preserve"> </w:t>
      </w:r>
      <w:r w:rsidR="00F2605D">
        <w:t>shows</w:t>
      </w:r>
      <w:r>
        <w:t xml:space="preserve"> </w:t>
      </w:r>
      <w:r w:rsidRPr="00D44DA3">
        <w:t xml:space="preserve">the </w:t>
      </w:r>
      <w:r w:rsidR="002410BF">
        <w:t>number</w:t>
      </w:r>
      <w:r w:rsidRPr="00D44DA3">
        <w:t xml:space="preserve"> of international mail </w:t>
      </w:r>
      <w:r w:rsidR="00F83C2D">
        <w:t xml:space="preserve">items </w:t>
      </w:r>
      <w:r>
        <w:t xml:space="preserve">that </w:t>
      </w:r>
      <w:r w:rsidR="00F83C2D">
        <w:t xml:space="preserve">were </w:t>
      </w:r>
      <w:r>
        <w:t>quarantined/seized (in each international mail centre)</w:t>
      </w:r>
      <w:r w:rsidRPr="00FC172B">
        <w:t xml:space="preserve"> </w:t>
      </w:r>
      <w:r w:rsidR="00BA7C4B">
        <w:t>between</w:t>
      </w:r>
      <w:r>
        <w:t xml:space="preserve"> 1 July 2008</w:t>
      </w:r>
      <w:r w:rsidR="00BA7C4B">
        <w:t xml:space="preserve"> and 30 June 2013</w:t>
      </w:r>
      <w:r>
        <w:t>.</w:t>
      </w:r>
    </w:p>
    <w:p w:rsidR="00EB1DFF" w:rsidRDefault="00EB1DFF" w:rsidP="008025A9">
      <w:pPr>
        <w:pStyle w:val="Figureandtablecaptions"/>
      </w:pPr>
      <w:r w:rsidRPr="0097788B">
        <w:t xml:space="preserve">Table </w:t>
      </w:r>
      <w:proofErr w:type="gramStart"/>
      <w:r w:rsidR="00663404">
        <w:t>6</w:t>
      </w:r>
      <w:r w:rsidRPr="0097788B">
        <w:t xml:space="preserve"> </w:t>
      </w:r>
      <w:r w:rsidR="00CD4A4F">
        <w:t xml:space="preserve"> </w:t>
      </w:r>
      <w:r w:rsidR="00D03CC5">
        <w:t>Numbers</w:t>
      </w:r>
      <w:proofErr w:type="gramEnd"/>
      <w:r>
        <w:t xml:space="preserve"> of international mail items quarantined in Australia, 2008</w:t>
      </w:r>
      <w:r w:rsidR="00A7110B">
        <w:t>–</w:t>
      </w:r>
      <w:r>
        <w:t>13</w:t>
      </w:r>
    </w:p>
    <w:tbl>
      <w:tblPr>
        <w:tblW w:w="7857" w:type="dxa"/>
        <w:tblLook w:val="04A0"/>
      </w:tblPr>
      <w:tblGrid>
        <w:gridCol w:w="1560"/>
        <w:gridCol w:w="1787"/>
        <w:gridCol w:w="902"/>
        <w:gridCol w:w="902"/>
        <w:gridCol w:w="902"/>
        <w:gridCol w:w="902"/>
        <w:gridCol w:w="902"/>
      </w:tblGrid>
      <w:tr w:rsidR="00EB1DFF" w:rsidRPr="00D44DA3" w:rsidTr="00501D52">
        <w:trPr>
          <w:trHeight w:val="300"/>
        </w:trPr>
        <w:tc>
          <w:tcPr>
            <w:tcW w:w="1560" w:type="dxa"/>
            <w:tcBorders>
              <w:top w:val="single" w:sz="4" w:space="0" w:color="auto"/>
              <w:bottom w:val="single" w:sz="4" w:space="0" w:color="auto"/>
            </w:tcBorders>
            <w:shd w:val="clear" w:color="auto" w:fill="auto"/>
            <w:noWrap/>
            <w:vAlign w:val="center"/>
            <w:hideMark/>
          </w:tcPr>
          <w:p w:rsidR="00EB1DFF" w:rsidRPr="00FB3E69" w:rsidRDefault="00EB1DFF" w:rsidP="00E5760E">
            <w:pPr>
              <w:pStyle w:val="Tableheader"/>
            </w:pPr>
            <w:r w:rsidRPr="00FB3E69">
              <w:t>Location</w:t>
            </w:r>
          </w:p>
        </w:tc>
        <w:tc>
          <w:tcPr>
            <w:tcW w:w="1787" w:type="dxa"/>
            <w:tcBorders>
              <w:top w:val="single" w:sz="4" w:space="0" w:color="auto"/>
              <w:bottom w:val="single" w:sz="4" w:space="0" w:color="auto"/>
            </w:tcBorders>
            <w:shd w:val="clear" w:color="auto" w:fill="auto"/>
            <w:noWrap/>
            <w:vAlign w:val="center"/>
            <w:hideMark/>
          </w:tcPr>
          <w:p w:rsidR="00EB1DFF" w:rsidRPr="00FB3E69" w:rsidRDefault="00EB1DFF" w:rsidP="00A7110B">
            <w:pPr>
              <w:pStyle w:val="Tableheader"/>
            </w:pPr>
            <w:r w:rsidRPr="00FB3E69">
              <w:t xml:space="preserve">Mail </w:t>
            </w:r>
            <w:r w:rsidR="00A7110B">
              <w:t>c</w:t>
            </w:r>
            <w:r w:rsidR="00A7110B" w:rsidRPr="00FB3E69">
              <w:t>lass</w:t>
            </w:r>
          </w:p>
        </w:tc>
        <w:tc>
          <w:tcPr>
            <w:tcW w:w="902" w:type="dxa"/>
            <w:tcBorders>
              <w:top w:val="single" w:sz="4" w:space="0" w:color="auto"/>
              <w:bottom w:val="single" w:sz="4" w:space="0" w:color="auto"/>
            </w:tcBorders>
            <w:shd w:val="clear" w:color="auto" w:fill="auto"/>
            <w:noWrap/>
            <w:hideMark/>
          </w:tcPr>
          <w:p w:rsidR="00EB1DFF" w:rsidRPr="00FB3E69" w:rsidRDefault="00A7110B" w:rsidP="00501D52">
            <w:pPr>
              <w:pStyle w:val="Tableheader"/>
              <w:jc w:val="right"/>
            </w:pPr>
            <w:r>
              <w:t>20</w:t>
            </w:r>
            <w:r w:rsidR="00EB1DFF" w:rsidRPr="00FB3E69">
              <w:t>08</w:t>
            </w:r>
            <w:r>
              <w:t>–</w:t>
            </w:r>
            <w:r w:rsidR="00EB1DFF" w:rsidRPr="00FB3E69">
              <w:t>09</w:t>
            </w:r>
          </w:p>
        </w:tc>
        <w:tc>
          <w:tcPr>
            <w:tcW w:w="902" w:type="dxa"/>
            <w:tcBorders>
              <w:top w:val="single" w:sz="4" w:space="0" w:color="auto"/>
              <w:bottom w:val="single" w:sz="4" w:space="0" w:color="auto"/>
            </w:tcBorders>
            <w:shd w:val="clear" w:color="auto" w:fill="auto"/>
            <w:noWrap/>
            <w:hideMark/>
          </w:tcPr>
          <w:p w:rsidR="00EB1DFF" w:rsidRPr="00FB3E69" w:rsidRDefault="00A7110B" w:rsidP="00501D52">
            <w:pPr>
              <w:pStyle w:val="Tableheader"/>
              <w:jc w:val="right"/>
            </w:pPr>
            <w:r>
              <w:t>20</w:t>
            </w:r>
            <w:r w:rsidR="00EB1DFF" w:rsidRPr="00FB3E69">
              <w:t>09</w:t>
            </w:r>
            <w:r>
              <w:t>–</w:t>
            </w:r>
            <w:r w:rsidR="00EB1DFF" w:rsidRPr="00FB3E69">
              <w:t>10</w:t>
            </w:r>
          </w:p>
        </w:tc>
        <w:tc>
          <w:tcPr>
            <w:tcW w:w="902" w:type="dxa"/>
            <w:tcBorders>
              <w:top w:val="single" w:sz="4" w:space="0" w:color="auto"/>
              <w:bottom w:val="single" w:sz="4" w:space="0" w:color="auto"/>
            </w:tcBorders>
            <w:shd w:val="clear" w:color="auto" w:fill="auto"/>
            <w:noWrap/>
            <w:hideMark/>
          </w:tcPr>
          <w:p w:rsidR="00EB1DFF" w:rsidRPr="00FB3E69" w:rsidRDefault="00A7110B" w:rsidP="00501D52">
            <w:pPr>
              <w:pStyle w:val="Tableheader"/>
              <w:jc w:val="right"/>
            </w:pPr>
            <w:r>
              <w:t>20</w:t>
            </w:r>
            <w:r w:rsidR="00EB1DFF" w:rsidRPr="00FB3E69">
              <w:t>10</w:t>
            </w:r>
            <w:r>
              <w:t>–</w:t>
            </w:r>
            <w:r w:rsidR="00EB1DFF" w:rsidRPr="00FB3E69">
              <w:t>11</w:t>
            </w:r>
          </w:p>
        </w:tc>
        <w:tc>
          <w:tcPr>
            <w:tcW w:w="902" w:type="dxa"/>
            <w:tcBorders>
              <w:top w:val="single" w:sz="4" w:space="0" w:color="auto"/>
              <w:bottom w:val="single" w:sz="4" w:space="0" w:color="auto"/>
            </w:tcBorders>
            <w:shd w:val="clear" w:color="auto" w:fill="auto"/>
            <w:noWrap/>
            <w:hideMark/>
          </w:tcPr>
          <w:p w:rsidR="00EB1DFF" w:rsidRPr="00FB3E69" w:rsidRDefault="00A7110B" w:rsidP="00501D52">
            <w:pPr>
              <w:pStyle w:val="Tableheader"/>
              <w:jc w:val="right"/>
            </w:pPr>
            <w:r>
              <w:t>20</w:t>
            </w:r>
            <w:r w:rsidR="00EB1DFF" w:rsidRPr="00FB3E69">
              <w:t>11</w:t>
            </w:r>
            <w:r>
              <w:t>–</w:t>
            </w:r>
            <w:r w:rsidR="00EB1DFF" w:rsidRPr="00FB3E69">
              <w:t>12</w:t>
            </w:r>
          </w:p>
        </w:tc>
        <w:tc>
          <w:tcPr>
            <w:tcW w:w="902" w:type="dxa"/>
            <w:tcBorders>
              <w:top w:val="single" w:sz="4" w:space="0" w:color="auto"/>
              <w:bottom w:val="single" w:sz="4" w:space="0" w:color="auto"/>
            </w:tcBorders>
          </w:tcPr>
          <w:p w:rsidR="00EB1DFF" w:rsidRPr="00FB3E69" w:rsidRDefault="00A7110B" w:rsidP="00501D52">
            <w:pPr>
              <w:pStyle w:val="Tableheader"/>
              <w:jc w:val="right"/>
            </w:pPr>
            <w:r>
              <w:t>20</w:t>
            </w:r>
            <w:r w:rsidR="00EB1DFF" w:rsidRPr="00FB3E69">
              <w:t>12</w:t>
            </w:r>
            <w:r>
              <w:t>–</w:t>
            </w:r>
            <w:r w:rsidR="00EB1DFF" w:rsidRPr="00FB3E69">
              <w:t>13</w:t>
            </w:r>
          </w:p>
        </w:tc>
      </w:tr>
      <w:tr w:rsidR="00EB1DFF" w:rsidRPr="00FB3E69" w:rsidTr="0004682C">
        <w:trPr>
          <w:trHeight w:val="300"/>
        </w:trPr>
        <w:tc>
          <w:tcPr>
            <w:tcW w:w="1560" w:type="dxa"/>
            <w:vMerge w:val="restart"/>
            <w:tcBorders>
              <w:top w:val="single" w:sz="4" w:space="0" w:color="auto"/>
            </w:tcBorders>
            <w:shd w:val="clear" w:color="auto" w:fill="auto"/>
            <w:noWrap/>
            <w:vAlign w:val="center"/>
            <w:hideMark/>
          </w:tcPr>
          <w:p w:rsidR="00EB1DFF" w:rsidRPr="00D44DA3" w:rsidRDefault="00175A73" w:rsidP="00A7110B">
            <w:pPr>
              <w:pStyle w:val="Tableheader"/>
            </w:pPr>
            <w:r w:rsidRPr="00D44DA3">
              <w:t>Brisbane Airport Transit Centre</w:t>
            </w:r>
          </w:p>
        </w:tc>
        <w:tc>
          <w:tcPr>
            <w:tcW w:w="1787" w:type="dxa"/>
            <w:tcBorders>
              <w:top w:val="single" w:sz="4" w:space="0" w:color="auto"/>
            </w:tcBorders>
            <w:shd w:val="clear" w:color="auto" w:fill="auto"/>
            <w:noWrap/>
            <w:hideMark/>
          </w:tcPr>
          <w:p w:rsidR="00EB1DFF" w:rsidRPr="00D44DA3" w:rsidRDefault="00EB1DFF" w:rsidP="0004682C">
            <w:pPr>
              <w:pStyle w:val="tabletext"/>
            </w:pPr>
            <w:r w:rsidRPr="00D44DA3">
              <w:t>Letter</w:t>
            </w:r>
            <w:r>
              <w:t>s</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155</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46</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53</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109</w:t>
            </w:r>
          </w:p>
        </w:tc>
        <w:tc>
          <w:tcPr>
            <w:tcW w:w="902" w:type="dxa"/>
            <w:tcBorders>
              <w:top w:val="single" w:sz="4" w:space="0" w:color="auto"/>
            </w:tcBorders>
          </w:tcPr>
          <w:p w:rsidR="00EB1DFF" w:rsidRPr="00FB3E69" w:rsidRDefault="00EB1DFF" w:rsidP="00501D52">
            <w:pPr>
              <w:pStyle w:val="tabletext"/>
              <w:jc w:val="right"/>
            </w:pPr>
            <w:r w:rsidRPr="00FB3E69">
              <w:t>27</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Other a</w:t>
            </w:r>
            <w:r w:rsidRPr="00D44DA3">
              <w:t>rticles</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533</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177</w:t>
            </w:r>
          </w:p>
        </w:tc>
        <w:tc>
          <w:tcPr>
            <w:tcW w:w="902" w:type="dxa"/>
            <w:shd w:val="clear" w:color="auto" w:fill="auto"/>
            <w:noWrap/>
            <w:hideMark/>
          </w:tcPr>
          <w:p w:rsidR="00EB1DFF" w:rsidRPr="00FB3E69" w:rsidRDefault="00EB1DFF" w:rsidP="00501D52">
            <w:pPr>
              <w:pStyle w:val="tabletext"/>
              <w:jc w:val="right"/>
            </w:pPr>
            <w:r w:rsidRPr="00FB3E69">
              <w:t>929</w:t>
            </w:r>
          </w:p>
        </w:tc>
        <w:tc>
          <w:tcPr>
            <w:tcW w:w="902" w:type="dxa"/>
            <w:shd w:val="clear" w:color="auto" w:fill="auto"/>
            <w:noWrap/>
            <w:hideMark/>
          </w:tcPr>
          <w:p w:rsidR="00EB1DFF" w:rsidRPr="00FB3E69" w:rsidRDefault="00EB1DFF" w:rsidP="00501D52">
            <w:pPr>
              <w:pStyle w:val="tabletext"/>
              <w:jc w:val="right"/>
            </w:pPr>
            <w:r w:rsidRPr="00FB3E69">
              <w:t>526</w:t>
            </w:r>
          </w:p>
        </w:tc>
        <w:tc>
          <w:tcPr>
            <w:tcW w:w="902" w:type="dxa"/>
          </w:tcPr>
          <w:p w:rsidR="00EB1DFF" w:rsidRPr="00FB3E69" w:rsidRDefault="00EB1DFF" w:rsidP="00501D52">
            <w:pPr>
              <w:pStyle w:val="tabletext"/>
              <w:jc w:val="right"/>
            </w:pPr>
            <w:r w:rsidRPr="00FB3E69">
              <w:t>474</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Express mail service</w:t>
            </w:r>
            <w:r w:rsidR="00620A4C">
              <w:t>s</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635</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830</w:t>
            </w:r>
          </w:p>
        </w:tc>
        <w:tc>
          <w:tcPr>
            <w:tcW w:w="902" w:type="dxa"/>
            <w:shd w:val="clear" w:color="auto" w:fill="auto"/>
            <w:noWrap/>
            <w:hideMark/>
          </w:tcPr>
          <w:p w:rsidR="00EB1DFF" w:rsidRPr="00FB3E69" w:rsidRDefault="00EB1DFF" w:rsidP="00501D52">
            <w:pPr>
              <w:pStyle w:val="tabletext"/>
              <w:jc w:val="right"/>
            </w:pPr>
            <w:r w:rsidRPr="00FB3E69">
              <w:t>2</w:t>
            </w:r>
            <w:r w:rsidR="00501D52">
              <w:t xml:space="preserve"> </w:t>
            </w:r>
            <w:r w:rsidRPr="00FB3E69">
              <w:t>341</w:t>
            </w:r>
          </w:p>
        </w:tc>
        <w:tc>
          <w:tcPr>
            <w:tcW w:w="902" w:type="dxa"/>
            <w:shd w:val="clear" w:color="auto" w:fill="auto"/>
            <w:noWrap/>
            <w:hideMark/>
          </w:tcPr>
          <w:p w:rsidR="00EB1DFF" w:rsidRPr="00FB3E69" w:rsidRDefault="00EB1DFF" w:rsidP="00501D52">
            <w:pPr>
              <w:pStyle w:val="tabletext"/>
              <w:jc w:val="right"/>
            </w:pPr>
            <w:r w:rsidRPr="00FB3E69">
              <w:t>2</w:t>
            </w:r>
            <w:r w:rsidR="00501D52">
              <w:t xml:space="preserve"> </w:t>
            </w:r>
            <w:r w:rsidRPr="00FB3E69">
              <w:t>061</w:t>
            </w:r>
          </w:p>
        </w:tc>
        <w:tc>
          <w:tcPr>
            <w:tcW w:w="902" w:type="dxa"/>
          </w:tcPr>
          <w:p w:rsidR="00EB1DFF" w:rsidRPr="00FB3E69" w:rsidRDefault="00EB1DFF" w:rsidP="00501D52">
            <w:pPr>
              <w:pStyle w:val="tabletext"/>
              <w:jc w:val="right"/>
            </w:pPr>
            <w:r w:rsidRPr="00FB3E69">
              <w:t>1</w:t>
            </w:r>
            <w:r w:rsidR="00501D52">
              <w:t xml:space="preserve"> </w:t>
            </w:r>
            <w:r w:rsidRPr="00FB3E69">
              <w:t>609</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rsidRPr="00D44DA3">
              <w:t>Parcels</w:t>
            </w:r>
          </w:p>
        </w:tc>
        <w:tc>
          <w:tcPr>
            <w:tcW w:w="902" w:type="dxa"/>
            <w:shd w:val="clear" w:color="auto" w:fill="auto"/>
            <w:noWrap/>
            <w:hideMark/>
          </w:tcPr>
          <w:p w:rsidR="00EB1DFF" w:rsidRPr="00FB3E69" w:rsidRDefault="00EB1DFF" w:rsidP="00501D52">
            <w:pPr>
              <w:pStyle w:val="tabletext"/>
              <w:jc w:val="right"/>
            </w:pPr>
            <w:r w:rsidRPr="00FB3E69">
              <w:t>333</w:t>
            </w:r>
          </w:p>
        </w:tc>
        <w:tc>
          <w:tcPr>
            <w:tcW w:w="902" w:type="dxa"/>
            <w:shd w:val="clear" w:color="auto" w:fill="auto"/>
            <w:noWrap/>
            <w:hideMark/>
          </w:tcPr>
          <w:p w:rsidR="00EB1DFF" w:rsidRPr="00FB3E69" w:rsidRDefault="00EB1DFF" w:rsidP="00501D52">
            <w:pPr>
              <w:pStyle w:val="tabletext"/>
              <w:jc w:val="right"/>
            </w:pPr>
            <w:r w:rsidRPr="00FB3E69">
              <w:t>190</w:t>
            </w:r>
          </w:p>
        </w:tc>
        <w:tc>
          <w:tcPr>
            <w:tcW w:w="902" w:type="dxa"/>
            <w:shd w:val="clear" w:color="auto" w:fill="auto"/>
            <w:noWrap/>
            <w:hideMark/>
          </w:tcPr>
          <w:p w:rsidR="00EB1DFF" w:rsidRPr="00FB3E69" w:rsidRDefault="00EB1DFF" w:rsidP="00501D52">
            <w:pPr>
              <w:pStyle w:val="tabletext"/>
              <w:jc w:val="right"/>
            </w:pPr>
            <w:r w:rsidRPr="00FB3E69">
              <w:t>141</w:t>
            </w:r>
          </w:p>
        </w:tc>
        <w:tc>
          <w:tcPr>
            <w:tcW w:w="902" w:type="dxa"/>
            <w:shd w:val="clear" w:color="auto" w:fill="auto"/>
            <w:noWrap/>
            <w:hideMark/>
          </w:tcPr>
          <w:p w:rsidR="00EB1DFF" w:rsidRPr="00FB3E69" w:rsidRDefault="00EB1DFF" w:rsidP="00501D52">
            <w:pPr>
              <w:pStyle w:val="tabletext"/>
              <w:jc w:val="right"/>
            </w:pPr>
            <w:r w:rsidRPr="00FB3E69">
              <w:t>214</w:t>
            </w:r>
          </w:p>
        </w:tc>
        <w:tc>
          <w:tcPr>
            <w:tcW w:w="902" w:type="dxa"/>
          </w:tcPr>
          <w:p w:rsidR="00EB1DFF" w:rsidRPr="00FB3E69" w:rsidRDefault="00EB1DFF" w:rsidP="00501D52">
            <w:pPr>
              <w:pStyle w:val="tabletext"/>
              <w:jc w:val="right"/>
            </w:pPr>
            <w:r w:rsidRPr="00FB3E69">
              <w:t>227</w:t>
            </w:r>
          </w:p>
        </w:tc>
      </w:tr>
      <w:tr w:rsidR="00EB1DFF" w:rsidRPr="00FB3E69" w:rsidTr="0004682C">
        <w:trPr>
          <w:trHeight w:val="300"/>
        </w:trPr>
        <w:tc>
          <w:tcPr>
            <w:tcW w:w="1560" w:type="dxa"/>
            <w:vMerge/>
            <w:tcBorders>
              <w:bottom w:val="single" w:sz="4" w:space="0" w:color="auto"/>
            </w:tcBorders>
            <w:vAlign w:val="center"/>
            <w:hideMark/>
          </w:tcPr>
          <w:p w:rsidR="00EB1DFF" w:rsidRPr="00D44DA3" w:rsidRDefault="00EB1DFF" w:rsidP="00E5760E">
            <w:pPr>
              <w:pStyle w:val="Tableheader"/>
            </w:pPr>
          </w:p>
        </w:tc>
        <w:tc>
          <w:tcPr>
            <w:tcW w:w="1787" w:type="dxa"/>
            <w:tcBorders>
              <w:bottom w:val="single" w:sz="4" w:space="0" w:color="auto"/>
            </w:tcBorders>
            <w:shd w:val="clear" w:color="auto" w:fill="auto"/>
            <w:noWrap/>
            <w:hideMark/>
          </w:tcPr>
          <w:p w:rsidR="00EB1DFF" w:rsidRPr="00D44DA3" w:rsidRDefault="00175A73" w:rsidP="0004682C">
            <w:pPr>
              <w:pStyle w:val="tabletext"/>
            </w:pPr>
            <w:r w:rsidRPr="00D44DA3">
              <w:t>Registered</w:t>
            </w:r>
            <w:r>
              <w:t xml:space="preserve">  </w:t>
            </w:r>
            <w:r w:rsidRPr="00175A73">
              <w:rPr>
                <w:b/>
              </w:rPr>
              <w:t>a</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80</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116</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121</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102</w:t>
            </w:r>
          </w:p>
        </w:tc>
        <w:tc>
          <w:tcPr>
            <w:tcW w:w="902" w:type="dxa"/>
            <w:tcBorders>
              <w:bottom w:val="single" w:sz="4" w:space="0" w:color="auto"/>
            </w:tcBorders>
          </w:tcPr>
          <w:p w:rsidR="00EB1DFF" w:rsidRPr="00FB3E69" w:rsidRDefault="00501D52" w:rsidP="00501D52">
            <w:pPr>
              <w:pStyle w:val="tabletext"/>
              <w:jc w:val="right"/>
            </w:pPr>
            <w:r>
              <w:t>na</w:t>
            </w:r>
          </w:p>
        </w:tc>
      </w:tr>
      <w:tr w:rsidR="00EB1DFF" w:rsidRPr="00FB3E69" w:rsidTr="0004682C">
        <w:trPr>
          <w:trHeight w:val="300"/>
        </w:trPr>
        <w:tc>
          <w:tcPr>
            <w:tcW w:w="1560" w:type="dxa"/>
            <w:vMerge w:val="restart"/>
            <w:tcBorders>
              <w:top w:val="single" w:sz="4" w:space="0" w:color="auto"/>
            </w:tcBorders>
            <w:shd w:val="clear" w:color="auto" w:fill="auto"/>
            <w:noWrap/>
            <w:vAlign w:val="center"/>
            <w:hideMark/>
          </w:tcPr>
          <w:p w:rsidR="00EB1DFF" w:rsidRPr="00D44DA3" w:rsidRDefault="00EB1DFF" w:rsidP="00E5760E">
            <w:pPr>
              <w:pStyle w:val="Tableheader"/>
            </w:pPr>
            <w:r w:rsidRPr="00D44DA3">
              <w:t>Melbourne Gateway Facility</w:t>
            </w:r>
          </w:p>
        </w:tc>
        <w:tc>
          <w:tcPr>
            <w:tcW w:w="1787" w:type="dxa"/>
            <w:tcBorders>
              <w:top w:val="single" w:sz="4" w:space="0" w:color="auto"/>
            </w:tcBorders>
            <w:shd w:val="clear" w:color="auto" w:fill="auto"/>
            <w:noWrap/>
            <w:hideMark/>
          </w:tcPr>
          <w:p w:rsidR="00EB1DFF" w:rsidRPr="00D44DA3" w:rsidRDefault="00EB1DFF" w:rsidP="0004682C">
            <w:pPr>
              <w:pStyle w:val="tabletext"/>
            </w:pPr>
            <w:r w:rsidRPr="00D44DA3">
              <w:t>Letter</w:t>
            </w:r>
            <w:r>
              <w:t>s</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4</w:t>
            </w:r>
            <w:r w:rsidR="00501D52">
              <w:t xml:space="preserve"> </w:t>
            </w:r>
            <w:r w:rsidRPr="00FB3E69">
              <w:t>533</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3</w:t>
            </w:r>
            <w:r w:rsidR="00501D52">
              <w:t xml:space="preserve"> </w:t>
            </w:r>
            <w:r w:rsidRPr="00FB3E69">
              <w:t>845</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2</w:t>
            </w:r>
            <w:r w:rsidR="00501D52">
              <w:t xml:space="preserve"> </w:t>
            </w:r>
            <w:r w:rsidRPr="00FB3E69">
              <w:t>230</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1</w:t>
            </w:r>
            <w:r w:rsidR="00501D52">
              <w:t xml:space="preserve"> </w:t>
            </w:r>
            <w:r w:rsidRPr="00FB3E69">
              <w:t>261</w:t>
            </w:r>
          </w:p>
        </w:tc>
        <w:tc>
          <w:tcPr>
            <w:tcW w:w="902" w:type="dxa"/>
            <w:tcBorders>
              <w:top w:val="single" w:sz="4" w:space="0" w:color="auto"/>
            </w:tcBorders>
          </w:tcPr>
          <w:p w:rsidR="00EB1DFF" w:rsidRPr="00FB3E69" w:rsidRDefault="00EB1DFF" w:rsidP="00501D52">
            <w:pPr>
              <w:pStyle w:val="tabletext"/>
              <w:jc w:val="right"/>
            </w:pPr>
            <w:r w:rsidRPr="00FB3E69">
              <w:t>300</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Other a</w:t>
            </w:r>
            <w:r w:rsidRPr="00D44DA3">
              <w:t>rticles</w:t>
            </w:r>
          </w:p>
        </w:tc>
        <w:tc>
          <w:tcPr>
            <w:tcW w:w="902" w:type="dxa"/>
            <w:shd w:val="clear" w:color="auto" w:fill="auto"/>
            <w:noWrap/>
            <w:hideMark/>
          </w:tcPr>
          <w:p w:rsidR="00EB1DFF" w:rsidRPr="00FB3E69" w:rsidRDefault="00EB1DFF" w:rsidP="00501D52">
            <w:pPr>
              <w:pStyle w:val="tabletext"/>
              <w:jc w:val="right"/>
            </w:pPr>
            <w:r w:rsidRPr="00FB3E69">
              <w:t>3</w:t>
            </w:r>
            <w:r w:rsidR="00501D52">
              <w:t xml:space="preserve"> </w:t>
            </w:r>
            <w:r w:rsidRPr="00FB3E69">
              <w:t>569</w:t>
            </w:r>
          </w:p>
        </w:tc>
        <w:tc>
          <w:tcPr>
            <w:tcW w:w="902" w:type="dxa"/>
            <w:shd w:val="clear" w:color="auto" w:fill="auto"/>
            <w:noWrap/>
            <w:hideMark/>
          </w:tcPr>
          <w:p w:rsidR="00EB1DFF" w:rsidRPr="00FB3E69" w:rsidRDefault="00EB1DFF" w:rsidP="00501D52">
            <w:pPr>
              <w:pStyle w:val="tabletext"/>
              <w:jc w:val="right"/>
            </w:pPr>
            <w:r w:rsidRPr="00FB3E69">
              <w:t>3</w:t>
            </w:r>
            <w:r w:rsidR="00501D52">
              <w:t xml:space="preserve"> </w:t>
            </w:r>
            <w:r w:rsidRPr="00FB3E69">
              <w:t>937</w:t>
            </w:r>
          </w:p>
        </w:tc>
        <w:tc>
          <w:tcPr>
            <w:tcW w:w="902" w:type="dxa"/>
            <w:shd w:val="clear" w:color="auto" w:fill="auto"/>
            <w:noWrap/>
            <w:hideMark/>
          </w:tcPr>
          <w:p w:rsidR="00EB1DFF" w:rsidRPr="00FB3E69" w:rsidRDefault="00EB1DFF" w:rsidP="00501D52">
            <w:pPr>
              <w:pStyle w:val="tabletext"/>
              <w:jc w:val="right"/>
            </w:pPr>
            <w:r w:rsidRPr="00FB3E69">
              <w:t>4</w:t>
            </w:r>
            <w:r w:rsidR="00501D52">
              <w:t xml:space="preserve"> </w:t>
            </w:r>
            <w:r w:rsidRPr="00FB3E69">
              <w:t>490</w:t>
            </w:r>
          </w:p>
        </w:tc>
        <w:tc>
          <w:tcPr>
            <w:tcW w:w="902" w:type="dxa"/>
            <w:shd w:val="clear" w:color="auto" w:fill="auto"/>
            <w:noWrap/>
            <w:hideMark/>
          </w:tcPr>
          <w:p w:rsidR="00EB1DFF" w:rsidRPr="00FB3E69" w:rsidRDefault="00EB1DFF" w:rsidP="00501D52">
            <w:pPr>
              <w:pStyle w:val="tabletext"/>
              <w:jc w:val="right"/>
            </w:pPr>
            <w:r w:rsidRPr="00FB3E69">
              <w:t>3</w:t>
            </w:r>
            <w:r w:rsidR="00501D52">
              <w:t xml:space="preserve"> </w:t>
            </w:r>
            <w:r w:rsidRPr="00FB3E69">
              <w:t>686</w:t>
            </w:r>
          </w:p>
        </w:tc>
        <w:tc>
          <w:tcPr>
            <w:tcW w:w="902" w:type="dxa"/>
          </w:tcPr>
          <w:p w:rsidR="00EB1DFF" w:rsidRPr="00FB3E69" w:rsidRDefault="00EB1DFF" w:rsidP="00501D52">
            <w:pPr>
              <w:pStyle w:val="tabletext"/>
              <w:jc w:val="right"/>
            </w:pPr>
            <w:r w:rsidRPr="00FB3E69">
              <w:t>2</w:t>
            </w:r>
            <w:r w:rsidR="00501D52">
              <w:t xml:space="preserve"> </w:t>
            </w:r>
            <w:r w:rsidRPr="00FB3E69">
              <w:t>118</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Express mail service</w:t>
            </w:r>
            <w:r w:rsidR="00620A4C">
              <w:t>s</w:t>
            </w:r>
          </w:p>
        </w:tc>
        <w:tc>
          <w:tcPr>
            <w:tcW w:w="902" w:type="dxa"/>
            <w:shd w:val="clear" w:color="auto" w:fill="auto"/>
            <w:noWrap/>
            <w:hideMark/>
          </w:tcPr>
          <w:p w:rsidR="00EB1DFF" w:rsidRPr="00FB3E69" w:rsidRDefault="00EB1DFF" w:rsidP="00501D52">
            <w:pPr>
              <w:pStyle w:val="tabletext"/>
              <w:jc w:val="right"/>
            </w:pPr>
            <w:r w:rsidRPr="00FB3E69">
              <w:t>4</w:t>
            </w:r>
            <w:r w:rsidR="00501D52">
              <w:t xml:space="preserve"> </w:t>
            </w:r>
            <w:r w:rsidRPr="00FB3E69">
              <w:t>000</w:t>
            </w:r>
          </w:p>
        </w:tc>
        <w:tc>
          <w:tcPr>
            <w:tcW w:w="902" w:type="dxa"/>
            <w:shd w:val="clear" w:color="auto" w:fill="auto"/>
            <w:noWrap/>
            <w:hideMark/>
          </w:tcPr>
          <w:p w:rsidR="00EB1DFF" w:rsidRPr="00FB3E69" w:rsidRDefault="00EB1DFF" w:rsidP="00501D52">
            <w:pPr>
              <w:pStyle w:val="tabletext"/>
              <w:jc w:val="right"/>
            </w:pPr>
            <w:r w:rsidRPr="00FB3E69">
              <w:t>4</w:t>
            </w:r>
            <w:r w:rsidR="00501D52">
              <w:t xml:space="preserve"> </w:t>
            </w:r>
            <w:r w:rsidRPr="00FB3E69">
              <w:t>791</w:t>
            </w:r>
          </w:p>
        </w:tc>
        <w:tc>
          <w:tcPr>
            <w:tcW w:w="902" w:type="dxa"/>
            <w:shd w:val="clear" w:color="auto" w:fill="auto"/>
            <w:noWrap/>
            <w:hideMark/>
          </w:tcPr>
          <w:p w:rsidR="00EB1DFF" w:rsidRPr="00FB3E69" w:rsidRDefault="00EB1DFF" w:rsidP="00501D52">
            <w:pPr>
              <w:pStyle w:val="tabletext"/>
              <w:jc w:val="right"/>
            </w:pPr>
            <w:r w:rsidRPr="00FB3E69">
              <w:t>6</w:t>
            </w:r>
            <w:r w:rsidR="00501D52">
              <w:t xml:space="preserve"> </w:t>
            </w:r>
            <w:r w:rsidRPr="00FB3E69">
              <w:t>202</w:t>
            </w:r>
          </w:p>
        </w:tc>
        <w:tc>
          <w:tcPr>
            <w:tcW w:w="902" w:type="dxa"/>
            <w:shd w:val="clear" w:color="auto" w:fill="auto"/>
            <w:noWrap/>
            <w:hideMark/>
          </w:tcPr>
          <w:p w:rsidR="00EB1DFF" w:rsidRPr="00FB3E69" w:rsidRDefault="00EB1DFF" w:rsidP="00501D52">
            <w:pPr>
              <w:pStyle w:val="tabletext"/>
              <w:jc w:val="right"/>
            </w:pPr>
            <w:r w:rsidRPr="00FB3E69">
              <w:t>4</w:t>
            </w:r>
            <w:r w:rsidR="00501D52">
              <w:t xml:space="preserve"> </w:t>
            </w:r>
            <w:r w:rsidRPr="00FB3E69">
              <w:t>892</w:t>
            </w:r>
          </w:p>
        </w:tc>
        <w:tc>
          <w:tcPr>
            <w:tcW w:w="902" w:type="dxa"/>
          </w:tcPr>
          <w:p w:rsidR="00EB1DFF" w:rsidRPr="00FB3E69" w:rsidRDefault="00EB1DFF" w:rsidP="00501D52">
            <w:pPr>
              <w:pStyle w:val="tabletext"/>
              <w:jc w:val="right"/>
            </w:pPr>
            <w:r w:rsidRPr="00FB3E69">
              <w:t>3</w:t>
            </w:r>
            <w:r w:rsidR="00501D52">
              <w:t xml:space="preserve"> </w:t>
            </w:r>
            <w:r w:rsidRPr="00FB3E69">
              <w:t>218</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rsidRPr="00D44DA3">
              <w:t>Parcels</w:t>
            </w:r>
          </w:p>
        </w:tc>
        <w:tc>
          <w:tcPr>
            <w:tcW w:w="902" w:type="dxa"/>
            <w:shd w:val="clear" w:color="auto" w:fill="auto"/>
            <w:noWrap/>
            <w:hideMark/>
          </w:tcPr>
          <w:p w:rsidR="00EB1DFF" w:rsidRPr="00FB3E69" w:rsidRDefault="00EB1DFF" w:rsidP="00501D52">
            <w:pPr>
              <w:pStyle w:val="tabletext"/>
              <w:jc w:val="right"/>
            </w:pPr>
            <w:r w:rsidRPr="00FB3E69">
              <w:t>4</w:t>
            </w:r>
            <w:r w:rsidR="00501D52">
              <w:t xml:space="preserve"> </w:t>
            </w:r>
            <w:r w:rsidRPr="00FB3E69">
              <w:t>244</w:t>
            </w:r>
          </w:p>
        </w:tc>
        <w:tc>
          <w:tcPr>
            <w:tcW w:w="902" w:type="dxa"/>
            <w:shd w:val="clear" w:color="auto" w:fill="auto"/>
            <w:noWrap/>
            <w:hideMark/>
          </w:tcPr>
          <w:p w:rsidR="00EB1DFF" w:rsidRPr="00FB3E69" w:rsidRDefault="00EB1DFF" w:rsidP="00501D52">
            <w:pPr>
              <w:pStyle w:val="tabletext"/>
              <w:jc w:val="right"/>
            </w:pPr>
            <w:r w:rsidRPr="00FB3E69">
              <w:t>3</w:t>
            </w:r>
            <w:r w:rsidR="00501D52">
              <w:t xml:space="preserve"> </w:t>
            </w:r>
            <w:r w:rsidRPr="00FB3E69">
              <w:t>650</w:t>
            </w:r>
          </w:p>
        </w:tc>
        <w:tc>
          <w:tcPr>
            <w:tcW w:w="902" w:type="dxa"/>
            <w:shd w:val="clear" w:color="auto" w:fill="auto"/>
            <w:noWrap/>
            <w:hideMark/>
          </w:tcPr>
          <w:p w:rsidR="00EB1DFF" w:rsidRPr="00FB3E69" w:rsidRDefault="00EB1DFF" w:rsidP="00501D52">
            <w:pPr>
              <w:pStyle w:val="tabletext"/>
              <w:jc w:val="right"/>
            </w:pPr>
            <w:r w:rsidRPr="00FB3E69">
              <w:t>3</w:t>
            </w:r>
            <w:r w:rsidR="00501D52">
              <w:t xml:space="preserve"> </w:t>
            </w:r>
            <w:r w:rsidRPr="00FB3E69">
              <w:t>818</w:t>
            </w:r>
          </w:p>
        </w:tc>
        <w:tc>
          <w:tcPr>
            <w:tcW w:w="902" w:type="dxa"/>
            <w:shd w:val="clear" w:color="auto" w:fill="auto"/>
            <w:noWrap/>
            <w:hideMark/>
          </w:tcPr>
          <w:p w:rsidR="00EB1DFF" w:rsidRPr="00FB3E69" w:rsidRDefault="00EB1DFF" w:rsidP="00501D52">
            <w:pPr>
              <w:pStyle w:val="tabletext"/>
              <w:jc w:val="right"/>
            </w:pPr>
            <w:r w:rsidRPr="00FB3E69">
              <w:t>2</w:t>
            </w:r>
            <w:r w:rsidR="00501D52">
              <w:t xml:space="preserve"> </w:t>
            </w:r>
            <w:r w:rsidRPr="00FB3E69">
              <w:t>621</w:t>
            </w:r>
          </w:p>
        </w:tc>
        <w:tc>
          <w:tcPr>
            <w:tcW w:w="902" w:type="dxa"/>
          </w:tcPr>
          <w:p w:rsidR="00EB1DFF" w:rsidRPr="00FB3E69" w:rsidRDefault="00EB1DFF" w:rsidP="00501D52">
            <w:pPr>
              <w:pStyle w:val="tabletext"/>
              <w:jc w:val="right"/>
            </w:pPr>
            <w:r w:rsidRPr="00FB3E69">
              <w:t>1</w:t>
            </w:r>
            <w:r w:rsidR="00501D52">
              <w:t xml:space="preserve"> </w:t>
            </w:r>
            <w:r w:rsidRPr="00FB3E69">
              <w:t>818</w:t>
            </w:r>
          </w:p>
        </w:tc>
      </w:tr>
      <w:tr w:rsidR="00EB1DFF" w:rsidRPr="00FB3E69" w:rsidTr="0004682C">
        <w:trPr>
          <w:trHeight w:val="300"/>
        </w:trPr>
        <w:tc>
          <w:tcPr>
            <w:tcW w:w="1560" w:type="dxa"/>
            <w:vMerge/>
            <w:tcBorders>
              <w:bottom w:val="single" w:sz="4" w:space="0" w:color="auto"/>
            </w:tcBorders>
            <w:vAlign w:val="center"/>
            <w:hideMark/>
          </w:tcPr>
          <w:p w:rsidR="00EB1DFF" w:rsidRPr="00D44DA3" w:rsidRDefault="00EB1DFF" w:rsidP="00E5760E">
            <w:pPr>
              <w:pStyle w:val="Tableheader"/>
            </w:pPr>
          </w:p>
        </w:tc>
        <w:tc>
          <w:tcPr>
            <w:tcW w:w="1787" w:type="dxa"/>
            <w:tcBorders>
              <w:bottom w:val="single" w:sz="4" w:space="0" w:color="auto"/>
            </w:tcBorders>
            <w:shd w:val="clear" w:color="auto" w:fill="auto"/>
            <w:noWrap/>
            <w:hideMark/>
          </w:tcPr>
          <w:p w:rsidR="00EB1DFF" w:rsidRPr="00D44DA3" w:rsidRDefault="00175A73" w:rsidP="0004682C">
            <w:pPr>
              <w:pStyle w:val="tabletext"/>
            </w:pPr>
            <w:r w:rsidRPr="00D44DA3">
              <w:t>Registered</w:t>
            </w:r>
            <w:r>
              <w:t xml:space="preserve">  </w:t>
            </w:r>
            <w:r w:rsidRPr="00175A73">
              <w:rPr>
                <w:b/>
              </w:rPr>
              <w:t>a</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581</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690</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1</w:t>
            </w:r>
          </w:p>
        </w:tc>
        <w:tc>
          <w:tcPr>
            <w:tcW w:w="902" w:type="dxa"/>
            <w:tcBorders>
              <w:bottom w:val="single" w:sz="4" w:space="0" w:color="auto"/>
            </w:tcBorders>
            <w:shd w:val="clear" w:color="auto" w:fill="auto"/>
            <w:noWrap/>
            <w:hideMark/>
          </w:tcPr>
          <w:p w:rsidR="00EB1DFF" w:rsidRPr="00FB3E69" w:rsidRDefault="00501D52" w:rsidP="00501D52">
            <w:pPr>
              <w:pStyle w:val="tabletext"/>
              <w:jc w:val="right"/>
            </w:pPr>
            <w:r>
              <w:t>na</w:t>
            </w:r>
          </w:p>
        </w:tc>
        <w:tc>
          <w:tcPr>
            <w:tcW w:w="902" w:type="dxa"/>
            <w:tcBorders>
              <w:bottom w:val="single" w:sz="4" w:space="0" w:color="auto"/>
            </w:tcBorders>
          </w:tcPr>
          <w:p w:rsidR="00EB1DFF" w:rsidRPr="00FB3E69" w:rsidRDefault="00501D52" w:rsidP="00501D52">
            <w:pPr>
              <w:pStyle w:val="tabletext"/>
              <w:jc w:val="right"/>
            </w:pPr>
            <w:r>
              <w:t>na</w:t>
            </w:r>
          </w:p>
        </w:tc>
      </w:tr>
    </w:tbl>
    <w:p w:rsidR="00485A0D" w:rsidRDefault="00485A0D">
      <w:r>
        <w:rPr>
          <w:b/>
        </w:rPr>
        <w:br w:type="page"/>
      </w:r>
    </w:p>
    <w:tbl>
      <w:tblPr>
        <w:tblW w:w="7857" w:type="dxa"/>
        <w:tblLook w:val="04A0"/>
      </w:tblPr>
      <w:tblGrid>
        <w:gridCol w:w="1560"/>
        <w:gridCol w:w="1787"/>
        <w:gridCol w:w="902"/>
        <w:gridCol w:w="902"/>
        <w:gridCol w:w="902"/>
        <w:gridCol w:w="902"/>
        <w:gridCol w:w="902"/>
      </w:tblGrid>
      <w:tr w:rsidR="00EB1DFF" w:rsidRPr="00FB3E69" w:rsidTr="0004682C">
        <w:trPr>
          <w:trHeight w:val="300"/>
        </w:trPr>
        <w:tc>
          <w:tcPr>
            <w:tcW w:w="1560" w:type="dxa"/>
            <w:vMerge w:val="restart"/>
            <w:tcBorders>
              <w:top w:val="single" w:sz="4" w:space="0" w:color="auto"/>
            </w:tcBorders>
            <w:shd w:val="clear" w:color="auto" w:fill="auto"/>
            <w:noWrap/>
            <w:vAlign w:val="center"/>
            <w:hideMark/>
          </w:tcPr>
          <w:p w:rsidR="00EB1DFF" w:rsidRPr="00D44DA3" w:rsidRDefault="00EB1DFF" w:rsidP="00E5760E">
            <w:pPr>
              <w:pStyle w:val="Tableheader"/>
            </w:pPr>
            <w:r w:rsidRPr="00D44DA3">
              <w:lastRenderedPageBreak/>
              <w:t>Perth Gateway Facility</w:t>
            </w:r>
          </w:p>
        </w:tc>
        <w:tc>
          <w:tcPr>
            <w:tcW w:w="1787" w:type="dxa"/>
            <w:tcBorders>
              <w:top w:val="single" w:sz="4" w:space="0" w:color="auto"/>
            </w:tcBorders>
            <w:shd w:val="clear" w:color="auto" w:fill="auto"/>
            <w:noWrap/>
            <w:hideMark/>
          </w:tcPr>
          <w:p w:rsidR="00EB1DFF" w:rsidRPr="00D44DA3" w:rsidRDefault="00EB1DFF" w:rsidP="0004682C">
            <w:pPr>
              <w:pStyle w:val="tabletext"/>
            </w:pPr>
            <w:r w:rsidRPr="00D44DA3">
              <w:t>Letter</w:t>
            </w:r>
            <w:r>
              <w:t>s</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562</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250</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136</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69</w:t>
            </w:r>
          </w:p>
        </w:tc>
        <w:tc>
          <w:tcPr>
            <w:tcW w:w="902" w:type="dxa"/>
            <w:tcBorders>
              <w:top w:val="single" w:sz="4" w:space="0" w:color="auto"/>
            </w:tcBorders>
          </w:tcPr>
          <w:p w:rsidR="00EB1DFF" w:rsidRPr="00FB3E69" w:rsidRDefault="00EB1DFF" w:rsidP="00501D52">
            <w:pPr>
              <w:pStyle w:val="tabletext"/>
              <w:jc w:val="right"/>
            </w:pPr>
            <w:r w:rsidRPr="00FB3E69">
              <w:t>7</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Other a</w:t>
            </w:r>
            <w:r w:rsidRPr="00D44DA3">
              <w:t>rticles</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540</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379</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306</w:t>
            </w:r>
          </w:p>
        </w:tc>
        <w:tc>
          <w:tcPr>
            <w:tcW w:w="902" w:type="dxa"/>
            <w:shd w:val="clear" w:color="auto" w:fill="auto"/>
            <w:noWrap/>
            <w:hideMark/>
          </w:tcPr>
          <w:p w:rsidR="00EB1DFF" w:rsidRPr="00FB3E69" w:rsidRDefault="00EB1DFF" w:rsidP="00501D52">
            <w:pPr>
              <w:pStyle w:val="tabletext"/>
              <w:jc w:val="right"/>
            </w:pPr>
            <w:r w:rsidRPr="00FB3E69">
              <w:t>504</w:t>
            </w:r>
          </w:p>
        </w:tc>
        <w:tc>
          <w:tcPr>
            <w:tcW w:w="902" w:type="dxa"/>
          </w:tcPr>
          <w:p w:rsidR="00EB1DFF" w:rsidRPr="00FB3E69" w:rsidRDefault="00EB1DFF" w:rsidP="00501D52">
            <w:pPr>
              <w:pStyle w:val="tabletext"/>
              <w:jc w:val="right"/>
            </w:pPr>
            <w:r w:rsidRPr="00FB3E69">
              <w:t>227</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Express mail service</w:t>
            </w:r>
            <w:r w:rsidR="00620A4C">
              <w:t>s</w:t>
            </w:r>
          </w:p>
        </w:tc>
        <w:tc>
          <w:tcPr>
            <w:tcW w:w="902" w:type="dxa"/>
            <w:shd w:val="clear" w:color="auto" w:fill="auto"/>
            <w:noWrap/>
            <w:hideMark/>
          </w:tcPr>
          <w:p w:rsidR="00EB1DFF" w:rsidRPr="00FB3E69" w:rsidRDefault="00EB1DFF" w:rsidP="00501D52">
            <w:pPr>
              <w:pStyle w:val="tabletext"/>
              <w:jc w:val="right"/>
            </w:pPr>
            <w:r w:rsidRPr="00FB3E69">
              <w:t>901</w:t>
            </w:r>
          </w:p>
        </w:tc>
        <w:tc>
          <w:tcPr>
            <w:tcW w:w="902" w:type="dxa"/>
            <w:shd w:val="clear" w:color="auto" w:fill="auto"/>
            <w:noWrap/>
            <w:hideMark/>
          </w:tcPr>
          <w:p w:rsidR="00EB1DFF" w:rsidRPr="00FB3E69" w:rsidRDefault="00EB1DFF" w:rsidP="00501D52">
            <w:pPr>
              <w:pStyle w:val="tabletext"/>
              <w:jc w:val="right"/>
            </w:pPr>
            <w:r w:rsidRPr="00FB3E69">
              <w:t>990</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523</w:t>
            </w:r>
          </w:p>
        </w:tc>
        <w:tc>
          <w:tcPr>
            <w:tcW w:w="902" w:type="dxa"/>
            <w:shd w:val="clear" w:color="auto" w:fill="auto"/>
            <w:noWrap/>
            <w:hideMark/>
          </w:tcPr>
          <w:p w:rsidR="00EB1DFF" w:rsidRPr="00FB3E69" w:rsidRDefault="00EB1DFF" w:rsidP="00501D52">
            <w:pPr>
              <w:pStyle w:val="tabletext"/>
              <w:jc w:val="right"/>
            </w:pPr>
            <w:r w:rsidRPr="00FB3E69">
              <w:t>995</w:t>
            </w:r>
          </w:p>
        </w:tc>
        <w:tc>
          <w:tcPr>
            <w:tcW w:w="902" w:type="dxa"/>
          </w:tcPr>
          <w:p w:rsidR="00EB1DFF" w:rsidRPr="00FB3E69" w:rsidRDefault="00EB1DFF" w:rsidP="00501D52">
            <w:pPr>
              <w:pStyle w:val="tabletext"/>
              <w:jc w:val="right"/>
            </w:pPr>
            <w:r w:rsidRPr="00FB3E69">
              <w:t>440</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rsidRPr="00D44DA3">
              <w:t>Parcels</w:t>
            </w:r>
          </w:p>
        </w:tc>
        <w:tc>
          <w:tcPr>
            <w:tcW w:w="902" w:type="dxa"/>
            <w:shd w:val="clear" w:color="auto" w:fill="auto"/>
            <w:noWrap/>
            <w:hideMark/>
          </w:tcPr>
          <w:p w:rsidR="00EB1DFF" w:rsidRPr="00FB3E69" w:rsidRDefault="00EB1DFF" w:rsidP="00501D52">
            <w:pPr>
              <w:pStyle w:val="tabletext"/>
              <w:jc w:val="right"/>
            </w:pPr>
            <w:r w:rsidRPr="00FB3E69">
              <w:t>1</w:t>
            </w:r>
            <w:r w:rsidR="00501D52">
              <w:t xml:space="preserve"> </w:t>
            </w:r>
            <w:r w:rsidRPr="00FB3E69">
              <w:t>020</w:t>
            </w:r>
          </w:p>
        </w:tc>
        <w:tc>
          <w:tcPr>
            <w:tcW w:w="902" w:type="dxa"/>
            <w:shd w:val="clear" w:color="auto" w:fill="auto"/>
            <w:noWrap/>
            <w:hideMark/>
          </w:tcPr>
          <w:p w:rsidR="00EB1DFF" w:rsidRPr="00FB3E69" w:rsidRDefault="00EB1DFF" w:rsidP="00501D52">
            <w:pPr>
              <w:pStyle w:val="tabletext"/>
              <w:jc w:val="right"/>
            </w:pPr>
            <w:r w:rsidRPr="00FB3E69">
              <w:t>797</w:t>
            </w:r>
          </w:p>
        </w:tc>
        <w:tc>
          <w:tcPr>
            <w:tcW w:w="902" w:type="dxa"/>
            <w:shd w:val="clear" w:color="auto" w:fill="auto"/>
            <w:noWrap/>
            <w:hideMark/>
          </w:tcPr>
          <w:p w:rsidR="00EB1DFF" w:rsidRPr="00FB3E69" w:rsidRDefault="00EB1DFF" w:rsidP="00501D52">
            <w:pPr>
              <w:pStyle w:val="tabletext"/>
              <w:jc w:val="right"/>
            </w:pPr>
            <w:r w:rsidRPr="00FB3E69">
              <w:t>758</w:t>
            </w:r>
          </w:p>
        </w:tc>
        <w:tc>
          <w:tcPr>
            <w:tcW w:w="902" w:type="dxa"/>
            <w:shd w:val="clear" w:color="auto" w:fill="auto"/>
            <w:noWrap/>
            <w:hideMark/>
          </w:tcPr>
          <w:p w:rsidR="00EB1DFF" w:rsidRPr="00FB3E69" w:rsidRDefault="00EB1DFF" w:rsidP="00501D52">
            <w:pPr>
              <w:pStyle w:val="tabletext"/>
              <w:jc w:val="right"/>
            </w:pPr>
            <w:r w:rsidRPr="00FB3E69">
              <w:t>530</w:t>
            </w:r>
          </w:p>
        </w:tc>
        <w:tc>
          <w:tcPr>
            <w:tcW w:w="902" w:type="dxa"/>
          </w:tcPr>
          <w:p w:rsidR="00EB1DFF" w:rsidRPr="00FB3E69" w:rsidRDefault="00EB1DFF" w:rsidP="00501D52">
            <w:pPr>
              <w:pStyle w:val="tabletext"/>
              <w:jc w:val="right"/>
            </w:pPr>
            <w:r w:rsidRPr="00FB3E69">
              <w:t>231</w:t>
            </w:r>
          </w:p>
        </w:tc>
      </w:tr>
      <w:tr w:rsidR="00EB1DFF" w:rsidRPr="00FB3E69" w:rsidTr="0004682C">
        <w:trPr>
          <w:trHeight w:val="300"/>
        </w:trPr>
        <w:tc>
          <w:tcPr>
            <w:tcW w:w="1560" w:type="dxa"/>
            <w:vMerge/>
            <w:tcBorders>
              <w:bottom w:val="single" w:sz="4" w:space="0" w:color="auto"/>
            </w:tcBorders>
            <w:vAlign w:val="center"/>
            <w:hideMark/>
          </w:tcPr>
          <w:p w:rsidR="00EB1DFF" w:rsidRPr="00D44DA3" w:rsidRDefault="00EB1DFF" w:rsidP="00E5760E">
            <w:pPr>
              <w:pStyle w:val="Tableheader"/>
            </w:pPr>
          </w:p>
        </w:tc>
        <w:tc>
          <w:tcPr>
            <w:tcW w:w="1787" w:type="dxa"/>
            <w:tcBorders>
              <w:bottom w:val="single" w:sz="4" w:space="0" w:color="auto"/>
            </w:tcBorders>
            <w:shd w:val="clear" w:color="auto" w:fill="auto"/>
            <w:noWrap/>
            <w:hideMark/>
          </w:tcPr>
          <w:p w:rsidR="00EB1DFF" w:rsidRPr="00D44DA3" w:rsidRDefault="00175A73" w:rsidP="0004682C">
            <w:pPr>
              <w:pStyle w:val="tabletext"/>
            </w:pPr>
            <w:r w:rsidRPr="00D44DA3">
              <w:t>Registered</w:t>
            </w:r>
            <w:r>
              <w:t xml:space="preserve">  </w:t>
            </w:r>
            <w:r w:rsidRPr="00175A73">
              <w:rPr>
                <w:b/>
              </w:rPr>
              <w:t>a</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237</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305</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325</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105</w:t>
            </w:r>
          </w:p>
        </w:tc>
        <w:tc>
          <w:tcPr>
            <w:tcW w:w="902" w:type="dxa"/>
            <w:tcBorders>
              <w:bottom w:val="single" w:sz="4" w:space="0" w:color="auto"/>
            </w:tcBorders>
          </w:tcPr>
          <w:p w:rsidR="00EB1DFF" w:rsidRPr="00FB3E69" w:rsidRDefault="00501D52" w:rsidP="00501D52">
            <w:pPr>
              <w:pStyle w:val="tabletext"/>
              <w:jc w:val="right"/>
            </w:pPr>
            <w:r>
              <w:t>na</w:t>
            </w:r>
          </w:p>
        </w:tc>
      </w:tr>
      <w:tr w:rsidR="00EB1DFF" w:rsidRPr="00FB3E69" w:rsidTr="0004682C">
        <w:trPr>
          <w:trHeight w:val="300"/>
        </w:trPr>
        <w:tc>
          <w:tcPr>
            <w:tcW w:w="1560" w:type="dxa"/>
            <w:vMerge w:val="restart"/>
            <w:tcBorders>
              <w:top w:val="single" w:sz="4" w:space="0" w:color="auto"/>
            </w:tcBorders>
            <w:shd w:val="clear" w:color="auto" w:fill="auto"/>
            <w:noWrap/>
            <w:vAlign w:val="center"/>
            <w:hideMark/>
          </w:tcPr>
          <w:p w:rsidR="00EB1DFF" w:rsidRPr="00D44DA3" w:rsidRDefault="00EB1DFF" w:rsidP="00E5760E">
            <w:pPr>
              <w:pStyle w:val="Tableheader"/>
            </w:pPr>
            <w:r w:rsidRPr="00D44DA3">
              <w:t>Sydney Gateway Facility</w:t>
            </w:r>
          </w:p>
        </w:tc>
        <w:tc>
          <w:tcPr>
            <w:tcW w:w="1787" w:type="dxa"/>
            <w:tcBorders>
              <w:top w:val="single" w:sz="4" w:space="0" w:color="auto"/>
            </w:tcBorders>
            <w:shd w:val="clear" w:color="auto" w:fill="auto"/>
            <w:noWrap/>
            <w:hideMark/>
          </w:tcPr>
          <w:p w:rsidR="00EB1DFF" w:rsidRPr="00D44DA3" w:rsidRDefault="00EB1DFF" w:rsidP="0004682C">
            <w:pPr>
              <w:pStyle w:val="tabletext"/>
            </w:pPr>
            <w:r w:rsidRPr="00D44DA3">
              <w:t>Letter</w:t>
            </w:r>
            <w:r>
              <w:t>s</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7</w:t>
            </w:r>
            <w:r w:rsidR="00501D52">
              <w:t xml:space="preserve"> </w:t>
            </w:r>
            <w:r w:rsidRPr="00FB3E69">
              <w:t>978</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8</w:t>
            </w:r>
            <w:r w:rsidR="00501D52">
              <w:t xml:space="preserve"> </w:t>
            </w:r>
            <w:r w:rsidRPr="00FB3E69">
              <w:t>123</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6</w:t>
            </w:r>
            <w:r w:rsidR="00501D52">
              <w:t xml:space="preserve"> </w:t>
            </w:r>
            <w:r w:rsidRPr="00FB3E69">
              <w:t>113</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3</w:t>
            </w:r>
            <w:r w:rsidR="00501D52">
              <w:t xml:space="preserve"> </w:t>
            </w:r>
            <w:r w:rsidRPr="00FB3E69">
              <w:t>683</w:t>
            </w:r>
          </w:p>
        </w:tc>
        <w:tc>
          <w:tcPr>
            <w:tcW w:w="902" w:type="dxa"/>
            <w:tcBorders>
              <w:top w:val="single" w:sz="4" w:space="0" w:color="auto"/>
            </w:tcBorders>
          </w:tcPr>
          <w:p w:rsidR="00EB1DFF" w:rsidRPr="00FB3E69" w:rsidRDefault="00EB1DFF" w:rsidP="00501D52">
            <w:pPr>
              <w:pStyle w:val="tabletext"/>
              <w:jc w:val="right"/>
            </w:pPr>
            <w:r w:rsidRPr="00FB3E69">
              <w:t>1</w:t>
            </w:r>
            <w:r w:rsidR="00501D52">
              <w:t xml:space="preserve"> </w:t>
            </w:r>
            <w:r w:rsidRPr="00FB3E69">
              <w:t>137</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Other a</w:t>
            </w:r>
            <w:r w:rsidRPr="00D44DA3">
              <w:t>rticles</w:t>
            </w:r>
          </w:p>
        </w:tc>
        <w:tc>
          <w:tcPr>
            <w:tcW w:w="902" w:type="dxa"/>
            <w:shd w:val="clear" w:color="auto" w:fill="auto"/>
            <w:noWrap/>
            <w:hideMark/>
          </w:tcPr>
          <w:p w:rsidR="00EB1DFF" w:rsidRPr="00FB3E69" w:rsidRDefault="00EB1DFF" w:rsidP="00501D52">
            <w:pPr>
              <w:pStyle w:val="tabletext"/>
              <w:jc w:val="right"/>
            </w:pPr>
            <w:r w:rsidRPr="00FB3E69">
              <w:t>20</w:t>
            </w:r>
            <w:r w:rsidR="00501D52">
              <w:t xml:space="preserve"> </w:t>
            </w:r>
            <w:r w:rsidRPr="00FB3E69">
              <w:t>978</w:t>
            </w:r>
          </w:p>
        </w:tc>
        <w:tc>
          <w:tcPr>
            <w:tcW w:w="902" w:type="dxa"/>
            <w:shd w:val="clear" w:color="auto" w:fill="auto"/>
            <w:noWrap/>
            <w:hideMark/>
          </w:tcPr>
          <w:p w:rsidR="00EB1DFF" w:rsidRPr="00FB3E69" w:rsidRDefault="00EB1DFF" w:rsidP="00501D52">
            <w:pPr>
              <w:pStyle w:val="tabletext"/>
              <w:jc w:val="right"/>
            </w:pPr>
            <w:r w:rsidRPr="00FB3E69">
              <w:t>14</w:t>
            </w:r>
            <w:r w:rsidR="00501D52">
              <w:t xml:space="preserve"> </w:t>
            </w:r>
            <w:r w:rsidRPr="00FB3E69">
              <w:t>624</w:t>
            </w:r>
          </w:p>
        </w:tc>
        <w:tc>
          <w:tcPr>
            <w:tcW w:w="902" w:type="dxa"/>
            <w:shd w:val="clear" w:color="auto" w:fill="auto"/>
            <w:noWrap/>
            <w:hideMark/>
          </w:tcPr>
          <w:p w:rsidR="00EB1DFF" w:rsidRPr="00FB3E69" w:rsidRDefault="00EB1DFF" w:rsidP="00501D52">
            <w:pPr>
              <w:pStyle w:val="tabletext"/>
              <w:jc w:val="right"/>
            </w:pPr>
            <w:r w:rsidRPr="00FB3E69">
              <w:t>13</w:t>
            </w:r>
            <w:r w:rsidR="00501D52">
              <w:t xml:space="preserve"> </w:t>
            </w:r>
            <w:r w:rsidRPr="00FB3E69">
              <w:t>698</w:t>
            </w:r>
          </w:p>
        </w:tc>
        <w:tc>
          <w:tcPr>
            <w:tcW w:w="902" w:type="dxa"/>
            <w:shd w:val="clear" w:color="auto" w:fill="auto"/>
            <w:noWrap/>
            <w:hideMark/>
          </w:tcPr>
          <w:p w:rsidR="00EB1DFF" w:rsidRPr="00FB3E69" w:rsidRDefault="00EB1DFF" w:rsidP="00501D52">
            <w:pPr>
              <w:pStyle w:val="tabletext"/>
              <w:jc w:val="right"/>
            </w:pPr>
            <w:r w:rsidRPr="00FB3E69">
              <w:t>8</w:t>
            </w:r>
            <w:r w:rsidR="00501D52">
              <w:t xml:space="preserve"> </w:t>
            </w:r>
            <w:r w:rsidRPr="00FB3E69">
              <w:t>308</w:t>
            </w:r>
          </w:p>
        </w:tc>
        <w:tc>
          <w:tcPr>
            <w:tcW w:w="902" w:type="dxa"/>
          </w:tcPr>
          <w:p w:rsidR="00EB1DFF" w:rsidRPr="00FB3E69" w:rsidRDefault="00EB1DFF" w:rsidP="00501D52">
            <w:pPr>
              <w:pStyle w:val="tabletext"/>
              <w:jc w:val="right"/>
            </w:pPr>
            <w:r w:rsidRPr="00FB3E69">
              <w:t>5</w:t>
            </w:r>
            <w:r w:rsidR="00501D52">
              <w:t xml:space="preserve"> </w:t>
            </w:r>
            <w:r w:rsidRPr="00FB3E69">
              <w:t>005</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Express mail service</w:t>
            </w:r>
            <w:r w:rsidR="00620A4C">
              <w:t>s</w:t>
            </w:r>
          </w:p>
        </w:tc>
        <w:tc>
          <w:tcPr>
            <w:tcW w:w="902" w:type="dxa"/>
            <w:shd w:val="clear" w:color="auto" w:fill="auto"/>
            <w:noWrap/>
            <w:hideMark/>
          </w:tcPr>
          <w:p w:rsidR="00EB1DFF" w:rsidRPr="00FB3E69" w:rsidRDefault="00EB1DFF" w:rsidP="00501D52">
            <w:pPr>
              <w:pStyle w:val="tabletext"/>
              <w:jc w:val="right"/>
            </w:pPr>
            <w:r w:rsidRPr="00FB3E69">
              <w:t>20</w:t>
            </w:r>
            <w:r w:rsidR="00501D52">
              <w:t xml:space="preserve"> </w:t>
            </w:r>
            <w:r w:rsidRPr="00FB3E69">
              <w:t>046</w:t>
            </w:r>
          </w:p>
        </w:tc>
        <w:tc>
          <w:tcPr>
            <w:tcW w:w="902" w:type="dxa"/>
            <w:shd w:val="clear" w:color="auto" w:fill="auto"/>
            <w:noWrap/>
            <w:hideMark/>
          </w:tcPr>
          <w:p w:rsidR="00EB1DFF" w:rsidRPr="00FB3E69" w:rsidRDefault="00EB1DFF" w:rsidP="00501D52">
            <w:pPr>
              <w:pStyle w:val="tabletext"/>
              <w:jc w:val="right"/>
            </w:pPr>
            <w:r w:rsidRPr="00FB3E69">
              <w:t>16</w:t>
            </w:r>
            <w:r w:rsidR="00501D52">
              <w:t xml:space="preserve"> </w:t>
            </w:r>
            <w:r w:rsidRPr="00FB3E69">
              <w:t>264</w:t>
            </w:r>
          </w:p>
        </w:tc>
        <w:tc>
          <w:tcPr>
            <w:tcW w:w="902" w:type="dxa"/>
            <w:shd w:val="clear" w:color="auto" w:fill="auto"/>
            <w:noWrap/>
            <w:hideMark/>
          </w:tcPr>
          <w:p w:rsidR="00EB1DFF" w:rsidRPr="00FB3E69" w:rsidRDefault="00EB1DFF" w:rsidP="00501D52">
            <w:pPr>
              <w:pStyle w:val="tabletext"/>
              <w:jc w:val="right"/>
            </w:pPr>
            <w:r w:rsidRPr="00FB3E69">
              <w:t>20</w:t>
            </w:r>
            <w:r w:rsidR="00501D52">
              <w:t xml:space="preserve"> </w:t>
            </w:r>
            <w:r w:rsidRPr="00FB3E69">
              <w:t>649</w:t>
            </w:r>
          </w:p>
        </w:tc>
        <w:tc>
          <w:tcPr>
            <w:tcW w:w="902" w:type="dxa"/>
            <w:shd w:val="clear" w:color="auto" w:fill="auto"/>
            <w:noWrap/>
            <w:hideMark/>
          </w:tcPr>
          <w:p w:rsidR="00EB1DFF" w:rsidRPr="00FB3E69" w:rsidRDefault="00EB1DFF" w:rsidP="00501D52">
            <w:pPr>
              <w:pStyle w:val="tabletext"/>
              <w:jc w:val="right"/>
            </w:pPr>
            <w:r w:rsidRPr="00FB3E69">
              <w:t>10</w:t>
            </w:r>
            <w:r w:rsidR="00501D52">
              <w:t xml:space="preserve"> </w:t>
            </w:r>
            <w:r w:rsidRPr="00FB3E69">
              <w:t>080</w:t>
            </w:r>
          </w:p>
        </w:tc>
        <w:tc>
          <w:tcPr>
            <w:tcW w:w="902" w:type="dxa"/>
          </w:tcPr>
          <w:p w:rsidR="00EB1DFF" w:rsidRPr="00FB3E69" w:rsidRDefault="00EB1DFF" w:rsidP="00501D52">
            <w:pPr>
              <w:pStyle w:val="tabletext"/>
              <w:jc w:val="right"/>
            </w:pPr>
            <w:r w:rsidRPr="00FB3E69">
              <w:t>2</w:t>
            </w:r>
            <w:r w:rsidR="00501D52">
              <w:t xml:space="preserve"> </w:t>
            </w:r>
            <w:r w:rsidRPr="00FB3E69">
              <w:t>876</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rsidRPr="00D44DA3">
              <w:t>Parcels</w:t>
            </w:r>
          </w:p>
        </w:tc>
        <w:tc>
          <w:tcPr>
            <w:tcW w:w="902" w:type="dxa"/>
            <w:shd w:val="clear" w:color="auto" w:fill="auto"/>
            <w:noWrap/>
            <w:hideMark/>
          </w:tcPr>
          <w:p w:rsidR="00EB1DFF" w:rsidRPr="00FB3E69" w:rsidRDefault="00EB1DFF" w:rsidP="00501D52">
            <w:pPr>
              <w:pStyle w:val="tabletext"/>
              <w:jc w:val="right"/>
            </w:pPr>
            <w:r w:rsidRPr="00FB3E69">
              <w:t>38</w:t>
            </w:r>
            <w:r w:rsidR="00501D52">
              <w:t xml:space="preserve"> </w:t>
            </w:r>
            <w:r w:rsidRPr="00FB3E69">
              <w:t>753</w:t>
            </w:r>
          </w:p>
        </w:tc>
        <w:tc>
          <w:tcPr>
            <w:tcW w:w="902" w:type="dxa"/>
            <w:shd w:val="clear" w:color="auto" w:fill="auto"/>
            <w:noWrap/>
            <w:hideMark/>
          </w:tcPr>
          <w:p w:rsidR="00EB1DFF" w:rsidRPr="00FB3E69" w:rsidRDefault="00EB1DFF" w:rsidP="00501D52">
            <w:pPr>
              <w:pStyle w:val="tabletext"/>
              <w:jc w:val="right"/>
            </w:pPr>
            <w:r w:rsidRPr="00FB3E69">
              <w:t>32</w:t>
            </w:r>
            <w:r w:rsidR="00501D52">
              <w:t xml:space="preserve"> </w:t>
            </w:r>
            <w:r w:rsidRPr="00FB3E69">
              <w:t>492</w:t>
            </w:r>
          </w:p>
        </w:tc>
        <w:tc>
          <w:tcPr>
            <w:tcW w:w="902" w:type="dxa"/>
            <w:shd w:val="clear" w:color="auto" w:fill="auto"/>
            <w:noWrap/>
            <w:hideMark/>
          </w:tcPr>
          <w:p w:rsidR="00EB1DFF" w:rsidRPr="00FB3E69" w:rsidRDefault="00EB1DFF" w:rsidP="00501D52">
            <w:pPr>
              <w:pStyle w:val="tabletext"/>
              <w:jc w:val="right"/>
            </w:pPr>
            <w:r w:rsidRPr="00FB3E69">
              <w:t>34</w:t>
            </w:r>
            <w:r w:rsidR="00501D52">
              <w:t xml:space="preserve"> </w:t>
            </w:r>
            <w:r w:rsidRPr="00FB3E69">
              <w:t>218</w:t>
            </w:r>
          </w:p>
        </w:tc>
        <w:tc>
          <w:tcPr>
            <w:tcW w:w="902" w:type="dxa"/>
            <w:shd w:val="clear" w:color="auto" w:fill="auto"/>
            <w:noWrap/>
            <w:hideMark/>
          </w:tcPr>
          <w:p w:rsidR="00EB1DFF" w:rsidRPr="00FB3E69" w:rsidRDefault="00EB1DFF" w:rsidP="00501D52">
            <w:pPr>
              <w:pStyle w:val="tabletext"/>
              <w:jc w:val="right"/>
            </w:pPr>
            <w:r w:rsidRPr="00FB3E69">
              <w:t>17</w:t>
            </w:r>
            <w:r w:rsidR="00501D52">
              <w:t xml:space="preserve"> </w:t>
            </w:r>
            <w:r w:rsidRPr="00FB3E69">
              <w:t>780</w:t>
            </w:r>
          </w:p>
        </w:tc>
        <w:tc>
          <w:tcPr>
            <w:tcW w:w="902" w:type="dxa"/>
          </w:tcPr>
          <w:p w:rsidR="00EB1DFF" w:rsidRPr="00FB3E69" w:rsidRDefault="00EB1DFF" w:rsidP="00501D52">
            <w:pPr>
              <w:pStyle w:val="tabletext"/>
              <w:jc w:val="right"/>
            </w:pPr>
            <w:r w:rsidRPr="00FB3E69">
              <w:t>8</w:t>
            </w:r>
            <w:r w:rsidR="00501D52">
              <w:t xml:space="preserve"> </w:t>
            </w:r>
            <w:r w:rsidRPr="00FB3E69">
              <w:t>422</w:t>
            </w:r>
          </w:p>
        </w:tc>
      </w:tr>
      <w:tr w:rsidR="00EB1DFF" w:rsidRPr="00FB3E69" w:rsidTr="0004682C">
        <w:trPr>
          <w:trHeight w:val="300"/>
        </w:trPr>
        <w:tc>
          <w:tcPr>
            <w:tcW w:w="1560" w:type="dxa"/>
            <w:vMerge/>
            <w:tcBorders>
              <w:bottom w:val="single" w:sz="4" w:space="0" w:color="auto"/>
            </w:tcBorders>
            <w:vAlign w:val="center"/>
            <w:hideMark/>
          </w:tcPr>
          <w:p w:rsidR="00EB1DFF" w:rsidRPr="00D44DA3" w:rsidRDefault="00EB1DFF" w:rsidP="00E5760E">
            <w:pPr>
              <w:pStyle w:val="Tableheader"/>
            </w:pPr>
          </w:p>
        </w:tc>
        <w:tc>
          <w:tcPr>
            <w:tcW w:w="1787" w:type="dxa"/>
            <w:tcBorders>
              <w:bottom w:val="single" w:sz="4" w:space="0" w:color="auto"/>
            </w:tcBorders>
            <w:shd w:val="clear" w:color="auto" w:fill="auto"/>
            <w:noWrap/>
            <w:hideMark/>
          </w:tcPr>
          <w:p w:rsidR="00EB1DFF" w:rsidRPr="00D44DA3" w:rsidRDefault="00175A73" w:rsidP="0004682C">
            <w:pPr>
              <w:pStyle w:val="tabletext"/>
            </w:pPr>
            <w:r w:rsidRPr="00D44DA3">
              <w:t>Registered</w:t>
            </w:r>
            <w:r>
              <w:t xml:space="preserve">  </w:t>
            </w:r>
            <w:r w:rsidRPr="00175A73">
              <w:rPr>
                <w:b/>
              </w:rPr>
              <w:t>a</w:t>
            </w:r>
          </w:p>
        </w:tc>
        <w:tc>
          <w:tcPr>
            <w:tcW w:w="902" w:type="dxa"/>
            <w:tcBorders>
              <w:bottom w:val="single" w:sz="4" w:space="0" w:color="auto"/>
            </w:tcBorders>
            <w:shd w:val="clear" w:color="auto" w:fill="auto"/>
            <w:noWrap/>
            <w:hideMark/>
          </w:tcPr>
          <w:p w:rsidR="00EB1DFF" w:rsidRPr="00FB3E69" w:rsidRDefault="00501D52" w:rsidP="00501D52">
            <w:pPr>
              <w:pStyle w:val="tabletext"/>
              <w:jc w:val="right"/>
            </w:pPr>
            <w:r>
              <w:t>na</w:t>
            </w:r>
          </w:p>
        </w:tc>
        <w:tc>
          <w:tcPr>
            <w:tcW w:w="902" w:type="dxa"/>
            <w:tcBorders>
              <w:bottom w:val="single" w:sz="4" w:space="0" w:color="auto"/>
            </w:tcBorders>
            <w:shd w:val="clear" w:color="auto" w:fill="auto"/>
            <w:noWrap/>
            <w:hideMark/>
          </w:tcPr>
          <w:p w:rsidR="00EB1DFF" w:rsidRPr="00FB3E69" w:rsidRDefault="00501D52" w:rsidP="00501D52">
            <w:pPr>
              <w:pStyle w:val="tabletext"/>
              <w:jc w:val="right"/>
            </w:pPr>
            <w:r>
              <w:t>na</w:t>
            </w:r>
          </w:p>
        </w:tc>
        <w:tc>
          <w:tcPr>
            <w:tcW w:w="902" w:type="dxa"/>
            <w:tcBorders>
              <w:bottom w:val="single" w:sz="4" w:space="0" w:color="auto"/>
            </w:tcBorders>
            <w:shd w:val="clear" w:color="auto" w:fill="auto"/>
            <w:noWrap/>
            <w:hideMark/>
          </w:tcPr>
          <w:p w:rsidR="00EB1DFF" w:rsidRPr="00FB3E69" w:rsidRDefault="00501D52" w:rsidP="00501D52">
            <w:pPr>
              <w:pStyle w:val="tabletext"/>
              <w:jc w:val="right"/>
            </w:pPr>
            <w:r>
              <w:t>na</w:t>
            </w:r>
          </w:p>
        </w:tc>
        <w:tc>
          <w:tcPr>
            <w:tcW w:w="902" w:type="dxa"/>
            <w:tcBorders>
              <w:bottom w:val="single" w:sz="4" w:space="0" w:color="auto"/>
            </w:tcBorders>
            <w:shd w:val="clear" w:color="auto" w:fill="auto"/>
            <w:noWrap/>
            <w:hideMark/>
          </w:tcPr>
          <w:p w:rsidR="00EB1DFF" w:rsidRPr="00FB3E69" w:rsidRDefault="00501D52" w:rsidP="00501D52">
            <w:pPr>
              <w:pStyle w:val="tabletext"/>
              <w:jc w:val="right"/>
            </w:pPr>
            <w:r>
              <w:t>na</w:t>
            </w:r>
          </w:p>
        </w:tc>
        <w:tc>
          <w:tcPr>
            <w:tcW w:w="902" w:type="dxa"/>
            <w:tcBorders>
              <w:bottom w:val="single" w:sz="4" w:space="0" w:color="auto"/>
            </w:tcBorders>
          </w:tcPr>
          <w:p w:rsidR="00EB1DFF" w:rsidRPr="00FB3E69" w:rsidRDefault="00501D52" w:rsidP="00501D52">
            <w:pPr>
              <w:pStyle w:val="tabletext"/>
              <w:jc w:val="right"/>
            </w:pPr>
            <w:r>
              <w:t>na</w:t>
            </w:r>
          </w:p>
        </w:tc>
      </w:tr>
      <w:tr w:rsidR="00EB1DFF" w:rsidRPr="00FB3E69" w:rsidTr="0004682C">
        <w:trPr>
          <w:trHeight w:val="300"/>
        </w:trPr>
        <w:tc>
          <w:tcPr>
            <w:tcW w:w="1560" w:type="dxa"/>
            <w:vMerge w:val="restart"/>
            <w:tcBorders>
              <w:top w:val="single" w:sz="4" w:space="0" w:color="auto"/>
            </w:tcBorders>
            <w:shd w:val="clear" w:color="auto" w:fill="auto"/>
            <w:noWrap/>
            <w:vAlign w:val="center"/>
            <w:hideMark/>
          </w:tcPr>
          <w:p w:rsidR="00EB1DFF" w:rsidRPr="00D44DA3" w:rsidRDefault="00EB1DFF" w:rsidP="00E5760E">
            <w:pPr>
              <w:pStyle w:val="Tableheader"/>
            </w:pPr>
            <w:r w:rsidRPr="00D44DA3">
              <w:t>National</w:t>
            </w:r>
            <w:r>
              <w:t xml:space="preserve"> totals</w:t>
            </w:r>
          </w:p>
        </w:tc>
        <w:tc>
          <w:tcPr>
            <w:tcW w:w="1787" w:type="dxa"/>
            <w:tcBorders>
              <w:top w:val="single" w:sz="4" w:space="0" w:color="auto"/>
            </w:tcBorders>
            <w:shd w:val="clear" w:color="auto" w:fill="auto"/>
            <w:noWrap/>
            <w:hideMark/>
          </w:tcPr>
          <w:p w:rsidR="00EB1DFF" w:rsidRPr="00D44DA3" w:rsidRDefault="00EB1DFF" w:rsidP="0004682C">
            <w:pPr>
              <w:pStyle w:val="tabletext"/>
            </w:pPr>
            <w:r w:rsidRPr="00D44DA3">
              <w:t>Letter</w:t>
            </w:r>
            <w:r>
              <w:t>s</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13</w:t>
            </w:r>
            <w:r w:rsidR="00501D52">
              <w:t xml:space="preserve"> </w:t>
            </w:r>
            <w:r w:rsidRPr="00FB3E69">
              <w:t>228</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12</w:t>
            </w:r>
            <w:r w:rsidR="00501D52">
              <w:t xml:space="preserve"> </w:t>
            </w:r>
            <w:r w:rsidRPr="00FB3E69">
              <w:t>264</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8</w:t>
            </w:r>
            <w:r w:rsidR="00501D52">
              <w:t xml:space="preserve"> </w:t>
            </w:r>
            <w:r w:rsidRPr="00FB3E69">
              <w:t>532</w:t>
            </w:r>
          </w:p>
        </w:tc>
        <w:tc>
          <w:tcPr>
            <w:tcW w:w="902" w:type="dxa"/>
            <w:tcBorders>
              <w:top w:val="single" w:sz="4" w:space="0" w:color="auto"/>
            </w:tcBorders>
            <w:shd w:val="clear" w:color="auto" w:fill="auto"/>
            <w:noWrap/>
            <w:hideMark/>
          </w:tcPr>
          <w:p w:rsidR="00EB1DFF" w:rsidRPr="00FB3E69" w:rsidRDefault="00EB1DFF" w:rsidP="00501D52">
            <w:pPr>
              <w:pStyle w:val="tabletext"/>
              <w:jc w:val="right"/>
            </w:pPr>
            <w:r w:rsidRPr="00FB3E69">
              <w:t>5</w:t>
            </w:r>
            <w:r w:rsidR="00501D52">
              <w:t xml:space="preserve"> </w:t>
            </w:r>
            <w:r w:rsidRPr="00FB3E69">
              <w:t>122</w:t>
            </w:r>
          </w:p>
        </w:tc>
        <w:tc>
          <w:tcPr>
            <w:tcW w:w="902" w:type="dxa"/>
            <w:tcBorders>
              <w:top w:val="single" w:sz="4" w:space="0" w:color="auto"/>
            </w:tcBorders>
          </w:tcPr>
          <w:p w:rsidR="00EB1DFF" w:rsidRPr="00FB3E69" w:rsidRDefault="00EB1DFF" w:rsidP="00501D52">
            <w:pPr>
              <w:pStyle w:val="tabletext"/>
              <w:jc w:val="right"/>
            </w:pPr>
            <w:r w:rsidRPr="00FB3E69">
              <w:t>1</w:t>
            </w:r>
            <w:r w:rsidR="00501D52">
              <w:t xml:space="preserve"> </w:t>
            </w:r>
            <w:r w:rsidRPr="00FB3E69">
              <w:t>471</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Other a</w:t>
            </w:r>
            <w:r w:rsidRPr="00D44DA3">
              <w:t>rticles</w:t>
            </w:r>
          </w:p>
        </w:tc>
        <w:tc>
          <w:tcPr>
            <w:tcW w:w="902" w:type="dxa"/>
            <w:shd w:val="clear" w:color="auto" w:fill="auto"/>
            <w:noWrap/>
            <w:hideMark/>
          </w:tcPr>
          <w:p w:rsidR="00EB1DFF" w:rsidRPr="00FB3E69" w:rsidRDefault="00EB1DFF" w:rsidP="00501D52">
            <w:pPr>
              <w:pStyle w:val="tabletext"/>
              <w:jc w:val="right"/>
            </w:pPr>
            <w:r w:rsidRPr="00FB3E69">
              <w:t>27</w:t>
            </w:r>
            <w:r w:rsidR="00501D52">
              <w:t xml:space="preserve"> </w:t>
            </w:r>
            <w:r w:rsidRPr="00FB3E69">
              <w:t>620</w:t>
            </w:r>
          </w:p>
        </w:tc>
        <w:tc>
          <w:tcPr>
            <w:tcW w:w="902" w:type="dxa"/>
            <w:shd w:val="clear" w:color="auto" w:fill="auto"/>
            <w:noWrap/>
            <w:hideMark/>
          </w:tcPr>
          <w:p w:rsidR="00EB1DFF" w:rsidRPr="00FB3E69" w:rsidRDefault="00EB1DFF" w:rsidP="00501D52">
            <w:pPr>
              <w:pStyle w:val="tabletext"/>
              <w:jc w:val="right"/>
            </w:pPr>
            <w:r w:rsidRPr="00FB3E69">
              <w:t>21</w:t>
            </w:r>
            <w:r w:rsidR="00501D52">
              <w:t xml:space="preserve"> </w:t>
            </w:r>
            <w:r w:rsidRPr="00FB3E69">
              <w:t>117</w:t>
            </w:r>
          </w:p>
        </w:tc>
        <w:tc>
          <w:tcPr>
            <w:tcW w:w="902" w:type="dxa"/>
            <w:shd w:val="clear" w:color="auto" w:fill="auto"/>
            <w:noWrap/>
            <w:hideMark/>
          </w:tcPr>
          <w:p w:rsidR="00EB1DFF" w:rsidRPr="00FB3E69" w:rsidRDefault="00EB1DFF" w:rsidP="00501D52">
            <w:pPr>
              <w:pStyle w:val="tabletext"/>
              <w:jc w:val="right"/>
            </w:pPr>
            <w:r w:rsidRPr="00FB3E69">
              <w:t>20</w:t>
            </w:r>
            <w:r w:rsidR="00501D52">
              <w:t xml:space="preserve"> </w:t>
            </w:r>
            <w:r w:rsidRPr="00FB3E69">
              <w:t>423</w:t>
            </w:r>
          </w:p>
        </w:tc>
        <w:tc>
          <w:tcPr>
            <w:tcW w:w="902" w:type="dxa"/>
            <w:shd w:val="clear" w:color="auto" w:fill="auto"/>
            <w:noWrap/>
            <w:hideMark/>
          </w:tcPr>
          <w:p w:rsidR="00EB1DFF" w:rsidRPr="00FB3E69" w:rsidRDefault="00EB1DFF" w:rsidP="00501D52">
            <w:pPr>
              <w:pStyle w:val="tabletext"/>
              <w:jc w:val="right"/>
            </w:pPr>
            <w:r w:rsidRPr="00FB3E69">
              <w:t>13</w:t>
            </w:r>
            <w:r w:rsidR="00501D52">
              <w:t xml:space="preserve"> </w:t>
            </w:r>
            <w:r w:rsidRPr="00FB3E69">
              <w:t>024</w:t>
            </w:r>
          </w:p>
        </w:tc>
        <w:tc>
          <w:tcPr>
            <w:tcW w:w="902" w:type="dxa"/>
          </w:tcPr>
          <w:p w:rsidR="00EB1DFF" w:rsidRPr="00FB3E69" w:rsidRDefault="00EB1DFF" w:rsidP="00501D52">
            <w:pPr>
              <w:pStyle w:val="tabletext"/>
              <w:jc w:val="right"/>
            </w:pPr>
            <w:r w:rsidRPr="00FB3E69">
              <w:t>7</w:t>
            </w:r>
            <w:r w:rsidR="00501D52">
              <w:t xml:space="preserve"> </w:t>
            </w:r>
            <w:r w:rsidRPr="00FB3E69">
              <w:t>824</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t>Express mail service</w:t>
            </w:r>
            <w:r w:rsidR="00620A4C">
              <w:t>s</w:t>
            </w:r>
          </w:p>
        </w:tc>
        <w:tc>
          <w:tcPr>
            <w:tcW w:w="902" w:type="dxa"/>
            <w:shd w:val="clear" w:color="auto" w:fill="auto"/>
            <w:noWrap/>
            <w:hideMark/>
          </w:tcPr>
          <w:p w:rsidR="00EB1DFF" w:rsidRPr="00FB3E69" w:rsidRDefault="00EB1DFF" w:rsidP="00501D52">
            <w:pPr>
              <w:pStyle w:val="tabletext"/>
              <w:jc w:val="right"/>
            </w:pPr>
            <w:r w:rsidRPr="00FB3E69">
              <w:t>26</w:t>
            </w:r>
            <w:r w:rsidR="00501D52">
              <w:t xml:space="preserve"> </w:t>
            </w:r>
            <w:r w:rsidRPr="00FB3E69">
              <w:t>582</w:t>
            </w:r>
          </w:p>
        </w:tc>
        <w:tc>
          <w:tcPr>
            <w:tcW w:w="902" w:type="dxa"/>
            <w:shd w:val="clear" w:color="auto" w:fill="auto"/>
            <w:noWrap/>
            <w:hideMark/>
          </w:tcPr>
          <w:p w:rsidR="00EB1DFF" w:rsidRPr="00FB3E69" w:rsidRDefault="00EB1DFF" w:rsidP="00501D52">
            <w:pPr>
              <w:pStyle w:val="tabletext"/>
              <w:jc w:val="right"/>
            </w:pPr>
            <w:r w:rsidRPr="00FB3E69">
              <w:t>23</w:t>
            </w:r>
            <w:r w:rsidR="00501D52">
              <w:t xml:space="preserve"> </w:t>
            </w:r>
            <w:r w:rsidRPr="00FB3E69">
              <w:t>875</w:t>
            </w:r>
          </w:p>
        </w:tc>
        <w:tc>
          <w:tcPr>
            <w:tcW w:w="902" w:type="dxa"/>
            <w:shd w:val="clear" w:color="auto" w:fill="auto"/>
            <w:noWrap/>
            <w:hideMark/>
          </w:tcPr>
          <w:p w:rsidR="00EB1DFF" w:rsidRPr="00FB3E69" w:rsidRDefault="00EB1DFF" w:rsidP="00501D52">
            <w:pPr>
              <w:pStyle w:val="tabletext"/>
              <w:jc w:val="right"/>
            </w:pPr>
            <w:r w:rsidRPr="00FB3E69">
              <w:t>30</w:t>
            </w:r>
            <w:r w:rsidR="00501D52">
              <w:t xml:space="preserve"> </w:t>
            </w:r>
            <w:r w:rsidRPr="00FB3E69">
              <w:t>715</w:t>
            </w:r>
          </w:p>
        </w:tc>
        <w:tc>
          <w:tcPr>
            <w:tcW w:w="902" w:type="dxa"/>
            <w:shd w:val="clear" w:color="auto" w:fill="auto"/>
            <w:noWrap/>
            <w:hideMark/>
          </w:tcPr>
          <w:p w:rsidR="00EB1DFF" w:rsidRPr="00FB3E69" w:rsidRDefault="00EB1DFF" w:rsidP="00501D52">
            <w:pPr>
              <w:pStyle w:val="tabletext"/>
              <w:jc w:val="right"/>
            </w:pPr>
            <w:r w:rsidRPr="00FB3E69">
              <w:t>18</w:t>
            </w:r>
            <w:r w:rsidR="00501D52">
              <w:t xml:space="preserve"> </w:t>
            </w:r>
            <w:r w:rsidRPr="00FB3E69">
              <w:t>028</w:t>
            </w:r>
          </w:p>
        </w:tc>
        <w:tc>
          <w:tcPr>
            <w:tcW w:w="902" w:type="dxa"/>
          </w:tcPr>
          <w:p w:rsidR="00EB1DFF" w:rsidRPr="00FB3E69" w:rsidRDefault="00EB1DFF" w:rsidP="00501D52">
            <w:pPr>
              <w:pStyle w:val="tabletext"/>
              <w:jc w:val="right"/>
            </w:pPr>
            <w:r w:rsidRPr="00FB3E69">
              <w:t>8</w:t>
            </w:r>
            <w:r w:rsidR="00501D52">
              <w:t xml:space="preserve"> </w:t>
            </w:r>
            <w:r w:rsidRPr="00FB3E69">
              <w:t>143</w:t>
            </w:r>
          </w:p>
        </w:tc>
      </w:tr>
      <w:tr w:rsidR="00EB1DFF" w:rsidRPr="00FB3E69" w:rsidTr="0004682C">
        <w:trPr>
          <w:trHeight w:val="300"/>
        </w:trPr>
        <w:tc>
          <w:tcPr>
            <w:tcW w:w="1560" w:type="dxa"/>
            <w:vMerge/>
            <w:vAlign w:val="center"/>
            <w:hideMark/>
          </w:tcPr>
          <w:p w:rsidR="00EB1DFF" w:rsidRPr="00D44DA3" w:rsidRDefault="00EB1DFF" w:rsidP="00E5760E">
            <w:pPr>
              <w:pStyle w:val="Tableheader"/>
            </w:pPr>
          </w:p>
        </w:tc>
        <w:tc>
          <w:tcPr>
            <w:tcW w:w="1787" w:type="dxa"/>
            <w:shd w:val="clear" w:color="auto" w:fill="auto"/>
            <w:noWrap/>
            <w:hideMark/>
          </w:tcPr>
          <w:p w:rsidR="00EB1DFF" w:rsidRPr="00D44DA3" w:rsidRDefault="00EB1DFF" w:rsidP="0004682C">
            <w:pPr>
              <w:pStyle w:val="tabletext"/>
            </w:pPr>
            <w:r w:rsidRPr="00D44DA3">
              <w:t>Parcels</w:t>
            </w:r>
          </w:p>
        </w:tc>
        <w:tc>
          <w:tcPr>
            <w:tcW w:w="902" w:type="dxa"/>
            <w:shd w:val="clear" w:color="auto" w:fill="auto"/>
            <w:noWrap/>
            <w:hideMark/>
          </w:tcPr>
          <w:p w:rsidR="00EB1DFF" w:rsidRPr="00FB3E69" w:rsidRDefault="00EB1DFF" w:rsidP="00501D52">
            <w:pPr>
              <w:pStyle w:val="tabletext"/>
              <w:jc w:val="right"/>
            </w:pPr>
            <w:r w:rsidRPr="00FB3E69">
              <w:t>44</w:t>
            </w:r>
            <w:r w:rsidR="00501D52">
              <w:t xml:space="preserve"> </w:t>
            </w:r>
            <w:r w:rsidRPr="00FB3E69">
              <w:t>350</w:t>
            </w:r>
          </w:p>
        </w:tc>
        <w:tc>
          <w:tcPr>
            <w:tcW w:w="902" w:type="dxa"/>
            <w:shd w:val="clear" w:color="auto" w:fill="auto"/>
            <w:noWrap/>
            <w:hideMark/>
          </w:tcPr>
          <w:p w:rsidR="00EB1DFF" w:rsidRPr="00FB3E69" w:rsidRDefault="00EB1DFF" w:rsidP="00501D52">
            <w:pPr>
              <w:pStyle w:val="tabletext"/>
              <w:jc w:val="right"/>
            </w:pPr>
            <w:r w:rsidRPr="00FB3E69">
              <w:t>37</w:t>
            </w:r>
            <w:r w:rsidR="00501D52">
              <w:t xml:space="preserve"> </w:t>
            </w:r>
            <w:r w:rsidRPr="00FB3E69">
              <w:t>129</w:t>
            </w:r>
          </w:p>
        </w:tc>
        <w:tc>
          <w:tcPr>
            <w:tcW w:w="902" w:type="dxa"/>
            <w:shd w:val="clear" w:color="auto" w:fill="auto"/>
            <w:noWrap/>
            <w:hideMark/>
          </w:tcPr>
          <w:p w:rsidR="00EB1DFF" w:rsidRPr="00FB3E69" w:rsidRDefault="00EB1DFF" w:rsidP="00501D52">
            <w:pPr>
              <w:pStyle w:val="tabletext"/>
              <w:jc w:val="right"/>
            </w:pPr>
            <w:r w:rsidRPr="00FB3E69">
              <w:t>38</w:t>
            </w:r>
            <w:r w:rsidR="00501D52">
              <w:t xml:space="preserve"> </w:t>
            </w:r>
            <w:r w:rsidRPr="00FB3E69">
              <w:t>935</w:t>
            </w:r>
          </w:p>
        </w:tc>
        <w:tc>
          <w:tcPr>
            <w:tcW w:w="902" w:type="dxa"/>
            <w:shd w:val="clear" w:color="auto" w:fill="auto"/>
            <w:noWrap/>
            <w:hideMark/>
          </w:tcPr>
          <w:p w:rsidR="00EB1DFF" w:rsidRPr="00FB3E69" w:rsidRDefault="00EB1DFF" w:rsidP="00501D52">
            <w:pPr>
              <w:pStyle w:val="tabletext"/>
              <w:jc w:val="right"/>
            </w:pPr>
            <w:r w:rsidRPr="00FB3E69">
              <w:t>21</w:t>
            </w:r>
            <w:r w:rsidR="00501D52">
              <w:t xml:space="preserve"> </w:t>
            </w:r>
            <w:r w:rsidRPr="00FB3E69">
              <w:t>145</w:t>
            </w:r>
          </w:p>
        </w:tc>
        <w:tc>
          <w:tcPr>
            <w:tcW w:w="902" w:type="dxa"/>
          </w:tcPr>
          <w:p w:rsidR="00EB1DFF" w:rsidRPr="00FB3E69" w:rsidRDefault="00EB1DFF" w:rsidP="00501D52">
            <w:pPr>
              <w:pStyle w:val="tabletext"/>
              <w:jc w:val="right"/>
            </w:pPr>
            <w:r w:rsidRPr="00FB3E69">
              <w:t>10</w:t>
            </w:r>
            <w:r w:rsidR="00501D52">
              <w:t xml:space="preserve"> </w:t>
            </w:r>
            <w:r w:rsidRPr="00FB3E69">
              <w:t>698</w:t>
            </w:r>
          </w:p>
        </w:tc>
      </w:tr>
      <w:tr w:rsidR="00EB1DFF" w:rsidRPr="00FB3E69" w:rsidTr="0004682C">
        <w:trPr>
          <w:trHeight w:val="300"/>
        </w:trPr>
        <w:tc>
          <w:tcPr>
            <w:tcW w:w="1560" w:type="dxa"/>
            <w:vMerge/>
            <w:tcBorders>
              <w:bottom w:val="single" w:sz="4" w:space="0" w:color="auto"/>
            </w:tcBorders>
            <w:vAlign w:val="center"/>
            <w:hideMark/>
          </w:tcPr>
          <w:p w:rsidR="00EB1DFF" w:rsidRPr="00D44DA3" w:rsidRDefault="00EB1DFF" w:rsidP="00E5760E">
            <w:pPr>
              <w:pStyle w:val="Tableheader"/>
            </w:pPr>
          </w:p>
        </w:tc>
        <w:tc>
          <w:tcPr>
            <w:tcW w:w="1787" w:type="dxa"/>
            <w:tcBorders>
              <w:bottom w:val="single" w:sz="4" w:space="0" w:color="auto"/>
            </w:tcBorders>
            <w:shd w:val="clear" w:color="auto" w:fill="auto"/>
            <w:noWrap/>
            <w:hideMark/>
          </w:tcPr>
          <w:p w:rsidR="00EB1DFF" w:rsidRPr="00D44DA3" w:rsidRDefault="00390648" w:rsidP="0004682C">
            <w:pPr>
              <w:pStyle w:val="tabletext"/>
            </w:pPr>
            <w:r w:rsidRPr="00D44DA3">
              <w:t>Registered</w:t>
            </w:r>
            <w:r>
              <w:t xml:space="preserve"> </w:t>
            </w:r>
            <w:r w:rsidR="00175A73">
              <w:t xml:space="preserve"> </w:t>
            </w:r>
            <w:r w:rsidRPr="00175A73">
              <w:rPr>
                <w:b/>
              </w:rPr>
              <w:t>a</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898</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1</w:t>
            </w:r>
            <w:r w:rsidR="00501D52">
              <w:t xml:space="preserve"> </w:t>
            </w:r>
            <w:r w:rsidRPr="00FB3E69">
              <w:t>111</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447</w:t>
            </w:r>
          </w:p>
        </w:tc>
        <w:tc>
          <w:tcPr>
            <w:tcW w:w="902" w:type="dxa"/>
            <w:tcBorders>
              <w:bottom w:val="single" w:sz="4" w:space="0" w:color="auto"/>
            </w:tcBorders>
            <w:shd w:val="clear" w:color="auto" w:fill="auto"/>
            <w:noWrap/>
            <w:hideMark/>
          </w:tcPr>
          <w:p w:rsidR="00EB1DFF" w:rsidRPr="00FB3E69" w:rsidRDefault="00EB1DFF" w:rsidP="00501D52">
            <w:pPr>
              <w:pStyle w:val="tabletext"/>
              <w:jc w:val="right"/>
            </w:pPr>
            <w:r w:rsidRPr="00FB3E69">
              <w:t>207</w:t>
            </w:r>
          </w:p>
        </w:tc>
        <w:tc>
          <w:tcPr>
            <w:tcW w:w="902" w:type="dxa"/>
            <w:tcBorders>
              <w:bottom w:val="single" w:sz="4" w:space="0" w:color="auto"/>
            </w:tcBorders>
          </w:tcPr>
          <w:p w:rsidR="00EB1DFF" w:rsidRPr="00FB3E69" w:rsidRDefault="00501D52" w:rsidP="00501D52">
            <w:pPr>
              <w:pStyle w:val="tabletext"/>
              <w:jc w:val="right"/>
            </w:pPr>
            <w:r>
              <w:t>na</w:t>
            </w:r>
          </w:p>
        </w:tc>
      </w:tr>
    </w:tbl>
    <w:p w:rsidR="00EB1DFF" w:rsidRDefault="00EB1DFF" w:rsidP="00EB1DFF">
      <w:pPr>
        <w:pStyle w:val="FigureFooter"/>
      </w:pPr>
      <w:proofErr w:type="gramStart"/>
      <w:r w:rsidRPr="00B919D3">
        <w:rPr>
          <w:b/>
        </w:rPr>
        <w:t>a</w:t>
      </w:r>
      <w:proofErr w:type="gramEnd"/>
      <w:r w:rsidRPr="000D49BF">
        <w:t xml:space="preserve"> </w:t>
      </w:r>
      <w:r w:rsidR="007E4C19" w:rsidRPr="000D49BF">
        <w:t>Registered mail is no longer classified separate</w:t>
      </w:r>
      <w:r w:rsidR="00501D52">
        <w:t>ly</w:t>
      </w:r>
      <w:r w:rsidR="007E4C19" w:rsidRPr="000D49BF">
        <w:t>. Registe</w:t>
      </w:r>
      <w:r w:rsidR="007E4C19">
        <w:t>red class mail is included in the l</w:t>
      </w:r>
      <w:r w:rsidR="007E4C19" w:rsidRPr="000D49BF">
        <w:t>etter</w:t>
      </w:r>
      <w:r w:rsidR="007E4C19">
        <w:t>, other articles and p</w:t>
      </w:r>
      <w:r w:rsidR="007E4C19" w:rsidRPr="000D49BF">
        <w:t>arcels</w:t>
      </w:r>
      <w:r w:rsidR="007E4C19">
        <w:t xml:space="preserve"> information</w:t>
      </w:r>
      <w:r w:rsidR="007E4C19" w:rsidRPr="000D49BF">
        <w:t>.</w:t>
      </w:r>
    </w:p>
    <w:p w:rsidR="00175A73" w:rsidRDefault="00175A73" w:rsidP="00175A73">
      <w:pPr>
        <w:pStyle w:val="FigureFooter"/>
      </w:pPr>
      <w:r>
        <w:t>Source: Department of Agriculture</w:t>
      </w:r>
      <w:r w:rsidR="00F2605D">
        <w:t>, April 2014</w:t>
      </w:r>
    </w:p>
    <w:p w:rsidR="00EB1DFF" w:rsidRDefault="00440AA4" w:rsidP="00EB1DFF">
      <w:pPr>
        <w:pStyle w:val="FindingsNormalNumbering"/>
        <w:ind w:left="0" w:firstLine="0"/>
      </w:pPr>
      <w:r>
        <w:t>Table 6</w:t>
      </w:r>
      <w:r w:rsidR="00EB1DFF" w:rsidRPr="005C12F0">
        <w:t xml:space="preserve"> shows that the number of </w:t>
      </w:r>
      <w:r w:rsidR="00EB1DFF">
        <w:t xml:space="preserve">items </w:t>
      </w:r>
      <w:r w:rsidR="00663404" w:rsidRPr="005C12F0">
        <w:t>quarantined</w:t>
      </w:r>
      <w:r w:rsidR="00663404">
        <w:t xml:space="preserve"> (</w:t>
      </w:r>
      <w:r w:rsidR="00EB1DFF">
        <w:t>seized</w:t>
      </w:r>
      <w:r w:rsidR="00663404">
        <w:t>)</w:t>
      </w:r>
      <w:r w:rsidR="00EB1DFF" w:rsidRPr="005C12F0">
        <w:t xml:space="preserve"> greatly reduced over the five years</w:t>
      </w:r>
      <w:r>
        <w:t xml:space="preserve"> to 30 June 2013</w:t>
      </w:r>
      <w:r w:rsidR="00EB1DFF">
        <w:t>.</w:t>
      </w:r>
      <w:r w:rsidR="00EB1DFF" w:rsidRPr="005C12F0">
        <w:t xml:space="preserve"> The total number of items quarantined</w:t>
      </w:r>
      <w:r w:rsidR="00EB1DFF">
        <w:t xml:space="preserve"> </w:t>
      </w:r>
      <w:r w:rsidR="00EB1DFF" w:rsidRPr="005C12F0">
        <w:t>in 2008</w:t>
      </w:r>
      <w:r>
        <w:t>–</w:t>
      </w:r>
      <w:r w:rsidR="00EB1DFF" w:rsidRPr="005C12F0">
        <w:t>09 was 112</w:t>
      </w:r>
      <w:r>
        <w:t> </w:t>
      </w:r>
      <w:r w:rsidR="00EB1DFF" w:rsidRPr="005C12F0">
        <w:t>678 and in 2012</w:t>
      </w:r>
      <w:r>
        <w:t>–</w:t>
      </w:r>
      <w:r w:rsidR="00EB1DFF" w:rsidRPr="005C12F0">
        <w:t xml:space="preserve">13 </w:t>
      </w:r>
      <w:r w:rsidR="00EB1DFF">
        <w:t>was 28</w:t>
      </w:r>
      <w:r w:rsidR="003678D4">
        <w:t xml:space="preserve"> </w:t>
      </w:r>
      <w:r w:rsidR="00EB1DFF">
        <w:t>136.</w:t>
      </w:r>
      <w:r w:rsidR="00EB1DFF" w:rsidRPr="005C12F0">
        <w:t xml:space="preserve"> This </w:t>
      </w:r>
      <w:r w:rsidR="0046155C">
        <w:t>wa</w:t>
      </w:r>
      <w:r w:rsidR="00EB1DFF" w:rsidRPr="005C12F0">
        <w:t xml:space="preserve">s a reduction of approximately 75 </w:t>
      </w:r>
      <w:r w:rsidR="000163E8">
        <w:t>per cent</w:t>
      </w:r>
      <w:r w:rsidR="00EB1DFF" w:rsidRPr="005C12F0">
        <w:t>.</w:t>
      </w:r>
    </w:p>
    <w:p w:rsidR="00175A73" w:rsidRPr="00C53CC8" w:rsidRDefault="00663404" w:rsidP="00157EFF">
      <w:pPr>
        <w:pStyle w:val="FindingsNormalNumbering"/>
        <w:ind w:left="0" w:firstLine="0"/>
      </w:pPr>
      <w:r>
        <w:t xml:space="preserve">Changes to the </w:t>
      </w:r>
      <w:r w:rsidRPr="00175A73">
        <w:rPr>
          <w:i/>
          <w:iCs/>
          <w:color w:val="000000"/>
        </w:rPr>
        <w:t xml:space="preserve">Quarantine Proclamation 1998 </w:t>
      </w:r>
      <w:r w:rsidRPr="00175A73">
        <w:rPr>
          <w:iCs/>
          <w:color w:val="000000"/>
        </w:rPr>
        <w:t xml:space="preserve">have reduced the number of </w:t>
      </w:r>
      <w:r w:rsidR="009032F7" w:rsidRPr="00175A73">
        <w:rPr>
          <w:iCs/>
          <w:color w:val="000000"/>
        </w:rPr>
        <w:t xml:space="preserve">international mail items </w:t>
      </w:r>
      <w:r w:rsidRPr="00175A73">
        <w:rPr>
          <w:iCs/>
          <w:color w:val="000000"/>
        </w:rPr>
        <w:t xml:space="preserve">referred for biosecurity assessment. </w:t>
      </w:r>
      <w:r w:rsidR="00C94D01" w:rsidRPr="00175A73">
        <w:rPr>
          <w:color w:val="000000"/>
        </w:rPr>
        <w:t xml:space="preserve">Import </w:t>
      </w:r>
      <w:r w:rsidRPr="00175A73">
        <w:rPr>
          <w:color w:val="000000"/>
        </w:rPr>
        <w:t xml:space="preserve">permit requirements </w:t>
      </w:r>
      <w:r w:rsidR="00C94D01" w:rsidRPr="00175A73">
        <w:rPr>
          <w:color w:val="000000"/>
        </w:rPr>
        <w:t xml:space="preserve">have been removed </w:t>
      </w:r>
      <w:r w:rsidRPr="00175A73">
        <w:rPr>
          <w:color w:val="000000"/>
        </w:rPr>
        <w:t>for a specific list of commercially prepared and packaged low risk/high volume items for personal</w:t>
      </w:r>
      <w:r w:rsidR="00CD3482">
        <w:rPr>
          <w:color w:val="000000"/>
        </w:rPr>
        <w:t xml:space="preserve"> use</w:t>
      </w:r>
      <w:r w:rsidR="00C94D01" w:rsidRPr="00175A73">
        <w:rPr>
          <w:color w:val="000000"/>
        </w:rPr>
        <w:t>, such as</w:t>
      </w:r>
      <w:r w:rsidR="00C739F2" w:rsidRPr="00175A73">
        <w:rPr>
          <w:color w:val="000000"/>
        </w:rPr>
        <w:t xml:space="preserve"> </w:t>
      </w:r>
      <w:r w:rsidRPr="00175A73">
        <w:rPr>
          <w:color w:val="000000"/>
        </w:rPr>
        <w:t>egg no</w:t>
      </w:r>
      <w:r w:rsidR="00D03CC5" w:rsidRPr="00175A73">
        <w:rPr>
          <w:color w:val="000000"/>
        </w:rPr>
        <w:t>o</w:t>
      </w:r>
      <w:r w:rsidRPr="00175A73">
        <w:rPr>
          <w:color w:val="000000"/>
        </w:rPr>
        <w:t>dles and</w:t>
      </w:r>
      <w:r w:rsidR="002410BF" w:rsidRPr="00175A73">
        <w:rPr>
          <w:color w:val="000000"/>
        </w:rPr>
        <w:t xml:space="preserve"> meat</w:t>
      </w:r>
      <w:r w:rsidRPr="00175A73">
        <w:rPr>
          <w:color w:val="000000"/>
        </w:rPr>
        <w:t xml:space="preserve"> jerky.</w:t>
      </w:r>
    </w:p>
    <w:p w:rsidR="00C53CC8" w:rsidRDefault="00C53CC8" w:rsidP="00C53CC8">
      <w:pPr>
        <w:pStyle w:val="FindingsNormalNumbering"/>
        <w:ind w:left="0" w:firstLine="0"/>
      </w:pPr>
      <w:r>
        <w:t>The department reports on its website that, with the rapid expansion of the internet, the importation of goods purchased through e-commerce mail orders poses a significant biosecurity risk to Australia. Mail order/online purchases constitute a significant proportion of items seized after departmental screening.</w:t>
      </w:r>
    </w:p>
    <w:p w:rsidR="00E85DC9" w:rsidRPr="009B3059" w:rsidRDefault="00E85DC9" w:rsidP="00C53CC8">
      <w:pPr>
        <w:pStyle w:val="FindingsNormalNumbering"/>
        <w:ind w:left="0" w:firstLine="0"/>
      </w:pPr>
      <w:r w:rsidRPr="009B3059">
        <w:t xml:space="preserve">In </w:t>
      </w:r>
      <w:r w:rsidR="009B7F16" w:rsidRPr="009B3059">
        <w:t xml:space="preserve">2012–13 </w:t>
      </w:r>
      <w:r w:rsidRPr="009B3059">
        <w:t>the department estimated that 99.9 per cent of incoming mail items were compliant with quarantine regulations</w:t>
      </w:r>
      <w:r w:rsidR="009B7F16" w:rsidRPr="009B3059">
        <w:t xml:space="preserve">. Therefore the department </w:t>
      </w:r>
      <w:r w:rsidR="009B3059">
        <w:t>would have</w:t>
      </w:r>
      <w:r w:rsidR="009B7F16" w:rsidRPr="009B3059">
        <w:t xml:space="preserve"> to locate less than 0.1 per cent of arriving mail to identify items of biosecurity concern.</w:t>
      </w:r>
    </w:p>
    <w:p w:rsidR="00157EFF" w:rsidRDefault="00157EFF" w:rsidP="00175A73">
      <w:pPr>
        <w:pStyle w:val="Findingsub-heading"/>
      </w:pPr>
      <w:r>
        <w:t>Mail Assessment</w:t>
      </w:r>
    </w:p>
    <w:p w:rsidR="00BC3565" w:rsidRPr="009B1CFB" w:rsidRDefault="000A0D19" w:rsidP="009B1CFB">
      <w:pPr>
        <w:pStyle w:val="FindingsNormalNumbering"/>
        <w:ind w:left="0" w:firstLine="0"/>
      </w:pPr>
      <w:r>
        <w:t>The department</w:t>
      </w:r>
      <w:r w:rsidR="00BC3565" w:rsidRPr="00D44DA3">
        <w:t xml:space="preserve"> </w:t>
      </w:r>
      <w:r w:rsidR="00BC3565" w:rsidRPr="003678D4">
        <w:t>implement</w:t>
      </w:r>
      <w:r w:rsidR="009B1CFB" w:rsidRPr="003678D4">
        <w:t>s</w:t>
      </w:r>
      <w:r w:rsidR="00BC3565" w:rsidRPr="003678D4">
        <w:t xml:space="preserve"> biosecurity controls</w:t>
      </w:r>
      <w:r w:rsidR="00BC3565" w:rsidRPr="00D44DA3">
        <w:t xml:space="preserve"> through assess</w:t>
      </w:r>
      <w:r w:rsidR="006C304D">
        <w:t>ing</w:t>
      </w:r>
      <w:r w:rsidR="00BC3565" w:rsidRPr="00D44DA3">
        <w:t>, screening and inspecti</w:t>
      </w:r>
      <w:r w:rsidR="006C304D">
        <w:t>ng</w:t>
      </w:r>
      <w:r w:rsidR="00BC3565" w:rsidRPr="00D44DA3">
        <w:t xml:space="preserve"> </w:t>
      </w:r>
      <w:r w:rsidR="00B72941">
        <w:t xml:space="preserve">international </w:t>
      </w:r>
      <w:r w:rsidR="00BC3565" w:rsidRPr="00D44DA3">
        <w:t xml:space="preserve">mail </w:t>
      </w:r>
      <w:r w:rsidR="00B02CBE">
        <w:t>items</w:t>
      </w:r>
      <w:r w:rsidR="00BC3565" w:rsidRPr="00D44DA3">
        <w:t xml:space="preserve">. </w:t>
      </w:r>
    </w:p>
    <w:p w:rsidR="00A24234" w:rsidRDefault="0021171E" w:rsidP="00A24234">
      <w:pPr>
        <w:pStyle w:val="FindingsNormalNumbering"/>
        <w:ind w:left="0" w:firstLine="0"/>
      </w:pPr>
      <w:r>
        <w:t xml:space="preserve">Officers use </w:t>
      </w:r>
      <w:r w:rsidRPr="00B02CBE">
        <w:t xml:space="preserve">profiles </w:t>
      </w:r>
      <w:r w:rsidR="00121F7A">
        <w:t xml:space="preserve">to determine </w:t>
      </w:r>
      <w:r>
        <w:t xml:space="preserve">whether </w:t>
      </w:r>
      <w:r w:rsidR="00BC3565" w:rsidRPr="00B02CBE">
        <w:t xml:space="preserve">international mail items </w:t>
      </w:r>
      <w:r>
        <w:t xml:space="preserve">should be </w:t>
      </w:r>
      <w:r w:rsidR="00BC3565" w:rsidRPr="00B02CBE">
        <w:t>screen</w:t>
      </w:r>
      <w:r w:rsidR="00D03CC5">
        <w:t>ed</w:t>
      </w:r>
      <w:r w:rsidR="00BC3565" w:rsidRPr="00B02CBE">
        <w:t xml:space="preserve">. </w:t>
      </w:r>
      <w:r>
        <w:t xml:space="preserve">They also use </w:t>
      </w:r>
      <w:r w:rsidRPr="00B02CBE">
        <w:t xml:space="preserve">profiles </w:t>
      </w:r>
      <w:r>
        <w:t xml:space="preserve">to </w:t>
      </w:r>
      <w:r w:rsidR="00121F7A">
        <w:t>determine</w:t>
      </w:r>
      <w:r w:rsidR="00A24234">
        <w:t xml:space="preserve"> </w:t>
      </w:r>
      <w:r w:rsidR="00121F7A">
        <w:t>appropriate</w:t>
      </w:r>
      <w:r w:rsidR="00A24234">
        <w:t xml:space="preserve"> screening</w:t>
      </w:r>
      <w:r w:rsidR="00011E62">
        <w:t xml:space="preserve"> and inspection</w:t>
      </w:r>
      <w:r w:rsidR="00A24234">
        <w:t xml:space="preserve"> method</w:t>
      </w:r>
      <w:r w:rsidR="00121F7A">
        <w:t>s</w:t>
      </w:r>
      <w:r w:rsidR="00BC3565" w:rsidRPr="00B02CBE">
        <w:t>.</w:t>
      </w:r>
      <w:r w:rsidR="00B02CBE">
        <w:t xml:space="preserve"> </w:t>
      </w:r>
      <w:r w:rsidR="00E92277">
        <w:t xml:space="preserve">Most </w:t>
      </w:r>
      <w:r w:rsidR="00B02CBE">
        <w:t>profiles have been developed nationally</w:t>
      </w:r>
      <w:r w:rsidR="00580640">
        <w:t>.</w:t>
      </w:r>
      <w:r w:rsidR="00B02CBE">
        <w:t xml:space="preserve"> </w:t>
      </w:r>
      <w:r w:rsidR="00580640">
        <w:t xml:space="preserve">However, </w:t>
      </w:r>
      <w:r w:rsidR="00E92277">
        <w:t xml:space="preserve">individual mail centres can </w:t>
      </w:r>
      <w:r w:rsidR="00175A73">
        <w:t>use their</w:t>
      </w:r>
      <w:r w:rsidR="00CE4A0C">
        <w:t xml:space="preserve"> particular</w:t>
      </w:r>
      <w:r w:rsidR="00175A73">
        <w:t xml:space="preserve"> </w:t>
      </w:r>
      <w:r w:rsidR="00E92277">
        <w:t>information</w:t>
      </w:r>
      <w:r w:rsidR="00175A73">
        <w:t xml:space="preserve"> and knowledge </w:t>
      </w:r>
      <w:r w:rsidR="00E92277">
        <w:t xml:space="preserve">to develop </w:t>
      </w:r>
      <w:r w:rsidR="00CD461B">
        <w:t>l</w:t>
      </w:r>
      <w:r w:rsidR="00B02CBE" w:rsidRPr="00B02CBE">
        <w:t>ocal profiles</w:t>
      </w:r>
      <w:r w:rsidR="00CD461B">
        <w:t xml:space="preserve"> </w:t>
      </w:r>
      <w:r w:rsidR="00B02CBE" w:rsidRPr="00B02CBE">
        <w:t xml:space="preserve">to </w:t>
      </w:r>
      <w:r w:rsidR="00F2605D">
        <w:t>enhance</w:t>
      </w:r>
      <w:r w:rsidR="00B02CBE" w:rsidRPr="00B02CBE">
        <w:t xml:space="preserve"> </w:t>
      </w:r>
      <w:r w:rsidR="00B02CBE" w:rsidRPr="003678D4">
        <w:t>the</w:t>
      </w:r>
      <w:r w:rsidR="00B02CBE" w:rsidRPr="00B02CBE">
        <w:t xml:space="preserve"> effectiveness and efficiency of national profiles</w:t>
      </w:r>
      <w:r w:rsidR="00CD461B">
        <w:t>.</w:t>
      </w:r>
    </w:p>
    <w:p w:rsidR="00A24234" w:rsidRPr="00BA6C36" w:rsidRDefault="00BC3565" w:rsidP="00BA6C36">
      <w:pPr>
        <w:pStyle w:val="FindingsNormalNumbering"/>
        <w:ind w:left="0" w:firstLine="0"/>
      </w:pPr>
      <w:r w:rsidRPr="00BA6C36">
        <w:rPr>
          <w:rFonts w:cs="Calibri"/>
          <w:color w:val="000000"/>
        </w:rPr>
        <w:t xml:space="preserve">A </w:t>
      </w:r>
      <w:r w:rsidR="00546E00">
        <w:rPr>
          <w:rFonts w:cs="Calibri"/>
          <w:color w:val="000000"/>
        </w:rPr>
        <w:t>direct access</w:t>
      </w:r>
      <w:r w:rsidR="00546E00" w:rsidRPr="00BA6C36">
        <w:rPr>
          <w:rFonts w:cs="Calibri"/>
          <w:color w:val="000000"/>
        </w:rPr>
        <w:t xml:space="preserve"> </w:t>
      </w:r>
      <w:r w:rsidRPr="00BA6C36">
        <w:rPr>
          <w:rFonts w:cs="Calibri"/>
          <w:color w:val="000000"/>
        </w:rPr>
        <w:t xml:space="preserve">clearance can be applied to </w:t>
      </w:r>
      <w:proofErr w:type="gramStart"/>
      <w:r w:rsidR="008771DA">
        <w:rPr>
          <w:rFonts w:cs="Calibri"/>
          <w:color w:val="000000"/>
        </w:rPr>
        <w:t>approved</w:t>
      </w:r>
      <w:proofErr w:type="gramEnd"/>
      <w:r w:rsidR="008771DA">
        <w:rPr>
          <w:rFonts w:cs="Calibri"/>
          <w:color w:val="000000"/>
        </w:rPr>
        <w:t xml:space="preserve"> companies where the</w:t>
      </w:r>
      <w:r w:rsidRPr="00BA6C36">
        <w:rPr>
          <w:rFonts w:cs="Calibri"/>
          <w:color w:val="000000"/>
        </w:rPr>
        <w:t xml:space="preserve"> mail arrives with manifests that detail the contents of each individual mail </w:t>
      </w:r>
      <w:r w:rsidR="007B38F4" w:rsidRPr="00BA6C36">
        <w:rPr>
          <w:rFonts w:cs="Calibri"/>
          <w:color w:val="000000"/>
        </w:rPr>
        <w:t>item</w:t>
      </w:r>
      <w:r w:rsidRPr="00BA6C36">
        <w:rPr>
          <w:rFonts w:cs="Calibri"/>
          <w:color w:val="000000"/>
        </w:rPr>
        <w:t xml:space="preserve"> within </w:t>
      </w:r>
      <w:r w:rsidR="008771DA">
        <w:rPr>
          <w:rFonts w:cs="Calibri"/>
          <w:color w:val="000000"/>
        </w:rPr>
        <w:t>the</w:t>
      </w:r>
      <w:r w:rsidRPr="00BA6C36">
        <w:rPr>
          <w:rFonts w:cs="Calibri"/>
          <w:color w:val="000000"/>
        </w:rPr>
        <w:t xml:space="preserve"> consignment.</w:t>
      </w:r>
      <w:r w:rsidR="007B38F4" w:rsidRPr="00BA6C36">
        <w:rPr>
          <w:rFonts w:cs="Calibri"/>
          <w:color w:val="000000"/>
        </w:rPr>
        <w:t xml:space="preserve"> </w:t>
      </w:r>
      <w:r w:rsidRPr="00BA6C36">
        <w:rPr>
          <w:rFonts w:cs="Calibri"/>
          <w:color w:val="000000"/>
        </w:rPr>
        <w:t xml:space="preserve">Manifests </w:t>
      </w:r>
      <w:r w:rsidR="00C87FF1">
        <w:rPr>
          <w:rFonts w:cs="Calibri"/>
          <w:color w:val="000000"/>
        </w:rPr>
        <w:t>are</w:t>
      </w:r>
      <w:r w:rsidRPr="00BA6C36">
        <w:rPr>
          <w:rFonts w:cs="Calibri"/>
          <w:color w:val="000000"/>
        </w:rPr>
        <w:t xml:space="preserve"> provided prior to the arrival of the consignment at the mail </w:t>
      </w:r>
      <w:r w:rsidR="007B38F4" w:rsidRPr="00BA6C36">
        <w:rPr>
          <w:rFonts w:cs="Calibri"/>
          <w:color w:val="000000"/>
        </w:rPr>
        <w:t>centre</w:t>
      </w:r>
      <w:r w:rsidRPr="00BA6C36">
        <w:rPr>
          <w:rFonts w:cs="Calibri"/>
          <w:color w:val="000000"/>
        </w:rPr>
        <w:t xml:space="preserve">. </w:t>
      </w:r>
      <w:r w:rsidR="007B38F4" w:rsidRPr="00BA6C36">
        <w:rPr>
          <w:rFonts w:cs="Calibri"/>
          <w:color w:val="000000"/>
        </w:rPr>
        <w:t>Department</w:t>
      </w:r>
      <w:r w:rsidRPr="00BA6C36">
        <w:rPr>
          <w:rFonts w:cs="Calibri"/>
          <w:color w:val="000000"/>
        </w:rPr>
        <w:t xml:space="preserve"> officers assess </w:t>
      </w:r>
      <w:r w:rsidR="00C87FF1">
        <w:rPr>
          <w:rFonts w:cs="Calibri"/>
          <w:color w:val="000000"/>
        </w:rPr>
        <w:t>each</w:t>
      </w:r>
      <w:r w:rsidR="007B38F4" w:rsidRPr="00BA6C36">
        <w:rPr>
          <w:rFonts w:cs="Calibri"/>
          <w:color w:val="000000"/>
        </w:rPr>
        <w:t xml:space="preserve"> manifest for items of biosecurity concern</w:t>
      </w:r>
      <w:r w:rsidRPr="00BA6C36">
        <w:rPr>
          <w:rFonts w:cs="Calibri"/>
          <w:color w:val="000000"/>
        </w:rPr>
        <w:t>.</w:t>
      </w:r>
      <w:r w:rsidR="00BA6C36" w:rsidRPr="00BA6C36">
        <w:rPr>
          <w:rFonts w:cs="Calibri"/>
          <w:color w:val="000000"/>
        </w:rPr>
        <w:t xml:space="preserve"> </w:t>
      </w:r>
      <w:r w:rsidR="00BA6C36">
        <w:rPr>
          <w:rFonts w:cs="Calibri"/>
          <w:color w:val="000000"/>
        </w:rPr>
        <w:t xml:space="preserve">The </w:t>
      </w:r>
      <w:r w:rsidR="00CE4A0C">
        <w:rPr>
          <w:rFonts w:cs="Calibri"/>
          <w:color w:val="000000"/>
        </w:rPr>
        <w:lastRenderedPageBreak/>
        <w:t>department</w:t>
      </w:r>
      <w:r w:rsidR="00BA6C36">
        <w:rPr>
          <w:rFonts w:cs="Calibri"/>
          <w:color w:val="000000"/>
        </w:rPr>
        <w:t xml:space="preserve"> maintains a </w:t>
      </w:r>
      <w:r w:rsidR="00713FCF">
        <w:rPr>
          <w:rFonts w:cs="Calibri"/>
          <w:color w:val="000000"/>
        </w:rPr>
        <w:t xml:space="preserve">national </w:t>
      </w:r>
      <w:r w:rsidR="00BA6C36">
        <w:rPr>
          <w:rFonts w:cs="Calibri"/>
          <w:color w:val="000000"/>
        </w:rPr>
        <w:t>mail manifest clearance r</w:t>
      </w:r>
      <w:r w:rsidR="00BA6C36" w:rsidRPr="00BA6C36">
        <w:rPr>
          <w:rFonts w:cs="Calibri"/>
          <w:color w:val="000000"/>
        </w:rPr>
        <w:t>egister</w:t>
      </w:r>
      <w:r w:rsidR="00713FCF">
        <w:rPr>
          <w:rFonts w:cs="Calibri"/>
          <w:color w:val="000000"/>
        </w:rPr>
        <w:t xml:space="preserve">, which </w:t>
      </w:r>
      <w:r w:rsidR="00F2605D">
        <w:rPr>
          <w:rFonts w:cs="Calibri"/>
          <w:color w:val="000000"/>
        </w:rPr>
        <w:t>lists</w:t>
      </w:r>
      <w:r w:rsidR="00BA6C36">
        <w:rPr>
          <w:rFonts w:cs="Calibri"/>
          <w:color w:val="000000"/>
        </w:rPr>
        <w:t xml:space="preserve"> all </w:t>
      </w:r>
      <w:r w:rsidR="008771DA">
        <w:rPr>
          <w:rFonts w:cs="Calibri"/>
          <w:color w:val="000000"/>
        </w:rPr>
        <w:t xml:space="preserve">companies </w:t>
      </w:r>
      <w:r w:rsidR="00BA6C36">
        <w:rPr>
          <w:rFonts w:cs="Calibri"/>
          <w:color w:val="000000"/>
        </w:rPr>
        <w:t xml:space="preserve">that </w:t>
      </w:r>
      <w:r w:rsidR="008771DA">
        <w:rPr>
          <w:rFonts w:cs="Calibri"/>
          <w:color w:val="000000"/>
        </w:rPr>
        <w:t xml:space="preserve">are </w:t>
      </w:r>
      <w:r w:rsidR="009032F7">
        <w:rPr>
          <w:rFonts w:cs="Calibri"/>
          <w:color w:val="000000"/>
        </w:rPr>
        <w:t>approved</w:t>
      </w:r>
      <w:r w:rsidR="00BA6C36">
        <w:rPr>
          <w:rFonts w:cs="Calibri"/>
          <w:color w:val="000000"/>
        </w:rPr>
        <w:t xml:space="preserve"> for clearance.</w:t>
      </w:r>
    </w:p>
    <w:p w:rsidR="00A623C1" w:rsidRDefault="00A24234" w:rsidP="00B72941">
      <w:pPr>
        <w:pStyle w:val="FindingsNormalNumbering"/>
        <w:ind w:left="0" w:firstLine="0"/>
      </w:pPr>
      <w:r w:rsidRPr="00D44DA3">
        <w:rPr>
          <w:rFonts w:cs="Calibri"/>
          <w:color w:val="000000"/>
        </w:rPr>
        <w:t xml:space="preserve">Knowledge of seasonal and cultural events can assist </w:t>
      </w:r>
      <w:r w:rsidR="009032F7">
        <w:rPr>
          <w:rFonts w:cs="Calibri"/>
          <w:color w:val="000000"/>
        </w:rPr>
        <w:t>the department</w:t>
      </w:r>
      <w:r>
        <w:rPr>
          <w:rFonts w:cs="Calibri"/>
          <w:color w:val="000000"/>
        </w:rPr>
        <w:t xml:space="preserve"> </w:t>
      </w:r>
      <w:r w:rsidRPr="00D44DA3">
        <w:rPr>
          <w:rFonts w:cs="Calibri"/>
          <w:color w:val="000000"/>
        </w:rPr>
        <w:t xml:space="preserve">when the risk </w:t>
      </w:r>
      <w:r w:rsidR="00713FCF">
        <w:rPr>
          <w:rFonts w:cs="Calibri"/>
          <w:color w:val="000000"/>
        </w:rPr>
        <w:t xml:space="preserve">that </w:t>
      </w:r>
      <w:r w:rsidRPr="00D44DA3">
        <w:rPr>
          <w:rFonts w:cs="Calibri"/>
          <w:color w:val="000000"/>
        </w:rPr>
        <w:t>international mail contain</w:t>
      </w:r>
      <w:r w:rsidR="00713FCF">
        <w:rPr>
          <w:rFonts w:cs="Calibri"/>
          <w:color w:val="000000"/>
        </w:rPr>
        <w:t>s</w:t>
      </w:r>
      <w:r w:rsidRPr="00D44DA3">
        <w:rPr>
          <w:rFonts w:cs="Calibri"/>
          <w:color w:val="000000"/>
        </w:rPr>
        <w:t xml:space="preserve"> </w:t>
      </w:r>
      <w:r>
        <w:rPr>
          <w:rFonts w:cs="Calibri"/>
          <w:color w:val="000000"/>
        </w:rPr>
        <w:t>items of biosecurity concern</w:t>
      </w:r>
      <w:r w:rsidRPr="00D44DA3">
        <w:rPr>
          <w:rFonts w:cs="Calibri"/>
          <w:color w:val="000000"/>
        </w:rPr>
        <w:t xml:space="preserve"> may be elevated</w:t>
      </w:r>
      <w:r w:rsidR="00F2605D">
        <w:rPr>
          <w:rFonts w:cs="Calibri"/>
          <w:color w:val="000000"/>
        </w:rPr>
        <w:t>, f</w:t>
      </w:r>
      <w:r w:rsidR="00C53CC8">
        <w:rPr>
          <w:rFonts w:cs="Calibri"/>
          <w:color w:val="000000"/>
        </w:rPr>
        <w:t xml:space="preserve">or example, Chinese New Year, Christmas or </w:t>
      </w:r>
      <w:r w:rsidR="00C53CC8">
        <w:rPr>
          <w:rFonts w:cs="Calibri"/>
        </w:rPr>
        <w:t>Thanksgiving.</w:t>
      </w:r>
    </w:p>
    <w:p w:rsidR="000B31B4" w:rsidRDefault="000B31B4" w:rsidP="000B31B4">
      <w:pPr>
        <w:pStyle w:val="Findingsub-heading"/>
      </w:pPr>
      <w:r>
        <w:t>Challenges</w:t>
      </w:r>
    </w:p>
    <w:p w:rsidR="00713FCF" w:rsidRDefault="00E85DC9" w:rsidP="000B31B4">
      <w:pPr>
        <w:pStyle w:val="FindingsNormalNumbering"/>
        <w:ind w:left="0" w:firstLine="0"/>
      </w:pPr>
      <w:r>
        <w:t>Since 2008, t</w:t>
      </w:r>
      <w:r w:rsidR="00713FCF">
        <w:t xml:space="preserve">he </w:t>
      </w:r>
      <w:r w:rsidR="000B31B4">
        <w:t xml:space="preserve">department has </w:t>
      </w:r>
      <w:r w:rsidR="004210E1">
        <w:t>moved</w:t>
      </w:r>
      <w:r w:rsidR="000B31B4">
        <w:t xml:space="preserve"> from </w:t>
      </w:r>
      <w:r w:rsidR="009D4483">
        <w:t>i</w:t>
      </w:r>
      <w:r w:rsidR="000B31B4" w:rsidRPr="00713FCF">
        <w:t xml:space="preserve">ncreased </w:t>
      </w:r>
      <w:r w:rsidR="009D4483">
        <w:t>q</w:t>
      </w:r>
      <w:r w:rsidR="000B31B4" w:rsidRPr="00713FCF">
        <w:t xml:space="preserve">uarantine </w:t>
      </w:r>
      <w:r w:rsidR="009D4483">
        <w:t>i</w:t>
      </w:r>
      <w:r w:rsidR="000B31B4" w:rsidRPr="00713FCF">
        <w:t>ntervention</w:t>
      </w:r>
      <w:r w:rsidR="000B31B4">
        <w:t xml:space="preserve"> (where officers screen</w:t>
      </w:r>
      <w:r w:rsidR="00713FCF">
        <w:t>ed</w:t>
      </w:r>
      <w:r w:rsidR="000B31B4">
        <w:t xml:space="preserve"> and interven</w:t>
      </w:r>
      <w:r w:rsidR="00713FCF">
        <w:t>ed</w:t>
      </w:r>
      <w:r w:rsidR="000B31B4">
        <w:t xml:space="preserve"> </w:t>
      </w:r>
      <w:r w:rsidR="00F2605D">
        <w:t>with</w:t>
      </w:r>
      <w:r w:rsidR="004210E1">
        <w:t xml:space="preserve"> </w:t>
      </w:r>
      <w:r w:rsidR="009D4483">
        <w:t>the</w:t>
      </w:r>
      <w:r w:rsidR="000B31B4">
        <w:t xml:space="preserve"> majority of international mail items) to a targeted </w:t>
      </w:r>
      <w:r w:rsidR="009D4483">
        <w:t xml:space="preserve">risk-return </w:t>
      </w:r>
      <w:r w:rsidR="000B31B4">
        <w:t xml:space="preserve">intervention strategy. </w:t>
      </w:r>
      <w:r w:rsidR="004210E1">
        <w:t>The organisational c</w:t>
      </w:r>
      <w:r w:rsidR="000B31B4">
        <w:t>ulture had to change and adapt</w:t>
      </w:r>
      <w:r w:rsidR="004210E1">
        <w:t>,</w:t>
      </w:r>
      <w:r w:rsidR="000B31B4">
        <w:t xml:space="preserve"> which was challenging for </w:t>
      </w:r>
      <w:r w:rsidR="004210E1">
        <w:t xml:space="preserve">many </w:t>
      </w:r>
      <w:r w:rsidR="000B31B4">
        <w:t xml:space="preserve">staff. </w:t>
      </w:r>
      <w:r w:rsidR="009D4483">
        <w:t xml:space="preserve">The infrastructure of several </w:t>
      </w:r>
      <w:r w:rsidR="000B31B4">
        <w:t>mail centres</w:t>
      </w:r>
      <w:r w:rsidR="0071086E" w:rsidRPr="0071086E">
        <w:t xml:space="preserve"> </w:t>
      </w:r>
      <w:r w:rsidR="009D4483">
        <w:t xml:space="preserve">had been </w:t>
      </w:r>
      <w:r w:rsidR="004210E1">
        <w:t>designed and operated</w:t>
      </w:r>
      <w:r w:rsidR="000B31B4">
        <w:t xml:space="preserve"> for </w:t>
      </w:r>
      <w:r w:rsidR="009D4483">
        <w:t>i</w:t>
      </w:r>
      <w:r w:rsidR="000B31B4" w:rsidRPr="00D1352D">
        <w:t xml:space="preserve">ncreased </w:t>
      </w:r>
      <w:r w:rsidR="009D4483">
        <w:t>q</w:t>
      </w:r>
      <w:r w:rsidR="000B31B4" w:rsidRPr="00D1352D">
        <w:t xml:space="preserve">uarantine </w:t>
      </w:r>
      <w:r w:rsidR="009D4483">
        <w:t>i</w:t>
      </w:r>
      <w:r w:rsidR="000B31B4" w:rsidRPr="00D1352D">
        <w:t>ntervention</w:t>
      </w:r>
      <w:r w:rsidR="000B31B4">
        <w:t xml:space="preserve"> rather than </w:t>
      </w:r>
      <w:r w:rsidR="009D4483">
        <w:t>r</w:t>
      </w:r>
      <w:r w:rsidR="000B31B4">
        <w:t>isk</w:t>
      </w:r>
      <w:r w:rsidR="009D4483">
        <w:t>-b</w:t>
      </w:r>
      <w:r w:rsidR="000B31B4">
        <w:t xml:space="preserve">ased </w:t>
      </w:r>
      <w:r w:rsidR="009D4483">
        <w:t>i</w:t>
      </w:r>
      <w:r w:rsidR="000B31B4">
        <w:t>ntervention.</w:t>
      </w:r>
    </w:p>
    <w:p w:rsidR="00DC52E5" w:rsidRDefault="004C7AE4" w:rsidP="000B31B4">
      <w:pPr>
        <w:pStyle w:val="FindingsNormalNumbering"/>
        <w:ind w:left="0" w:firstLine="0"/>
      </w:pPr>
      <w:r>
        <w:t>Managing</w:t>
      </w:r>
      <w:r w:rsidR="000B31B4">
        <w:t xml:space="preserve"> </w:t>
      </w:r>
      <w:r>
        <w:t>i</w:t>
      </w:r>
      <w:r w:rsidR="000B31B4">
        <w:t xml:space="preserve">nternational mail is challenging, </w:t>
      </w:r>
      <w:r w:rsidR="004210E1">
        <w:t>as</w:t>
      </w:r>
      <w:r w:rsidR="000B31B4">
        <w:t xml:space="preserve"> the Low Value Parcel Processing Taskforce </w:t>
      </w:r>
      <w:r w:rsidR="00C87FF1">
        <w:t>highlighted</w:t>
      </w:r>
      <w:r w:rsidR="00C06665">
        <w:t>.</w:t>
      </w:r>
      <w:r w:rsidR="000B31B4">
        <w:t xml:space="preserve"> </w:t>
      </w:r>
      <w:r w:rsidR="00C06665">
        <w:t xml:space="preserve">No </w:t>
      </w:r>
      <w:r w:rsidR="000B31B4">
        <w:t xml:space="preserve">pre-arrival information </w:t>
      </w:r>
      <w:r w:rsidR="00C06665">
        <w:t xml:space="preserve">is </w:t>
      </w:r>
      <w:r w:rsidR="000B31B4">
        <w:t xml:space="preserve">available for </w:t>
      </w:r>
      <w:r w:rsidR="004210E1">
        <w:t xml:space="preserve">the </w:t>
      </w:r>
      <w:r w:rsidR="000B31B4">
        <w:t xml:space="preserve">majority of international mail that arrives at the Australian border. Australia Post operates </w:t>
      </w:r>
      <w:r w:rsidR="00F2605D">
        <w:t>with</w:t>
      </w:r>
      <w:r w:rsidR="000B31B4">
        <w:t>in the Universal Postal Union</w:t>
      </w:r>
      <w:r w:rsidR="00E91DC7">
        <w:t xml:space="preserve"> (UPU)</w:t>
      </w:r>
      <w:r w:rsidR="000B31B4">
        <w:t xml:space="preserve"> framework and has limited or no control over mail items until they arrive at the border. Consequently, border processes in</w:t>
      </w:r>
      <w:r w:rsidR="00A77CC7">
        <w:t xml:space="preserve"> the mail environment are more </w:t>
      </w:r>
      <w:r w:rsidR="000B31B4">
        <w:t xml:space="preserve">labour intensive </w:t>
      </w:r>
      <w:r w:rsidR="00C06665">
        <w:t>than</w:t>
      </w:r>
      <w:r w:rsidR="000B31B4">
        <w:t xml:space="preserve"> </w:t>
      </w:r>
      <w:r w:rsidR="00C87FF1">
        <w:t xml:space="preserve">for </w:t>
      </w:r>
      <w:r w:rsidR="000B31B4">
        <w:t>cargo</w:t>
      </w:r>
      <w:r w:rsidR="00C06665">
        <w:t xml:space="preserve"> </w:t>
      </w:r>
      <w:r w:rsidR="000B31B4" w:rsidRPr="0035143E">
        <w:t>(</w:t>
      </w:r>
      <w:r w:rsidR="00FC6CAE">
        <w:t>Treasury</w:t>
      </w:r>
      <w:r w:rsidR="00FC6CAE" w:rsidRPr="0035143E">
        <w:t xml:space="preserve"> </w:t>
      </w:r>
      <w:r w:rsidR="000B31B4" w:rsidRPr="0035143E">
        <w:t>2012)</w:t>
      </w:r>
      <w:r w:rsidR="00C06665">
        <w:t>.</w:t>
      </w:r>
      <w:r w:rsidR="00E91DC7">
        <w:t xml:space="preserve"> The </w:t>
      </w:r>
      <w:r w:rsidR="00051240">
        <w:t>unavailability of pre-arrival</w:t>
      </w:r>
      <w:r w:rsidR="00E91DC7">
        <w:t xml:space="preserve"> information</w:t>
      </w:r>
      <w:r w:rsidR="00051240">
        <w:t xml:space="preserve"> for mail items </w:t>
      </w:r>
      <w:r w:rsidR="00E91DC7">
        <w:t xml:space="preserve">is </w:t>
      </w:r>
      <w:r w:rsidR="00051240">
        <w:t>now</w:t>
      </w:r>
      <w:r w:rsidR="00E91DC7">
        <w:t xml:space="preserve"> being addressed by the UPU internationally. Currently</w:t>
      </w:r>
      <w:r w:rsidR="00051240">
        <w:t>,</w:t>
      </w:r>
      <w:r w:rsidR="00E91DC7">
        <w:t xml:space="preserve"> Australia Post is participating in a trial with the UPU </w:t>
      </w:r>
      <w:r w:rsidR="000467B5">
        <w:t xml:space="preserve">in </w:t>
      </w:r>
      <w:r w:rsidR="00E91DC7">
        <w:t>which</w:t>
      </w:r>
      <w:r w:rsidR="00D06605">
        <w:t xml:space="preserve"> 16</w:t>
      </w:r>
      <w:r w:rsidR="000467B5">
        <w:t xml:space="preserve"> international postal organisations</w:t>
      </w:r>
      <w:r w:rsidR="00E91DC7">
        <w:t xml:space="preserve"> </w:t>
      </w:r>
      <w:r w:rsidR="00051240">
        <w:t xml:space="preserve">provide pre-arrival information regarding items </w:t>
      </w:r>
      <w:r w:rsidR="000467B5">
        <w:t>being shipped</w:t>
      </w:r>
      <w:r w:rsidR="00D06605">
        <w:t xml:space="preserve"> to Australia</w:t>
      </w:r>
      <w:r w:rsidR="00E91DC7">
        <w:t>.</w:t>
      </w:r>
      <w:r w:rsidR="00D06605">
        <w:t xml:space="preserve"> </w:t>
      </w:r>
      <w:r w:rsidR="00E91DC7">
        <w:t xml:space="preserve"> This trial currently applies only to bar</w:t>
      </w:r>
      <w:r w:rsidR="00654369">
        <w:t>-</w:t>
      </w:r>
      <w:r w:rsidR="00E91DC7">
        <w:t>coded mail.</w:t>
      </w:r>
      <w:r w:rsidR="000467B5">
        <w:t xml:space="preserve"> The department</w:t>
      </w:r>
      <w:r w:rsidR="00D06605">
        <w:t>,</w:t>
      </w:r>
      <w:r w:rsidR="000467B5">
        <w:t xml:space="preserve"> in association with the Australian Customs and Border Protection Service</w:t>
      </w:r>
      <w:r w:rsidR="00D06605">
        <w:t>,</w:t>
      </w:r>
      <w:r w:rsidR="000467B5">
        <w:t xml:space="preserve"> </w:t>
      </w:r>
      <w:r w:rsidR="00D06605">
        <w:t>is</w:t>
      </w:r>
      <w:r w:rsidR="000467B5">
        <w:t xml:space="preserve"> collaborating with Australia Post to assess the suitability of the provided data for use in border risk assessment and profiling.  </w:t>
      </w:r>
      <w:r w:rsidR="00E91DC7">
        <w:t xml:space="preserve">   </w:t>
      </w:r>
    </w:p>
    <w:p w:rsidR="00D17F8B" w:rsidRDefault="00E1338E" w:rsidP="00E1338E">
      <w:pPr>
        <w:pStyle w:val="FindingsNormalNumbering"/>
        <w:ind w:left="0" w:firstLine="0"/>
      </w:pPr>
      <w:r w:rsidRPr="00464683">
        <w:t xml:space="preserve">In order to address these biosecurity risks, it is desirable </w:t>
      </w:r>
      <w:r>
        <w:t>that</w:t>
      </w:r>
      <w:r w:rsidR="008773DE">
        <w:t>,</w:t>
      </w:r>
      <w:r>
        <w:t xml:space="preserve"> in the future</w:t>
      </w:r>
      <w:r w:rsidR="008773DE">
        <w:t>,</w:t>
      </w:r>
      <w:r>
        <w:t xml:space="preserve"> further</w:t>
      </w:r>
      <w:r w:rsidRPr="00464683">
        <w:t xml:space="preserve"> research</w:t>
      </w:r>
      <w:r>
        <w:t xml:space="preserve"> </w:t>
      </w:r>
      <w:r w:rsidR="00F2605D">
        <w:t xml:space="preserve">is </w:t>
      </w:r>
      <w:r>
        <w:t>undertaken to</w:t>
      </w:r>
      <w:r w:rsidRPr="00464683">
        <w:t xml:space="preserve"> e</w:t>
      </w:r>
      <w:r>
        <w:t>nhanc</w:t>
      </w:r>
      <w:r w:rsidR="00F2605D">
        <w:t>e</w:t>
      </w:r>
      <w:r>
        <w:t xml:space="preserve"> detection capability. </w:t>
      </w:r>
      <w:r w:rsidRPr="00464683">
        <w:t>The increase in mail volume and labour costs</w:t>
      </w:r>
      <w:r>
        <w:t xml:space="preserve"> would justify</w:t>
      </w:r>
      <w:r w:rsidRPr="00464683">
        <w:t xml:space="preserve"> investment in</w:t>
      </w:r>
      <w:r>
        <w:t>, for example,</w:t>
      </w:r>
      <w:r w:rsidRPr="00464683">
        <w:t xml:space="preserve"> more sophisticated </w:t>
      </w:r>
      <w:r>
        <w:t>X</w:t>
      </w:r>
      <w:r>
        <w:noBreakHyphen/>
      </w:r>
      <w:r w:rsidRPr="00464683">
        <w:t>ray technology.</w:t>
      </w:r>
      <w:r w:rsidR="006E0F95">
        <w:t xml:space="preserve"> In considering new detection capabilities</w:t>
      </w:r>
      <w:r w:rsidR="00572152">
        <w:t>,</w:t>
      </w:r>
      <w:r w:rsidR="006E0F95">
        <w:t xml:space="preserve"> the department should prioritise the evaluation of technologies which can </w:t>
      </w:r>
      <w:r w:rsidR="00572152">
        <w:t xml:space="preserve">potentially </w:t>
      </w:r>
      <w:r w:rsidR="006E0F95">
        <w:t>contribute to the efficient screening of letter class</w:t>
      </w:r>
      <w:r w:rsidR="0045308C">
        <w:t xml:space="preserve"> mail. An ability to efficiently screen letter class would permit the development of profiles targeting specific cohorts within this class of mail.</w:t>
      </w:r>
      <w:r w:rsidR="00D17F8B">
        <w:t xml:space="preserve"> </w:t>
      </w:r>
    </w:p>
    <w:p w:rsidR="00D17F8B" w:rsidRDefault="00D17F8B" w:rsidP="00D17F8B">
      <w:pPr>
        <w:pStyle w:val="FindingsNormalNumbering"/>
        <w:ind w:left="0" w:firstLine="0"/>
      </w:pPr>
      <w:r>
        <w:t xml:space="preserve">Given the many challenges to addressing biosecurity risk in the international mail the department should </w:t>
      </w:r>
      <w:r w:rsidR="00D947B2">
        <w:t>continue to</w:t>
      </w:r>
      <w:r>
        <w:t xml:space="preserve"> </w:t>
      </w:r>
      <w:r w:rsidR="00D947B2">
        <w:t xml:space="preserve">engage with developers of potentially useful technologies and possibly participate in early stage trials of technologies in development. </w:t>
      </w:r>
    </w:p>
    <w:p w:rsidR="00157EFF" w:rsidRPr="00157EFF" w:rsidRDefault="00133FE2" w:rsidP="00B72941">
      <w:pPr>
        <w:pStyle w:val="Findingsub-heading"/>
      </w:pPr>
      <w:r>
        <w:t>Profiles</w:t>
      </w:r>
    </w:p>
    <w:p w:rsidR="00D8545F" w:rsidRPr="00674734" w:rsidRDefault="00D8545F" w:rsidP="00674734">
      <w:pPr>
        <w:pStyle w:val="FindingsNormalNumbering"/>
        <w:ind w:left="0" w:firstLine="0"/>
        <w:rPr>
          <w:rFonts w:cs="Calibri"/>
          <w:color w:val="000000"/>
        </w:rPr>
      </w:pPr>
      <w:r>
        <w:rPr>
          <w:rFonts w:cs="Calibri"/>
        </w:rPr>
        <w:t xml:space="preserve">National </w:t>
      </w:r>
      <w:r w:rsidR="00157EFF" w:rsidRPr="00A24234">
        <w:rPr>
          <w:rFonts w:cs="Calibri"/>
        </w:rPr>
        <w:t xml:space="preserve">profiles </w:t>
      </w:r>
      <w:r>
        <w:rPr>
          <w:rFonts w:cs="Calibri"/>
        </w:rPr>
        <w:t xml:space="preserve">introduced </w:t>
      </w:r>
      <w:r w:rsidR="00157EFF" w:rsidRPr="00A24234">
        <w:rPr>
          <w:rFonts w:cs="Calibri"/>
        </w:rPr>
        <w:t>in 2011</w:t>
      </w:r>
      <w:r w:rsidR="00157EFF">
        <w:rPr>
          <w:rFonts w:cs="Calibri"/>
        </w:rPr>
        <w:t xml:space="preserve"> have not been </w:t>
      </w:r>
      <w:r w:rsidR="00983728">
        <w:rPr>
          <w:rFonts w:cs="Calibri"/>
        </w:rPr>
        <w:t>reviewed or updated</w:t>
      </w:r>
      <w:r w:rsidR="00157EFF">
        <w:rPr>
          <w:rFonts w:cs="Calibri"/>
        </w:rPr>
        <w:t xml:space="preserve"> since. </w:t>
      </w:r>
      <w:r w:rsidR="00D111D4">
        <w:rPr>
          <w:rFonts w:cs="Calibri"/>
        </w:rPr>
        <w:t xml:space="preserve">Some mail centres have developed local </w:t>
      </w:r>
      <w:r w:rsidR="00157EFF">
        <w:rPr>
          <w:rFonts w:cs="Calibri"/>
        </w:rPr>
        <w:t>profiles and</w:t>
      </w:r>
      <w:r w:rsidR="00DC52E5">
        <w:rPr>
          <w:rFonts w:cs="Calibri"/>
        </w:rPr>
        <w:t xml:space="preserve"> implemented</w:t>
      </w:r>
      <w:r w:rsidR="00157EFF">
        <w:rPr>
          <w:rFonts w:cs="Calibri"/>
        </w:rPr>
        <w:t xml:space="preserve"> targeted </w:t>
      </w:r>
      <w:r w:rsidR="00BA6C36">
        <w:rPr>
          <w:rFonts w:cs="Calibri"/>
        </w:rPr>
        <w:t>operations</w:t>
      </w:r>
      <w:r w:rsidR="00157EFF">
        <w:rPr>
          <w:rFonts w:cs="Calibri"/>
        </w:rPr>
        <w:t xml:space="preserve"> when required.</w:t>
      </w:r>
    </w:p>
    <w:p w:rsidR="002A4C35" w:rsidRPr="00B85702" w:rsidRDefault="00D51944" w:rsidP="00291BB2">
      <w:pPr>
        <w:pStyle w:val="FindingsNormalNumbering"/>
        <w:ind w:left="0" w:firstLine="0"/>
        <w:rPr>
          <w:rFonts w:cs="Calibri"/>
          <w:color w:val="000000"/>
        </w:rPr>
      </w:pPr>
      <w:r w:rsidRPr="00011E62">
        <w:rPr>
          <w:rFonts w:cs="Calibri"/>
        </w:rPr>
        <w:t xml:space="preserve">The department can </w:t>
      </w:r>
      <w:r w:rsidR="0074089F" w:rsidRPr="00011E62">
        <w:rPr>
          <w:rFonts w:cs="Calibri"/>
        </w:rPr>
        <w:t xml:space="preserve">undertake </w:t>
      </w:r>
      <w:r w:rsidRPr="00011E62">
        <w:rPr>
          <w:rFonts w:cs="Calibri"/>
        </w:rPr>
        <w:t>t</w:t>
      </w:r>
      <w:r w:rsidR="002A4C35" w:rsidRPr="00011E62">
        <w:rPr>
          <w:rFonts w:cs="Calibri"/>
        </w:rPr>
        <w:t>arget</w:t>
      </w:r>
      <w:r w:rsidR="0074089F" w:rsidRPr="00011E62">
        <w:rPr>
          <w:rFonts w:cs="Calibri"/>
        </w:rPr>
        <w:t>ed</w:t>
      </w:r>
      <w:r w:rsidR="002A4C35" w:rsidRPr="00011E62">
        <w:rPr>
          <w:rFonts w:cs="Calibri"/>
        </w:rPr>
        <w:t xml:space="preserve"> operations to investigate or identify potential biosecurity risks </w:t>
      </w:r>
      <w:r w:rsidRPr="00011E62">
        <w:rPr>
          <w:rFonts w:cs="Calibri"/>
        </w:rPr>
        <w:t>in</w:t>
      </w:r>
      <w:r w:rsidR="00390648" w:rsidRPr="00011E62">
        <w:rPr>
          <w:rFonts w:cs="Calibri"/>
        </w:rPr>
        <w:t xml:space="preserve"> </w:t>
      </w:r>
      <w:r w:rsidR="002A4C35" w:rsidRPr="00011E62">
        <w:rPr>
          <w:rFonts w:cs="Calibri"/>
        </w:rPr>
        <w:t>international mail.</w:t>
      </w:r>
      <w:r w:rsidR="00674734" w:rsidRPr="00011E62">
        <w:rPr>
          <w:rFonts w:cs="Calibri"/>
        </w:rPr>
        <w:t xml:space="preserve"> </w:t>
      </w:r>
      <w:r w:rsidR="00011E62" w:rsidRPr="00011E62">
        <w:rPr>
          <w:rFonts w:cs="Calibri"/>
        </w:rPr>
        <w:t>These may be in response to known periods of heightened risk or be in response t</w:t>
      </w:r>
      <w:r w:rsidR="009B3617">
        <w:rPr>
          <w:rFonts w:cs="Calibri"/>
        </w:rPr>
        <w:t>o new operational intelligence.</w:t>
      </w:r>
    </w:p>
    <w:p w:rsidR="00291BB2" w:rsidRPr="00291BB2" w:rsidRDefault="00157EFF" w:rsidP="00291BB2">
      <w:pPr>
        <w:pStyle w:val="FindingsNormalNumbering"/>
        <w:ind w:left="0" w:firstLine="0"/>
        <w:rPr>
          <w:rFonts w:cs="Calibri"/>
          <w:color w:val="000000"/>
        </w:rPr>
      </w:pPr>
      <w:r>
        <w:rPr>
          <w:rFonts w:cs="Calibri"/>
        </w:rPr>
        <w:t xml:space="preserve">The </w:t>
      </w:r>
      <w:r w:rsidR="00A0562D">
        <w:rPr>
          <w:rFonts w:cs="Calibri"/>
        </w:rPr>
        <w:t>M</w:t>
      </w:r>
      <w:r>
        <w:rPr>
          <w:rFonts w:cs="Calibri"/>
        </w:rPr>
        <w:t xml:space="preserve">ail </w:t>
      </w:r>
      <w:r w:rsidR="00A0562D">
        <w:rPr>
          <w:rFonts w:cs="Calibri"/>
        </w:rPr>
        <w:t>P</w:t>
      </w:r>
      <w:r>
        <w:rPr>
          <w:rFonts w:cs="Calibri"/>
        </w:rPr>
        <w:t xml:space="preserve">rogram captures </w:t>
      </w:r>
      <w:r w:rsidR="00464683">
        <w:rPr>
          <w:rFonts w:cs="Calibri"/>
        </w:rPr>
        <w:t xml:space="preserve">a </w:t>
      </w:r>
      <w:r w:rsidR="0024371E">
        <w:rPr>
          <w:rFonts w:cs="Calibri"/>
        </w:rPr>
        <w:t>considerable</w:t>
      </w:r>
      <w:r w:rsidR="00464683">
        <w:rPr>
          <w:rFonts w:cs="Calibri"/>
        </w:rPr>
        <w:t xml:space="preserve"> amount of</w:t>
      </w:r>
      <w:r>
        <w:rPr>
          <w:rFonts w:cs="Calibri"/>
        </w:rPr>
        <w:t xml:space="preserve"> useful information and this should be u</w:t>
      </w:r>
      <w:r w:rsidR="00A0562D">
        <w:rPr>
          <w:rFonts w:cs="Calibri"/>
        </w:rPr>
        <w:t>sed</w:t>
      </w:r>
      <w:r>
        <w:rPr>
          <w:rFonts w:cs="Calibri"/>
        </w:rPr>
        <w:t xml:space="preserve"> to enhance national profiles. The IIGB </w:t>
      </w:r>
      <w:r w:rsidR="00DE3C4A">
        <w:rPr>
          <w:rFonts w:cs="Calibri"/>
        </w:rPr>
        <w:t>was informed</w:t>
      </w:r>
      <w:r>
        <w:rPr>
          <w:rFonts w:cs="Calibri"/>
        </w:rPr>
        <w:t xml:space="preserve"> that the risk </w:t>
      </w:r>
      <w:r>
        <w:rPr>
          <w:rFonts w:cs="Calibri"/>
        </w:rPr>
        <w:lastRenderedPageBreak/>
        <w:t xml:space="preserve">categorisations </w:t>
      </w:r>
      <w:r w:rsidR="00EB797D">
        <w:rPr>
          <w:rFonts w:cs="Calibri"/>
        </w:rPr>
        <w:t>were</w:t>
      </w:r>
      <w:r w:rsidR="00B10899">
        <w:rPr>
          <w:rFonts w:cs="Calibri"/>
        </w:rPr>
        <w:t xml:space="preserve"> being reviewed </w:t>
      </w:r>
      <w:r>
        <w:rPr>
          <w:rFonts w:cs="Calibri"/>
        </w:rPr>
        <w:t xml:space="preserve">to ensure </w:t>
      </w:r>
      <w:r w:rsidR="00B10899">
        <w:rPr>
          <w:rFonts w:cs="Calibri"/>
        </w:rPr>
        <w:t>they</w:t>
      </w:r>
      <w:r w:rsidR="00C47B7C">
        <w:rPr>
          <w:rFonts w:cs="Calibri"/>
        </w:rPr>
        <w:t xml:space="preserve"> targeted</w:t>
      </w:r>
      <w:r w:rsidR="00A0562D">
        <w:rPr>
          <w:rFonts w:cs="Calibri"/>
        </w:rPr>
        <w:t xml:space="preserve"> </w:t>
      </w:r>
      <w:r w:rsidR="00291BB2">
        <w:rPr>
          <w:rFonts w:cs="Calibri"/>
        </w:rPr>
        <w:t xml:space="preserve">the </w:t>
      </w:r>
      <w:r>
        <w:rPr>
          <w:rFonts w:cs="Calibri"/>
        </w:rPr>
        <w:t xml:space="preserve">correct commodities. </w:t>
      </w:r>
      <w:r w:rsidR="00A0562D">
        <w:rPr>
          <w:rFonts w:cs="Calibri"/>
        </w:rPr>
        <w:t xml:space="preserve">After it completes </w:t>
      </w:r>
      <w:r>
        <w:rPr>
          <w:rFonts w:cs="Calibri"/>
        </w:rPr>
        <w:t>this project, the pr</w:t>
      </w:r>
      <w:r w:rsidR="00B72941">
        <w:rPr>
          <w:rFonts w:cs="Calibri"/>
        </w:rPr>
        <w:t>ogram should review</w:t>
      </w:r>
      <w:r w:rsidR="00EB797D">
        <w:rPr>
          <w:rFonts w:cs="Calibri"/>
        </w:rPr>
        <w:t>,</w:t>
      </w:r>
      <w:r w:rsidR="00B72941">
        <w:rPr>
          <w:rFonts w:cs="Calibri"/>
        </w:rPr>
        <w:t xml:space="preserve"> and </w:t>
      </w:r>
      <w:r w:rsidR="00A0562D">
        <w:rPr>
          <w:rFonts w:cs="Calibri"/>
        </w:rPr>
        <w:t>where necessary</w:t>
      </w:r>
      <w:r w:rsidR="00B10899">
        <w:rPr>
          <w:rFonts w:cs="Calibri"/>
        </w:rPr>
        <w:t>,</w:t>
      </w:r>
      <w:r w:rsidR="00A0562D">
        <w:rPr>
          <w:rFonts w:cs="Calibri"/>
        </w:rPr>
        <w:t xml:space="preserve"> </w:t>
      </w:r>
      <w:r w:rsidR="00187B59">
        <w:rPr>
          <w:rFonts w:cs="Calibri"/>
        </w:rPr>
        <w:t xml:space="preserve">update </w:t>
      </w:r>
      <w:r>
        <w:rPr>
          <w:rFonts w:cs="Calibri"/>
        </w:rPr>
        <w:t>national profiles</w:t>
      </w:r>
      <w:r w:rsidR="00B72941">
        <w:rPr>
          <w:rFonts w:cs="Calibri"/>
        </w:rPr>
        <w:t xml:space="preserve"> </w:t>
      </w:r>
      <w:r w:rsidR="00133FE2">
        <w:rPr>
          <w:rFonts w:cs="Calibri"/>
        </w:rPr>
        <w:t>for international mail</w:t>
      </w:r>
      <w:r w:rsidR="00187B59">
        <w:rPr>
          <w:rFonts w:cs="Calibri"/>
        </w:rPr>
        <w:t>.</w:t>
      </w:r>
    </w:p>
    <w:p w:rsidR="007D678E" w:rsidRPr="00485A0D" w:rsidRDefault="00D07466" w:rsidP="007D678E">
      <w:pPr>
        <w:pStyle w:val="FindingsNormalNumbering"/>
        <w:ind w:left="0" w:firstLine="0"/>
        <w:rPr>
          <w:rFonts w:cs="Calibri"/>
          <w:color w:val="000000"/>
        </w:rPr>
      </w:pPr>
      <w:r>
        <w:rPr>
          <w:rFonts w:cs="Calibri"/>
        </w:rPr>
        <w:t xml:space="preserve">As </w:t>
      </w:r>
      <w:r w:rsidR="00133FE2">
        <w:rPr>
          <w:rFonts w:cs="Calibri"/>
        </w:rPr>
        <w:t xml:space="preserve">national profiles are </w:t>
      </w:r>
      <w:r w:rsidR="00F2605D">
        <w:rPr>
          <w:rFonts w:cs="Calibri"/>
        </w:rPr>
        <w:t>crucial in</w:t>
      </w:r>
      <w:r w:rsidR="00133FE2">
        <w:rPr>
          <w:rFonts w:cs="Calibri"/>
        </w:rPr>
        <w:t xml:space="preserve"> assessing international mail, the</w:t>
      </w:r>
      <w:r w:rsidR="00A0562D">
        <w:rPr>
          <w:rFonts w:cs="Calibri"/>
        </w:rPr>
        <w:t>y should be</w:t>
      </w:r>
      <w:r w:rsidR="00157EFF">
        <w:rPr>
          <w:rFonts w:cs="Calibri"/>
        </w:rPr>
        <w:t xml:space="preserve"> review</w:t>
      </w:r>
      <w:r w:rsidR="00A0562D">
        <w:rPr>
          <w:rFonts w:cs="Calibri"/>
        </w:rPr>
        <w:t>ed</w:t>
      </w:r>
      <w:r w:rsidR="00157EFF">
        <w:rPr>
          <w:rFonts w:cs="Calibri"/>
        </w:rPr>
        <w:t xml:space="preserve"> and updat</w:t>
      </w:r>
      <w:r w:rsidR="00A0562D">
        <w:rPr>
          <w:rFonts w:cs="Calibri"/>
        </w:rPr>
        <w:t>ed</w:t>
      </w:r>
      <w:r w:rsidR="00157EFF">
        <w:rPr>
          <w:rFonts w:cs="Calibri"/>
        </w:rPr>
        <w:t xml:space="preserve"> more regular</w:t>
      </w:r>
      <w:r w:rsidR="00A0562D">
        <w:rPr>
          <w:rFonts w:cs="Calibri"/>
        </w:rPr>
        <w:t>ly</w:t>
      </w:r>
      <w:r w:rsidR="00157EFF">
        <w:rPr>
          <w:rFonts w:cs="Calibri"/>
        </w:rPr>
        <w:t xml:space="preserve"> to ensure </w:t>
      </w:r>
      <w:r w:rsidR="00A0562D">
        <w:rPr>
          <w:rFonts w:cs="Calibri"/>
        </w:rPr>
        <w:t xml:space="preserve">their </w:t>
      </w:r>
      <w:r w:rsidR="00157EFF">
        <w:rPr>
          <w:rFonts w:cs="Calibri"/>
        </w:rPr>
        <w:t>effective</w:t>
      </w:r>
      <w:r w:rsidR="00A0562D">
        <w:rPr>
          <w:rFonts w:cs="Calibri"/>
        </w:rPr>
        <w:t>ness</w:t>
      </w:r>
      <w:r w:rsidR="00157EFF">
        <w:rPr>
          <w:rFonts w:cs="Calibri"/>
        </w:rPr>
        <w:t>.</w:t>
      </w:r>
      <w:r w:rsidR="00291BB2">
        <w:rPr>
          <w:rFonts w:cs="Calibri"/>
          <w:color w:val="000000"/>
        </w:rPr>
        <w:t xml:space="preserve"> </w:t>
      </w:r>
      <w:r w:rsidR="00A0562D">
        <w:rPr>
          <w:rFonts w:cs="Calibri"/>
          <w:color w:val="000000"/>
        </w:rPr>
        <w:t xml:space="preserve">Staff would then </w:t>
      </w:r>
      <w:r w:rsidR="00CB0DE9">
        <w:rPr>
          <w:rFonts w:cs="Calibri"/>
          <w:color w:val="000000"/>
        </w:rPr>
        <w:t xml:space="preserve">target current </w:t>
      </w:r>
      <w:r w:rsidR="00D91BEB">
        <w:rPr>
          <w:rFonts w:cs="Calibri"/>
          <w:color w:val="000000"/>
        </w:rPr>
        <w:t>biosecurity</w:t>
      </w:r>
      <w:r w:rsidR="00CB0DE9">
        <w:rPr>
          <w:rFonts w:cs="Calibri"/>
          <w:color w:val="000000"/>
        </w:rPr>
        <w:t xml:space="preserve"> </w:t>
      </w:r>
      <w:r w:rsidR="00A0562D">
        <w:rPr>
          <w:rFonts w:cs="Calibri"/>
          <w:color w:val="000000"/>
        </w:rPr>
        <w:t xml:space="preserve">risk </w:t>
      </w:r>
      <w:r w:rsidR="00CB0DE9">
        <w:rPr>
          <w:rFonts w:cs="Calibri"/>
          <w:color w:val="000000"/>
        </w:rPr>
        <w:t>items, rather</w:t>
      </w:r>
      <w:r w:rsidR="00CD3482">
        <w:rPr>
          <w:rFonts w:cs="Calibri"/>
          <w:color w:val="000000"/>
        </w:rPr>
        <w:t xml:space="preserve"> than</w:t>
      </w:r>
      <w:r w:rsidR="00CB0DE9">
        <w:rPr>
          <w:rFonts w:cs="Calibri"/>
          <w:color w:val="000000"/>
        </w:rPr>
        <w:t xml:space="preserve"> items </w:t>
      </w:r>
      <w:r w:rsidR="00B85702">
        <w:rPr>
          <w:rFonts w:cs="Calibri"/>
          <w:color w:val="000000"/>
        </w:rPr>
        <w:t xml:space="preserve">no longer of concern. </w:t>
      </w:r>
      <w:r w:rsidR="00CB0DE9">
        <w:rPr>
          <w:rFonts w:cs="Calibri"/>
          <w:color w:val="000000"/>
        </w:rPr>
        <w:t xml:space="preserve">This </w:t>
      </w:r>
      <w:r w:rsidR="00627BD2">
        <w:rPr>
          <w:rFonts w:cs="Calibri"/>
          <w:color w:val="000000"/>
        </w:rPr>
        <w:t>would</w:t>
      </w:r>
      <w:r w:rsidR="00CB0DE9">
        <w:rPr>
          <w:rFonts w:cs="Calibri"/>
          <w:color w:val="000000"/>
        </w:rPr>
        <w:t xml:space="preserve"> result in increase</w:t>
      </w:r>
      <w:r w:rsidR="000B31B4">
        <w:rPr>
          <w:rFonts w:cs="Calibri"/>
          <w:color w:val="000000"/>
        </w:rPr>
        <w:t>d</w:t>
      </w:r>
      <w:r w:rsidR="00CB0DE9">
        <w:rPr>
          <w:rFonts w:cs="Calibri"/>
          <w:color w:val="000000"/>
        </w:rPr>
        <w:t xml:space="preserve"> productivity </w:t>
      </w:r>
      <w:r w:rsidR="00D91BEB">
        <w:rPr>
          <w:rFonts w:cs="Calibri"/>
          <w:color w:val="000000"/>
        </w:rPr>
        <w:t xml:space="preserve">and </w:t>
      </w:r>
      <w:r w:rsidR="000B31B4">
        <w:rPr>
          <w:rFonts w:cs="Calibri"/>
          <w:color w:val="000000"/>
        </w:rPr>
        <w:t>allow</w:t>
      </w:r>
      <w:r w:rsidR="00D91BEB">
        <w:rPr>
          <w:rFonts w:cs="Calibri"/>
          <w:color w:val="000000"/>
        </w:rPr>
        <w:t xml:space="preserve"> items </w:t>
      </w:r>
      <w:r w:rsidR="000B31B4">
        <w:rPr>
          <w:rFonts w:cs="Calibri"/>
          <w:color w:val="000000"/>
        </w:rPr>
        <w:t>to</w:t>
      </w:r>
      <w:r w:rsidR="00D91BEB">
        <w:rPr>
          <w:rFonts w:cs="Calibri"/>
          <w:color w:val="000000"/>
        </w:rPr>
        <w:t xml:space="preserve"> be cleared more efficiently. </w:t>
      </w:r>
      <w:r w:rsidR="007D2EC5">
        <w:rPr>
          <w:rFonts w:cs="Calibri"/>
          <w:color w:val="000000"/>
        </w:rPr>
        <w:t xml:space="preserve">Individual mail centres should continue to use </w:t>
      </w:r>
      <w:r w:rsidR="007D2EC5" w:rsidRPr="00291BB2">
        <w:rPr>
          <w:rFonts w:cs="Calibri"/>
          <w:color w:val="000000"/>
        </w:rPr>
        <w:t xml:space="preserve">local </w:t>
      </w:r>
      <w:r w:rsidR="008B525B" w:rsidRPr="00291BB2">
        <w:rPr>
          <w:rFonts w:cs="Calibri"/>
          <w:color w:val="000000"/>
        </w:rPr>
        <w:t xml:space="preserve">profiles and targeted </w:t>
      </w:r>
      <w:r w:rsidR="00BA6C36">
        <w:rPr>
          <w:rFonts w:cs="Calibri"/>
          <w:color w:val="000000"/>
        </w:rPr>
        <w:t>operations</w:t>
      </w:r>
      <w:r w:rsidR="008B525B" w:rsidRPr="00291BB2">
        <w:rPr>
          <w:rFonts w:cs="Calibri"/>
          <w:color w:val="000000"/>
        </w:rPr>
        <w:t xml:space="preserve"> </w:t>
      </w:r>
      <w:r w:rsidR="008B525B">
        <w:t>to compl</w:t>
      </w:r>
      <w:r w:rsidR="0024371E">
        <w:t>e</w:t>
      </w:r>
      <w:r w:rsidR="008B525B">
        <w:t>ment national profiles.</w:t>
      </w:r>
    </w:p>
    <w:p w:rsidR="00485A0D" w:rsidRPr="007D678E" w:rsidRDefault="00485A0D" w:rsidP="00485A0D">
      <w:pPr>
        <w:pStyle w:val="FindingsNormalNumbering"/>
        <w:numPr>
          <w:ilvl w:val="0"/>
          <w:numId w:val="0"/>
        </w:numPr>
        <w:rPr>
          <w:rFonts w:cs="Calibri"/>
          <w:color w:val="000000"/>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tblGrid>
      <w:tr w:rsidR="00157EFF" w:rsidRPr="00864127" w:rsidTr="00157EFF">
        <w:tc>
          <w:tcPr>
            <w:tcW w:w="8364" w:type="dxa"/>
            <w:vAlign w:val="center"/>
          </w:tcPr>
          <w:p w:rsidR="00157EFF" w:rsidRPr="00D046F0" w:rsidRDefault="00157EFF" w:rsidP="00157EFF">
            <w:pPr>
              <w:pStyle w:val="FindingsNormalNumbering"/>
              <w:numPr>
                <w:ilvl w:val="0"/>
                <w:numId w:val="0"/>
              </w:numPr>
            </w:pPr>
            <w:r>
              <w:br w:type="page"/>
            </w:r>
            <w:r>
              <w:rPr>
                <w:b/>
              </w:rPr>
              <w:t xml:space="preserve">Recommendation </w:t>
            </w:r>
            <w:r w:rsidR="001367E4">
              <w:rPr>
                <w:b/>
              </w:rPr>
              <w:t>1</w:t>
            </w:r>
          </w:p>
          <w:p w:rsidR="008B0921" w:rsidRDefault="00157EFF">
            <w:pPr>
              <w:pStyle w:val="FindingsNormalNumbering"/>
              <w:ind w:left="0" w:firstLine="0"/>
              <w:contextualSpacing w:val="0"/>
            </w:pPr>
            <w:r>
              <w:t xml:space="preserve">The department should </w:t>
            </w:r>
            <w:r w:rsidR="00BA2D10">
              <w:t xml:space="preserve">regularly </w:t>
            </w:r>
            <w:r>
              <w:t>review</w:t>
            </w:r>
            <w:r w:rsidR="00DE3C4A">
              <w:t xml:space="preserve"> and </w:t>
            </w:r>
            <w:r w:rsidR="00BA2D10">
              <w:t xml:space="preserve">where necessary </w:t>
            </w:r>
            <w:r w:rsidR="00DE3C4A">
              <w:t xml:space="preserve">update </w:t>
            </w:r>
            <w:r>
              <w:t xml:space="preserve">national profiles for </w:t>
            </w:r>
            <w:r w:rsidR="00133FE2">
              <w:t xml:space="preserve">international mail </w:t>
            </w:r>
            <w:r w:rsidR="00BA2D10">
              <w:t xml:space="preserve">for </w:t>
            </w:r>
            <w:r>
              <w:t>curren</w:t>
            </w:r>
            <w:r w:rsidR="00BA2D10">
              <w:t xml:space="preserve">cy, </w:t>
            </w:r>
            <w:r w:rsidR="00B1687F">
              <w:t>efficien</w:t>
            </w:r>
            <w:r w:rsidR="00BA2D10">
              <w:t>cy</w:t>
            </w:r>
            <w:r w:rsidR="00B1687F">
              <w:t xml:space="preserve"> and </w:t>
            </w:r>
            <w:r>
              <w:t>effective</w:t>
            </w:r>
            <w:r w:rsidR="00BA2D10">
              <w:t>ness</w:t>
            </w:r>
            <w:r>
              <w:t>.</w:t>
            </w:r>
          </w:p>
          <w:p w:rsidR="008B0921" w:rsidRDefault="00157EFF">
            <w:pPr>
              <w:pStyle w:val="FindingsNormalNumbering"/>
              <w:numPr>
                <w:ilvl w:val="0"/>
                <w:numId w:val="0"/>
              </w:numPr>
              <w:contextualSpacing w:val="0"/>
            </w:pPr>
            <w:r w:rsidRPr="00D82EFE">
              <w:rPr>
                <w:b/>
              </w:rPr>
              <w:t>Department’s response:</w:t>
            </w:r>
            <w:r w:rsidR="00066477">
              <w:rPr>
                <w:b/>
              </w:rPr>
              <w:t xml:space="preserve"> </w:t>
            </w:r>
            <w:r w:rsidR="007E220B">
              <w:t>Agreed.</w:t>
            </w:r>
          </w:p>
          <w:p w:rsidR="008B0921" w:rsidRDefault="007E220B">
            <w:pPr>
              <w:spacing w:after="120"/>
            </w:pPr>
            <w:r>
              <w:t>A review is currently underway to update current national mail profiles for international mail, with implementation expected early 2015. Outcomes of the review of risk categorisation levels assigned to commodities in the Mail and Passenger System, which is also underway, will complement profile development and assist the department to focus on targeting the greatest risk.</w:t>
            </w:r>
          </w:p>
          <w:p w:rsidR="008B0921" w:rsidRDefault="007E220B">
            <w:pPr>
              <w:pStyle w:val="FindingsNormalNumbering"/>
              <w:numPr>
                <w:ilvl w:val="0"/>
                <w:numId w:val="0"/>
              </w:numPr>
              <w:contextualSpacing w:val="0"/>
              <w:rPr>
                <w:b/>
              </w:rPr>
            </w:pPr>
            <w:r>
              <w:t xml:space="preserve">The department is also working with Australia Post and the Australian Customs and Border Protection Service (ACBPS) to improve our ability to identify and capture mail articles that present a </w:t>
            </w:r>
            <w:proofErr w:type="spellStart"/>
            <w:r>
              <w:t>biosecurity</w:t>
            </w:r>
            <w:proofErr w:type="spellEnd"/>
            <w:r>
              <w:t xml:space="preserve"> risk, including those that represent a threat to our environment.</w:t>
            </w:r>
          </w:p>
        </w:tc>
      </w:tr>
    </w:tbl>
    <w:p w:rsidR="008B525B" w:rsidRPr="00157EFF" w:rsidRDefault="008B525B" w:rsidP="00A82AC6">
      <w:pPr>
        <w:pStyle w:val="Findingsub-heading"/>
      </w:pPr>
      <w:r>
        <w:t>End-point survey</w:t>
      </w:r>
    </w:p>
    <w:p w:rsidR="00A50EC2" w:rsidRPr="00005C46" w:rsidRDefault="0074089F" w:rsidP="001E28E7">
      <w:pPr>
        <w:pStyle w:val="FindingsNormalNumbering"/>
        <w:ind w:left="0" w:firstLine="0"/>
        <w:rPr>
          <w:rFonts w:cs="Calibri"/>
          <w:color w:val="000000"/>
        </w:rPr>
      </w:pPr>
      <w:r>
        <w:rPr>
          <w:rFonts w:cs="Calibri"/>
        </w:rPr>
        <w:t xml:space="preserve">The </w:t>
      </w:r>
      <w:r w:rsidR="00143B54">
        <w:rPr>
          <w:rFonts w:cs="Calibri"/>
        </w:rPr>
        <w:t>department</w:t>
      </w:r>
      <w:r>
        <w:rPr>
          <w:rFonts w:cs="Calibri"/>
        </w:rPr>
        <w:t xml:space="preserve"> uses </w:t>
      </w:r>
      <w:r w:rsidR="00143B54">
        <w:rPr>
          <w:rFonts w:cs="Calibri"/>
        </w:rPr>
        <w:t>e</w:t>
      </w:r>
      <w:r w:rsidR="008B525B">
        <w:rPr>
          <w:rFonts w:cs="Calibri"/>
        </w:rPr>
        <w:t>nd-point survey</w:t>
      </w:r>
      <w:r w:rsidR="008B525B" w:rsidRPr="00EC6E1C">
        <w:rPr>
          <w:rFonts w:cs="Calibri"/>
        </w:rPr>
        <w:t xml:space="preserve"> </w:t>
      </w:r>
      <w:r w:rsidR="00A50EC2" w:rsidRPr="00EC6E1C">
        <w:rPr>
          <w:rFonts w:cs="Calibri"/>
        </w:rPr>
        <w:t>results in the development</w:t>
      </w:r>
      <w:r w:rsidR="0024371E">
        <w:rPr>
          <w:rFonts w:cs="Calibri"/>
        </w:rPr>
        <w:t xml:space="preserve"> and refinement</w:t>
      </w:r>
      <w:r w:rsidR="00A50EC2" w:rsidRPr="00EC6E1C">
        <w:rPr>
          <w:rFonts w:cs="Calibri"/>
        </w:rPr>
        <w:t xml:space="preserve"> of profiles and </w:t>
      </w:r>
      <w:r w:rsidR="00E033EF">
        <w:rPr>
          <w:rFonts w:cs="Calibri"/>
        </w:rPr>
        <w:t xml:space="preserve">in reporting against </w:t>
      </w:r>
      <w:r w:rsidR="00A50EC2" w:rsidRPr="00EC6E1C">
        <w:rPr>
          <w:rFonts w:cs="Calibri"/>
        </w:rPr>
        <w:t>p</w:t>
      </w:r>
      <w:r w:rsidR="00730FBA">
        <w:rPr>
          <w:rFonts w:cs="Calibri"/>
        </w:rPr>
        <w:t>erformance indicator</w:t>
      </w:r>
      <w:r w:rsidR="00E033EF">
        <w:rPr>
          <w:rFonts w:cs="Calibri"/>
        </w:rPr>
        <w:t>s</w:t>
      </w:r>
      <w:r w:rsidR="0024371E">
        <w:rPr>
          <w:rFonts w:cs="Calibri"/>
        </w:rPr>
        <w:t>,</w:t>
      </w:r>
      <w:r w:rsidR="00B1687F">
        <w:rPr>
          <w:rFonts w:cs="Calibri"/>
        </w:rPr>
        <w:t xml:space="preserve"> nationally and locally</w:t>
      </w:r>
      <w:r w:rsidR="00730FBA">
        <w:rPr>
          <w:rFonts w:cs="Calibri"/>
        </w:rPr>
        <w:t>.</w:t>
      </w:r>
      <w:r w:rsidR="00A50EC2" w:rsidRPr="00EC6E1C">
        <w:rPr>
          <w:rFonts w:cs="Calibri"/>
        </w:rPr>
        <w:t xml:space="preserve"> </w:t>
      </w:r>
      <w:r w:rsidR="00005C46">
        <w:rPr>
          <w:rFonts w:cs="Calibri"/>
        </w:rPr>
        <w:t>End-poi</w:t>
      </w:r>
      <w:r w:rsidR="008B525B">
        <w:rPr>
          <w:rFonts w:cs="Calibri"/>
        </w:rPr>
        <w:t>nt surveys are conducted by random</w:t>
      </w:r>
      <w:r w:rsidR="00E033EF">
        <w:rPr>
          <w:rFonts w:cs="Calibri"/>
        </w:rPr>
        <w:t>ly</w:t>
      </w:r>
      <w:r w:rsidR="008B525B">
        <w:rPr>
          <w:rFonts w:cs="Calibri"/>
        </w:rPr>
        <w:t xml:space="preserve"> sampl</w:t>
      </w:r>
      <w:r w:rsidR="00E033EF">
        <w:rPr>
          <w:rFonts w:cs="Calibri"/>
        </w:rPr>
        <w:t>ing</w:t>
      </w:r>
      <w:r w:rsidR="008B525B">
        <w:rPr>
          <w:rFonts w:cs="Calibri"/>
        </w:rPr>
        <w:t xml:space="preserve"> </w:t>
      </w:r>
      <w:r w:rsidR="00005C46">
        <w:rPr>
          <w:rFonts w:cs="Calibri"/>
        </w:rPr>
        <w:t xml:space="preserve">international mail </w:t>
      </w:r>
      <w:r w:rsidR="00187B59">
        <w:rPr>
          <w:rFonts w:cs="Calibri"/>
        </w:rPr>
        <w:t>items</w:t>
      </w:r>
      <w:r w:rsidR="00B1687F">
        <w:rPr>
          <w:rFonts w:cs="Calibri"/>
        </w:rPr>
        <w:t xml:space="preserve"> </w:t>
      </w:r>
      <w:r w:rsidR="00E033EF">
        <w:rPr>
          <w:rFonts w:cs="Calibri"/>
        </w:rPr>
        <w:t xml:space="preserve">at each mail centre </w:t>
      </w:r>
      <w:r w:rsidR="0024371E">
        <w:rPr>
          <w:rFonts w:cs="Calibri"/>
        </w:rPr>
        <w:t>for detailed inspection</w:t>
      </w:r>
      <w:r w:rsidR="00005C46">
        <w:rPr>
          <w:rFonts w:cs="Calibri"/>
        </w:rPr>
        <w:t xml:space="preserve">. </w:t>
      </w:r>
      <w:r w:rsidR="00D91BEB">
        <w:rPr>
          <w:rFonts w:cs="Calibri"/>
        </w:rPr>
        <w:t xml:space="preserve">End-point surveys </w:t>
      </w:r>
      <w:r w:rsidR="00E033EF">
        <w:rPr>
          <w:rFonts w:cs="Calibri"/>
        </w:rPr>
        <w:t xml:space="preserve">provide </w:t>
      </w:r>
      <w:r w:rsidR="00D91BEB">
        <w:rPr>
          <w:rFonts w:cs="Calibri"/>
        </w:rPr>
        <w:t>assurance</w:t>
      </w:r>
      <w:r w:rsidR="00E033EF">
        <w:rPr>
          <w:rFonts w:cs="Calibri"/>
        </w:rPr>
        <w:t>; they</w:t>
      </w:r>
      <w:r w:rsidR="00D91BEB">
        <w:rPr>
          <w:rFonts w:cs="Calibri"/>
        </w:rPr>
        <w:t xml:space="preserve"> </w:t>
      </w:r>
      <w:r w:rsidR="0024371E">
        <w:rPr>
          <w:rFonts w:cs="Calibri"/>
        </w:rPr>
        <w:t>indicate</w:t>
      </w:r>
      <w:r w:rsidR="00D91BEB">
        <w:rPr>
          <w:rFonts w:cs="Calibri"/>
        </w:rPr>
        <w:t xml:space="preserve"> the </w:t>
      </w:r>
      <w:r w:rsidR="00E033EF">
        <w:rPr>
          <w:rFonts w:cs="Calibri"/>
        </w:rPr>
        <w:t xml:space="preserve">number </w:t>
      </w:r>
      <w:r w:rsidR="00D91BEB">
        <w:rPr>
          <w:rFonts w:cs="Calibri"/>
        </w:rPr>
        <w:t xml:space="preserve">of items of biosecurity concern not </w:t>
      </w:r>
      <w:r w:rsidR="00CB264C">
        <w:rPr>
          <w:rFonts w:cs="Calibri"/>
        </w:rPr>
        <w:t xml:space="preserve">detected as part of normal mail assessment. </w:t>
      </w:r>
      <w:r w:rsidR="00005C46">
        <w:rPr>
          <w:rFonts w:cs="Calibri"/>
        </w:rPr>
        <w:t xml:space="preserve">Each mail centre has a minimum number of </w:t>
      </w:r>
      <w:r w:rsidR="0024371E">
        <w:rPr>
          <w:rFonts w:cs="Calibri"/>
        </w:rPr>
        <w:t xml:space="preserve">items to be </w:t>
      </w:r>
      <w:r w:rsidR="00005C46">
        <w:rPr>
          <w:rFonts w:cs="Calibri"/>
        </w:rPr>
        <w:t>sample</w:t>
      </w:r>
      <w:r w:rsidR="0024371E">
        <w:rPr>
          <w:rFonts w:cs="Calibri"/>
        </w:rPr>
        <w:t>d</w:t>
      </w:r>
      <w:r w:rsidR="00005C46">
        <w:rPr>
          <w:rFonts w:cs="Calibri"/>
        </w:rPr>
        <w:t xml:space="preserve"> across all mail classes</w:t>
      </w:r>
      <w:r w:rsidR="00B1687F">
        <w:rPr>
          <w:rFonts w:cs="Calibri"/>
        </w:rPr>
        <w:t xml:space="preserve"> per month</w:t>
      </w:r>
      <w:r w:rsidR="00005C46">
        <w:rPr>
          <w:rFonts w:cs="Calibri"/>
        </w:rPr>
        <w:t>.</w:t>
      </w:r>
    </w:p>
    <w:p w:rsidR="007113E8" w:rsidRPr="006D24A4" w:rsidRDefault="00005C46" w:rsidP="005C12F0">
      <w:pPr>
        <w:pStyle w:val="FindingsNormalNumbering"/>
        <w:ind w:left="0" w:firstLine="0"/>
        <w:rPr>
          <w:rFonts w:cs="Calibri"/>
          <w:color w:val="000000"/>
        </w:rPr>
      </w:pPr>
      <w:r>
        <w:rPr>
          <w:rFonts w:cs="Calibri"/>
        </w:rPr>
        <w:t xml:space="preserve">End-point surveys are </w:t>
      </w:r>
      <w:r w:rsidR="0024371E">
        <w:rPr>
          <w:rFonts w:cs="Calibri"/>
        </w:rPr>
        <w:t>important</w:t>
      </w:r>
      <w:r>
        <w:rPr>
          <w:rFonts w:cs="Calibri"/>
        </w:rPr>
        <w:t xml:space="preserve"> in determining whether the national profiles are operating effectively</w:t>
      </w:r>
      <w:r w:rsidR="00E033EF">
        <w:rPr>
          <w:rFonts w:cs="Calibri"/>
        </w:rPr>
        <w:t xml:space="preserve"> and</w:t>
      </w:r>
      <w:r>
        <w:rPr>
          <w:rFonts w:cs="Calibri"/>
        </w:rPr>
        <w:t xml:space="preserve"> whether individual mail centre</w:t>
      </w:r>
      <w:r w:rsidR="0024371E">
        <w:rPr>
          <w:rFonts w:cs="Calibri"/>
        </w:rPr>
        <w:t>s</w:t>
      </w:r>
      <w:r>
        <w:rPr>
          <w:rFonts w:cs="Calibri"/>
        </w:rPr>
        <w:t xml:space="preserve"> should implem</w:t>
      </w:r>
      <w:r w:rsidR="00DD2532">
        <w:rPr>
          <w:rFonts w:cs="Calibri"/>
        </w:rPr>
        <w:t>ent local profiles or initiate</w:t>
      </w:r>
      <w:r>
        <w:rPr>
          <w:rFonts w:cs="Calibri"/>
        </w:rPr>
        <w:t xml:space="preserve"> targeted </w:t>
      </w:r>
      <w:r w:rsidR="00351F6E">
        <w:rPr>
          <w:rFonts w:cs="Calibri"/>
        </w:rPr>
        <w:t xml:space="preserve">operations. </w:t>
      </w:r>
      <w:r w:rsidR="00E033EF">
        <w:rPr>
          <w:rFonts w:cs="Calibri"/>
        </w:rPr>
        <w:t xml:space="preserve">The </w:t>
      </w:r>
      <w:r w:rsidR="00143B54">
        <w:rPr>
          <w:rFonts w:cs="Calibri"/>
        </w:rPr>
        <w:t>Compliance</w:t>
      </w:r>
      <w:r w:rsidR="00351F6E">
        <w:rPr>
          <w:rFonts w:cs="Calibri"/>
        </w:rPr>
        <w:t xml:space="preserve"> P</w:t>
      </w:r>
      <w:r>
        <w:rPr>
          <w:rFonts w:cs="Calibri"/>
        </w:rPr>
        <w:t xml:space="preserve">rogram </w:t>
      </w:r>
      <w:r w:rsidR="00E033EF">
        <w:rPr>
          <w:rFonts w:cs="Calibri"/>
        </w:rPr>
        <w:t xml:space="preserve">and </w:t>
      </w:r>
      <w:r>
        <w:rPr>
          <w:rFonts w:cs="Calibri"/>
        </w:rPr>
        <w:t xml:space="preserve">individual mail centres </w:t>
      </w:r>
      <w:r w:rsidR="00E033EF">
        <w:rPr>
          <w:rFonts w:cs="Calibri"/>
        </w:rPr>
        <w:t xml:space="preserve">use them </w:t>
      </w:r>
      <w:r>
        <w:rPr>
          <w:rFonts w:cs="Calibri"/>
        </w:rPr>
        <w:t xml:space="preserve">to </w:t>
      </w:r>
      <w:r w:rsidR="00E033EF">
        <w:rPr>
          <w:rFonts w:cs="Calibri"/>
        </w:rPr>
        <w:t xml:space="preserve">identify </w:t>
      </w:r>
      <w:r w:rsidR="0058490A">
        <w:rPr>
          <w:rFonts w:cs="Calibri"/>
        </w:rPr>
        <w:t xml:space="preserve">new and emerging </w:t>
      </w:r>
      <w:r w:rsidR="00B1687F">
        <w:rPr>
          <w:rFonts w:cs="Calibri"/>
        </w:rPr>
        <w:t xml:space="preserve">trends and </w:t>
      </w:r>
      <w:r w:rsidR="00E033EF">
        <w:rPr>
          <w:rFonts w:cs="Calibri"/>
        </w:rPr>
        <w:t xml:space="preserve">determine </w:t>
      </w:r>
      <w:r>
        <w:rPr>
          <w:rFonts w:cs="Calibri"/>
        </w:rPr>
        <w:t>whether</w:t>
      </w:r>
      <w:r w:rsidR="00B1687F">
        <w:rPr>
          <w:rFonts w:cs="Calibri"/>
        </w:rPr>
        <w:t xml:space="preserve"> controls such as </w:t>
      </w:r>
      <w:r>
        <w:rPr>
          <w:rFonts w:cs="Calibri"/>
        </w:rPr>
        <w:t>screening</w:t>
      </w:r>
      <w:r w:rsidR="00B1687F">
        <w:rPr>
          <w:rFonts w:cs="Calibri"/>
        </w:rPr>
        <w:t xml:space="preserve"> methods are </w:t>
      </w:r>
      <w:r w:rsidR="009032F7">
        <w:rPr>
          <w:rFonts w:cs="Calibri"/>
        </w:rPr>
        <w:t>effective</w:t>
      </w:r>
      <w:r w:rsidR="00B1687F">
        <w:rPr>
          <w:rFonts w:cs="Calibri"/>
        </w:rPr>
        <w:t>.</w:t>
      </w:r>
    </w:p>
    <w:p w:rsidR="00315098" w:rsidRDefault="006D24A4" w:rsidP="00315098">
      <w:pPr>
        <w:pStyle w:val="FindingsNormalNumbering"/>
        <w:ind w:left="0" w:firstLine="0"/>
        <w:rPr>
          <w:rFonts w:cs="Calibri"/>
          <w:color w:val="000000"/>
        </w:rPr>
      </w:pPr>
      <w:r w:rsidRPr="006D24A4">
        <w:rPr>
          <w:rFonts w:cs="Calibri"/>
        </w:rPr>
        <w:t xml:space="preserve">End-point survey results </w:t>
      </w:r>
      <w:r>
        <w:rPr>
          <w:rFonts w:cs="Calibri"/>
        </w:rPr>
        <w:t>can</w:t>
      </w:r>
      <w:r w:rsidRPr="006D24A4">
        <w:rPr>
          <w:rFonts w:cs="Calibri"/>
        </w:rPr>
        <w:t xml:space="preserve"> indicat</w:t>
      </w:r>
      <w:r w:rsidR="007B1C02">
        <w:rPr>
          <w:rFonts w:cs="Calibri"/>
        </w:rPr>
        <w:t>e</w:t>
      </w:r>
      <w:r w:rsidRPr="006D24A4">
        <w:rPr>
          <w:rFonts w:cs="Calibri"/>
        </w:rPr>
        <w:t xml:space="preserve"> that a profile should be </w:t>
      </w:r>
      <w:r w:rsidR="007B1C02">
        <w:rPr>
          <w:rFonts w:cs="Calibri"/>
        </w:rPr>
        <w:t xml:space="preserve">developed or </w:t>
      </w:r>
      <w:r w:rsidRPr="006D24A4">
        <w:rPr>
          <w:rFonts w:cs="Calibri"/>
        </w:rPr>
        <w:t>reviewed.</w:t>
      </w:r>
      <w:r>
        <w:rPr>
          <w:rFonts w:cs="Calibri"/>
        </w:rPr>
        <w:t xml:space="preserve"> </w:t>
      </w:r>
      <w:r w:rsidR="005C12F0" w:rsidRPr="006D24A4">
        <w:rPr>
          <w:rFonts w:cs="Calibri"/>
          <w:color w:val="000000"/>
        </w:rPr>
        <w:t>Each mail centre has a risk m</w:t>
      </w:r>
      <w:r w:rsidR="00730FBA" w:rsidRPr="006D24A4">
        <w:rPr>
          <w:rFonts w:cs="Calibri"/>
          <w:color w:val="000000"/>
        </w:rPr>
        <w:t>an</w:t>
      </w:r>
      <w:r w:rsidR="005C12F0" w:rsidRPr="006D24A4">
        <w:rPr>
          <w:rFonts w:cs="Calibri"/>
          <w:color w:val="000000"/>
        </w:rPr>
        <w:t>ager who is responsible for developing local profiles</w:t>
      </w:r>
      <w:r>
        <w:rPr>
          <w:rFonts w:cs="Calibri"/>
          <w:color w:val="000000"/>
        </w:rPr>
        <w:t xml:space="preserve">. </w:t>
      </w:r>
      <w:r w:rsidR="007B1C02">
        <w:rPr>
          <w:rFonts w:cs="Calibri"/>
          <w:color w:val="000000"/>
        </w:rPr>
        <w:t xml:space="preserve">Risk </w:t>
      </w:r>
      <w:r w:rsidR="00351F6E">
        <w:rPr>
          <w:rFonts w:cs="Calibri"/>
          <w:color w:val="000000"/>
        </w:rPr>
        <w:t xml:space="preserve">managers </w:t>
      </w:r>
      <w:r w:rsidR="007B1C02">
        <w:rPr>
          <w:rFonts w:cs="Calibri"/>
          <w:color w:val="000000"/>
        </w:rPr>
        <w:t xml:space="preserve">must </w:t>
      </w:r>
      <w:r w:rsidR="00351F6E">
        <w:rPr>
          <w:rFonts w:cs="Calibri"/>
          <w:color w:val="000000"/>
        </w:rPr>
        <w:t xml:space="preserve">have a </w:t>
      </w:r>
      <w:r w:rsidR="0024371E">
        <w:rPr>
          <w:rFonts w:cs="Calibri"/>
          <w:color w:val="000000"/>
        </w:rPr>
        <w:t>good</w:t>
      </w:r>
      <w:r w:rsidR="00351F6E">
        <w:rPr>
          <w:rFonts w:cs="Calibri"/>
          <w:color w:val="000000"/>
        </w:rPr>
        <w:t xml:space="preserve"> understanding of the risks and potential risks </w:t>
      </w:r>
      <w:r w:rsidR="007B1C02">
        <w:rPr>
          <w:rFonts w:cs="Calibri"/>
          <w:color w:val="000000"/>
        </w:rPr>
        <w:t xml:space="preserve">in </w:t>
      </w:r>
      <w:r w:rsidR="00351F6E">
        <w:rPr>
          <w:rFonts w:cs="Calibri"/>
          <w:color w:val="000000"/>
        </w:rPr>
        <w:t>their mail centre. The risk manager is responsible for</w:t>
      </w:r>
      <w:r w:rsidR="00620A4C">
        <w:rPr>
          <w:rFonts w:cs="Calibri"/>
          <w:color w:val="000000"/>
        </w:rPr>
        <w:t xml:space="preserve"> ensuring the</w:t>
      </w:r>
      <w:r w:rsidR="00351F6E">
        <w:rPr>
          <w:rFonts w:cs="Calibri"/>
          <w:color w:val="000000"/>
        </w:rPr>
        <w:t xml:space="preserve"> end-point </w:t>
      </w:r>
      <w:r w:rsidR="00CD3482">
        <w:rPr>
          <w:rFonts w:cs="Calibri"/>
        </w:rPr>
        <w:t>survey</w:t>
      </w:r>
      <w:r w:rsidR="006E0421">
        <w:rPr>
          <w:rFonts w:cs="Calibri"/>
        </w:rPr>
        <w:t>s</w:t>
      </w:r>
      <w:r w:rsidR="00620A4C">
        <w:rPr>
          <w:rFonts w:cs="Calibri"/>
        </w:rPr>
        <w:t xml:space="preserve"> are undertaken</w:t>
      </w:r>
      <w:r w:rsidR="00351F6E">
        <w:rPr>
          <w:rFonts w:cs="Calibri"/>
          <w:color w:val="000000"/>
        </w:rPr>
        <w:t>.</w:t>
      </w:r>
    </w:p>
    <w:p w:rsidR="00DD2532" w:rsidRDefault="00414500" w:rsidP="00DD2532">
      <w:pPr>
        <w:pStyle w:val="FindingsNormalNumbering"/>
        <w:ind w:left="0" w:firstLine="0"/>
        <w:rPr>
          <w:rFonts w:cs="Calibri"/>
          <w:color w:val="000000"/>
        </w:rPr>
      </w:pPr>
      <w:r>
        <w:rPr>
          <w:rFonts w:cs="Calibri"/>
          <w:color w:val="000000"/>
        </w:rPr>
        <w:t xml:space="preserve">Staff access to </w:t>
      </w:r>
      <w:r w:rsidR="00351F6E">
        <w:rPr>
          <w:rFonts w:cs="Calibri"/>
          <w:color w:val="000000"/>
        </w:rPr>
        <w:t>internet</w:t>
      </w:r>
      <w:r w:rsidR="00DD2532">
        <w:rPr>
          <w:rFonts w:cs="Calibri"/>
          <w:color w:val="000000"/>
        </w:rPr>
        <w:t xml:space="preserve"> sites</w:t>
      </w:r>
      <w:r w:rsidR="00D91BEB">
        <w:rPr>
          <w:rFonts w:cs="Calibri"/>
          <w:color w:val="000000"/>
        </w:rPr>
        <w:t xml:space="preserve"> </w:t>
      </w:r>
      <w:r>
        <w:rPr>
          <w:rFonts w:cs="Calibri"/>
          <w:color w:val="000000"/>
        </w:rPr>
        <w:t>is</w:t>
      </w:r>
      <w:r w:rsidR="00351F6E">
        <w:rPr>
          <w:rFonts w:cs="Calibri"/>
          <w:color w:val="000000"/>
        </w:rPr>
        <w:t xml:space="preserve"> restricted</w:t>
      </w:r>
      <w:r w:rsidR="00187B59">
        <w:rPr>
          <w:rFonts w:cs="Calibri"/>
          <w:color w:val="000000"/>
        </w:rPr>
        <w:t xml:space="preserve">, </w:t>
      </w:r>
      <w:r w:rsidR="00DD2532">
        <w:rPr>
          <w:rFonts w:cs="Calibri"/>
          <w:color w:val="000000"/>
        </w:rPr>
        <w:t>in</w:t>
      </w:r>
      <w:r w:rsidR="00351F6E">
        <w:rPr>
          <w:rFonts w:cs="Calibri"/>
          <w:color w:val="000000"/>
        </w:rPr>
        <w:t xml:space="preserve"> line with the department</w:t>
      </w:r>
      <w:r w:rsidR="00DD2532">
        <w:rPr>
          <w:rFonts w:cs="Calibri"/>
          <w:color w:val="000000"/>
        </w:rPr>
        <w:t>’</w:t>
      </w:r>
      <w:r w:rsidR="00351F6E">
        <w:rPr>
          <w:rFonts w:cs="Calibri"/>
          <w:color w:val="000000"/>
        </w:rPr>
        <w:t>s information technology security</w:t>
      </w:r>
      <w:r w:rsidR="00DD2532">
        <w:rPr>
          <w:rFonts w:cs="Calibri"/>
          <w:color w:val="000000"/>
        </w:rPr>
        <w:t xml:space="preserve"> policy. However, key </w:t>
      </w:r>
      <w:r>
        <w:rPr>
          <w:rFonts w:cs="Calibri"/>
          <w:color w:val="000000"/>
        </w:rPr>
        <w:t xml:space="preserve">Canberra-based </w:t>
      </w:r>
      <w:r w:rsidR="00143B54">
        <w:rPr>
          <w:rFonts w:cs="Calibri"/>
          <w:color w:val="000000"/>
        </w:rPr>
        <w:t>Compliance</w:t>
      </w:r>
      <w:r w:rsidR="00DD2532">
        <w:rPr>
          <w:rFonts w:cs="Calibri"/>
          <w:color w:val="000000"/>
        </w:rPr>
        <w:t xml:space="preserve"> Program </w:t>
      </w:r>
      <w:r>
        <w:rPr>
          <w:rFonts w:cs="Calibri"/>
          <w:color w:val="000000"/>
        </w:rPr>
        <w:t xml:space="preserve">staff </w:t>
      </w:r>
      <w:r w:rsidR="00DD2532">
        <w:rPr>
          <w:rFonts w:cs="Calibri"/>
          <w:color w:val="000000"/>
        </w:rPr>
        <w:t xml:space="preserve">and </w:t>
      </w:r>
      <w:r>
        <w:rPr>
          <w:rFonts w:cs="Calibri"/>
          <w:color w:val="000000"/>
        </w:rPr>
        <w:t xml:space="preserve">regional </w:t>
      </w:r>
      <w:r w:rsidR="001036B3">
        <w:rPr>
          <w:rFonts w:cs="Calibri"/>
          <w:color w:val="000000"/>
        </w:rPr>
        <w:t>mail centre</w:t>
      </w:r>
      <w:r w:rsidR="00DD2532">
        <w:rPr>
          <w:rFonts w:cs="Calibri"/>
          <w:color w:val="000000"/>
        </w:rPr>
        <w:t xml:space="preserve"> risk managers</w:t>
      </w:r>
      <w:r>
        <w:rPr>
          <w:rFonts w:cs="Calibri"/>
          <w:color w:val="000000"/>
        </w:rPr>
        <w:t xml:space="preserve"> need to </w:t>
      </w:r>
      <w:r w:rsidR="00DD2532">
        <w:rPr>
          <w:rFonts w:cs="Calibri"/>
          <w:color w:val="000000"/>
        </w:rPr>
        <w:t xml:space="preserve">access </w:t>
      </w:r>
      <w:r w:rsidR="00777D66">
        <w:rPr>
          <w:rFonts w:cs="Calibri"/>
          <w:color w:val="000000"/>
        </w:rPr>
        <w:t>e-commerce</w:t>
      </w:r>
      <w:r w:rsidR="001036B3">
        <w:rPr>
          <w:rFonts w:cs="Calibri"/>
          <w:color w:val="000000"/>
        </w:rPr>
        <w:t xml:space="preserve"> </w:t>
      </w:r>
      <w:r w:rsidR="00DD2532">
        <w:rPr>
          <w:rFonts w:cs="Calibri"/>
          <w:color w:val="000000"/>
        </w:rPr>
        <w:t xml:space="preserve">sites </w:t>
      </w:r>
      <w:r>
        <w:rPr>
          <w:rFonts w:cs="Calibri"/>
          <w:color w:val="000000"/>
        </w:rPr>
        <w:t>such as eBay and Amazon</w:t>
      </w:r>
      <w:r w:rsidDel="00414500">
        <w:rPr>
          <w:rFonts w:cs="Calibri"/>
          <w:color w:val="000000"/>
        </w:rPr>
        <w:t xml:space="preserve"> </w:t>
      </w:r>
      <w:r>
        <w:rPr>
          <w:rFonts w:cs="Calibri"/>
          <w:color w:val="000000"/>
        </w:rPr>
        <w:t xml:space="preserve">to </w:t>
      </w:r>
      <w:r w:rsidR="00DD2532">
        <w:rPr>
          <w:rFonts w:cs="Calibri"/>
          <w:color w:val="000000"/>
        </w:rPr>
        <w:t>research</w:t>
      </w:r>
      <w:r w:rsidR="00EB1DFF">
        <w:rPr>
          <w:rFonts w:cs="Calibri"/>
          <w:color w:val="000000"/>
        </w:rPr>
        <w:t xml:space="preserve">, </w:t>
      </w:r>
      <w:r>
        <w:rPr>
          <w:rFonts w:cs="Calibri"/>
          <w:color w:val="000000"/>
        </w:rPr>
        <w:t xml:space="preserve">develop </w:t>
      </w:r>
      <w:r w:rsidR="00EB1DFF">
        <w:rPr>
          <w:rFonts w:cs="Calibri"/>
          <w:color w:val="000000"/>
        </w:rPr>
        <w:t>profile</w:t>
      </w:r>
      <w:r>
        <w:rPr>
          <w:rFonts w:cs="Calibri"/>
          <w:color w:val="000000"/>
        </w:rPr>
        <w:t>s</w:t>
      </w:r>
      <w:r w:rsidR="00EB1DFF">
        <w:rPr>
          <w:rFonts w:cs="Calibri"/>
          <w:color w:val="000000"/>
        </w:rPr>
        <w:t xml:space="preserve"> </w:t>
      </w:r>
      <w:r w:rsidR="00DD2532">
        <w:rPr>
          <w:rFonts w:cs="Calibri"/>
          <w:color w:val="000000"/>
        </w:rPr>
        <w:t>and</w:t>
      </w:r>
      <w:r w:rsidR="001036B3">
        <w:rPr>
          <w:rFonts w:cs="Calibri"/>
          <w:color w:val="000000"/>
        </w:rPr>
        <w:t xml:space="preserve"> </w:t>
      </w:r>
      <w:r>
        <w:rPr>
          <w:rFonts w:cs="Calibri"/>
          <w:color w:val="000000"/>
        </w:rPr>
        <w:t xml:space="preserve">assess </w:t>
      </w:r>
      <w:r w:rsidR="009032F7">
        <w:rPr>
          <w:rFonts w:cs="Calibri"/>
          <w:color w:val="000000"/>
        </w:rPr>
        <w:t xml:space="preserve">unidentifiable </w:t>
      </w:r>
      <w:r w:rsidR="00DD2532">
        <w:rPr>
          <w:rFonts w:cs="Calibri"/>
          <w:color w:val="000000"/>
        </w:rPr>
        <w:t xml:space="preserve">mail items </w:t>
      </w:r>
      <w:r w:rsidR="001036B3">
        <w:rPr>
          <w:rFonts w:cs="Calibri"/>
          <w:color w:val="000000"/>
        </w:rPr>
        <w:t>at the border.</w:t>
      </w:r>
      <w:r w:rsidR="00DD2532">
        <w:rPr>
          <w:rFonts w:cs="Calibri"/>
          <w:color w:val="000000"/>
        </w:rPr>
        <w:t xml:space="preserve"> </w:t>
      </w:r>
      <w:r w:rsidR="00DD2532">
        <w:rPr>
          <w:rFonts w:cs="Calibri"/>
          <w:color w:val="000000"/>
        </w:rPr>
        <w:lastRenderedPageBreak/>
        <w:t xml:space="preserve">Department staff should not </w:t>
      </w:r>
      <w:r>
        <w:rPr>
          <w:rFonts w:cs="Calibri"/>
          <w:color w:val="000000"/>
        </w:rPr>
        <w:t xml:space="preserve">need </w:t>
      </w:r>
      <w:r w:rsidR="00DD2532">
        <w:rPr>
          <w:rFonts w:cs="Calibri"/>
          <w:color w:val="000000"/>
        </w:rPr>
        <w:t xml:space="preserve">to use their personal </w:t>
      </w:r>
      <w:r w:rsidR="009032F7">
        <w:rPr>
          <w:rFonts w:cs="Calibri"/>
          <w:color w:val="000000"/>
        </w:rPr>
        <w:t>devices</w:t>
      </w:r>
      <w:r w:rsidR="00DD2532">
        <w:rPr>
          <w:rFonts w:cs="Calibri"/>
          <w:color w:val="000000"/>
        </w:rPr>
        <w:t xml:space="preserve"> to access internet sites for work purposes.</w:t>
      </w:r>
      <w:r w:rsidR="009032F7">
        <w:rPr>
          <w:rFonts w:cs="Calibri"/>
          <w:color w:val="000000"/>
        </w:rPr>
        <w:t xml:space="preserve"> The</w:t>
      </w:r>
      <w:r>
        <w:rPr>
          <w:rFonts w:cs="Calibri"/>
          <w:color w:val="000000"/>
        </w:rPr>
        <w:t xml:space="preserve"> department should grant these staff</w:t>
      </w:r>
      <w:r w:rsidR="009032F7">
        <w:rPr>
          <w:rFonts w:cs="Calibri"/>
          <w:color w:val="000000"/>
        </w:rPr>
        <w:t xml:space="preserve"> ongoing access to </w:t>
      </w:r>
      <w:r w:rsidR="0074089F">
        <w:rPr>
          <w:rFonts w:cs="Calibri"/>
          <w:color w:val="000000"/>
        </w:rPr>
        <w:t xml:space="preserve">required </w:t>
      </w:r>
      <w:r w:rsidR="009032F7">
        <w:rPr>
          <w:rFonts w:cs="Calibri"/>
          <w:color w:val="000000"/>
        </w:rPr>
        <w:t>internet sites.</w:t>
      </w:r>
    </w:p>
    <w:p w:rsidR="00047F72" w:rsidRDefault="0059041A" w:rsidP="00DD2532">
      <w:pPr>
        <w:pStyle w:val="FindingsNormalNumbering"/>
        <w:ind w:left="0" w:firstLine="0"/>
        <w:rPr>
          <w:rFonts w:cs="Calibri"/>
          <w:color w:val="000000"/>
        </w:rPr>
      </w:pPr>
      <w:r>
        <w:rPr>
          <w:rFonts w:cs="Calibri"/>
          <w:color w:val="000000"/>
        </w:rPr>
        <w:t>It was noted that the department has recently engaged the Centre of Excellence for Biosecurity Risk Analysis (University of Melbourne) to review the methodology of end-point surveys.</w:t>
      </w:r>
    </w:p>
    <w:p w:rsidR="00B92182" w:rsidRDefault="00B92182" w:rsidP="00B92182">
      <w:pPr>
        <w:pStyle w:val="FindingsNormalNumbering"/>
        <w:numPr>
          <w:ilvl w:val="0"/>
          <w:numId w:val="0"/>
        </w:numPr>
        <w:rPr>
          <w:rFonts w:cs="Calibri"/>
          <w:color w:val="000000"/>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tblGrid>
      <w:tr w:rsidR="00DD2532" w:rsidRPr="00864127" w:rsidTr="00DD2532">
        <w:tc>
          <w:tcPr>
            <w:tcW w:w="8364" w:type="dxa"/>
            <w:vAlign w:val="center"/>
          </w:tcPr>
          <w:p w:rsidR="00DD2532" w:rsidRPr="00D046F0" w:rsidRDefault="00DD2532" w:rsidP="00DD2532">
            <w:pPr>
              <w:pStyle w:val="FindingsNormalNumbering"/>
              <w:numPr>
                <w:ilvl w:val="0"/>
                <w:numId w:val="0"/>
              </w:numPr>
            </w:pPr>
            <w:r>
              <w:br w:type="page"/>
            </w:r>
            <w:r>
              <w:rPr>
                <w:b/>
              </w:rPr>
              <w:t xml:space="preserve">Recommendation </w:t>
            </w:r>
            <w:r w:rsidR="001367E4">
              <w:rPr>
                <w:b/>
              </w:rPr>
              <w:t>2</w:t>
            </w:r>
          </w:p>
          <w:p w:rsidR="00F20C58" w:rsidRPr="00C8567D" w:rsidRDefault="00DB2E82" w:rsidP="00F20C58">
            <w:pPr>
              <w:pStyle w:val="FindingsNormalNumbering"/>
              <w:ind w:left="0" w:firstLine="0"/>
              <w:contextualSpacing w:val="0"/>
            </w:pPr>
            <w:r w:rsidRPr="00DB2E82">
              <w:t>The department should grant relevant Mail Program staff in Canberra and regions, access to appropriate internet sites such as online shopping sites, for work use.</w:t>
            </w:r>
          </w:p>
          <w:p w:rsidR="008B0921" w:rsidRDefault="00DB2E82">
            <w:pPr>
              <w:pStyle w:val="FindingsNormalNumbering"/>
              <w:numPr>
                <w:ilvl w:val="0"/>
                <w:numId w:val="0"/>
              </w:numPr>
              <w:contextualSpacing w:val="0"/>
            </w:pPr>
            <w:r>
              <w:rPr>
                <w:b/>
              </w:rPr>
              <w:t>Department’s response:</w:t>
            </w:r>
            <w:r w:rsidRPr="00DB2E82">
              <w:t xml:space="preserve">  </w:t>
            </w:r>
            <w:r w:rsidR="007E220B">
              <w:t>Agreed.</w:t>
            </w:r>
          </w:p>
          <w:p w:rsidR="008B0921" w:rsidRDefault="007E220B" w:rsidP="00D71962">
            <w:pPr>
              <w:pStyle w:val="FindingsNormalNumbering"/>
              <w:numPr>
                <w:ilvl w:val="0"/>
                <w:numId w:val="0"/>
              </w:numPr>
              <w:contextualSpacing w:val="0"/>
              <w:rPr>
                <w:b/>
              </w:rPr>
            </w:pPr>
            <w:r>
              <w:t>Relevant staff have been granted access to restricted internet sites, including online auction sites (</w:t>
            </w:r>
            <w:proofErr w:type="spellStart"/>
            <w:r>
              <w:t>eg</w:t>
            </w:r>
            <w:proofErr w:type="spellEnd"/>
            <w:r>
              <w:t>. e</w:t>
            </w:r>
            <w:r w:rsidR="00D71962">
              <w:t>B</w:t>
            </w:r>
            <w:r>
              <w:t>ay), for the purposes of investigation and to assist in activities such as Direct Access assessment and profile development. Active monitoring of these sites has resulted in the detection of items containing undeclared seed and plant material.</w:t>
            </w:r>
          </w:p>
        </w:tc>
      </w:tr>
    </w:tbl>
    <w:p w:rsidR="00F20C58" w:rsidRDefault="00E77336" w:rsidP="00331ADB">
      <w:pPr>
        <w:pStyle w:val="FindingsNormalNumbering"/>
        <w:ind w:left="0" w:firstLine="0"/>
        <w:rPr>
          <w:rFonts w:cs="Calibri"/>
          <w:color w:val="000000"/>
        </w:rPr>
      </w:pPr>
      <w:r w:rsidRPr="00331ADB">
        <w:rPr>
          <w:rFonts w:cs="Calibri"/>
          <w:color w:val="000000"/>
        </w:rPr>
        <w:t xml:space="preserve">Mail centres capture </w:t>
      </w:r>
      <w:r w:rsidR="008F42CF" w:rsidRPr="00331ADB">
        <w:rPr>
          <w:rFonts w:cs="Calibri"/>
          <w:color w:val="000000"/>
        </w:rPr>
        <w:t>(</w:t>
      </w:r>
      <w:r w:rsidRPr="00331ADB">
        <w:rPr>
          <w:rFonts w:cs="Calibri"/>
          <w:color w:val="000000"/>
        </w:rPr>
        <w:t>and often double-handle</w:t>
      </w:r>
      <w:r w:rsidR="008F42CF" w:rsidRPr="00331ADB">
        <w:rPr>
          <w:rFonts w:cs="Calibri"/>
          <w:color w:val="000000"/>
        </w:rPr>
        <w:t>)</w:t>
      </w:r>
      <w:r w:rsidRPr="00331ADB">
        <w:rPr>
          <w:rFonts w:cs="Calibri"/>
          <w:color w:val="000000"/>
        </w:rPr>
        <w:t xml:space="preserve"> considerable </w:t>
      </w:r>
      <w:r w:rsidR="009032F7" w:rsidRPr="00331ADB">
        <w:rPr>
          <w:rFonts w:cs="Calibri"/>
          <w:color w:val="000000"/>
        </w:rPr>
        <w:t>amounts of</w:t>
      </w:r>
      <w:r w:rsidR="001036B3" w:rsidRPr="00331ADB">
        <w:rPr>
          <w:rFonts w:cs="Calibri"/>
          <w:color w:val="000000"/>
        </w:rPr>
        <w:t xml:space="preserve"> data and information</w:t>
      </w:r>
      <w:r w:rsidR="00853B78" w:rsidRPr="00331ADB">
        <w:rPr>
          <w:rFonts w:cs="Calibri"/>
          <w:color w:val="000000"/>
        </w:rPr>
        <w:t xml:space="preserve">. </w:t>
      </w:r>
      <w:r w:rsidR="001036B3" w:rsidRPr="00331ADB">
        <w:rPr>
          <w:rFonts w:cs="Calibri"/>
          <w:color w:val="000000"/>
        </w:rPr>
        <w:t xml:space="preserve">Mail centre </w:t>
      </w:r>
      <w:r w:rsidR="000A4CC7" w:rsidRPr="00331ADB">
        <w:rPr>
          <w:rFonts w:cs="Calibri"/>
          <w:color w:val="000000"/>
        </w:rPr>
        <w:t>staff often record</w:t>
      </w:r>
      <w:r w:rsidR="001036B3" w:rsidRPr="00331ADB">
        <w:rPr>
          <w:rFonts w:cs="Calibri"/>
          <w:color w:val="000000"/>
        </w:rPr>
        <w:t xml:space="preserve"> information on paper forms</w:t>
      </w:r>
      <w:r w:rsidR="008F42CF" w:rsidRPr="00331ADB">
        <w:rPr>
          <w:rFonts w:cs="Calibri"/>
          <w:color w:val="000000"/>
        </w:rPr>
        <w:t>,</w:t>
      </w:r>
      <w:r w:rsidR="001036B3" w:rsidRPr="00331ADB">
        <w:rPr>
          <w:rFonts w:cs="Calibri"/>
          <w:color w:val="000000"/>
        </w:rPr>
        <w:t xml:space="preserve"> </w:t>
      </w:r>
      <w:r w:rsidR="008F42CF" w:rsidRPr="00331ADB">
        <w:rPr>
          <w:rFonts w:cs="Calibri"/>
          <w:color w:val="000000"/>
        </w:rPr>
        <w:t xml:space="preserve">and the information is </w:t>
      </w:r>
      <w:r w:rsidR="001036B3" w:rsidRPr="00331ADB">
        <w:rPr>
          <w:rFonts w:cs="Calibri"/>
          <w:color w:val="000000"/>
        </w:rPr>
        <w:t xml:space="preserve">then entered into </w:t>
      </w:r>
      <w:r w:rsidR="00853B78" w:rsidRPr="00331ADB">
        <w:rPr>
          <w:rFonts w:cs="Calibri"/>
          <w:color w:val="000000"/>
        </w:rPr>
        <w:t xml:space="preserve">the </w:t>
      </w:r>
      <w:r w:rsidR="00777D66" w:rsidRPr="00331ADB">
        <w:rPr>
          <w:rFonts w:cs="Calibri"/>
          <w:color w:val="000000"/>
        </w:rPr>
        <w:t>appropriate</w:t>
      </w:r>
      <w:r w:rsidR="00853B78" w:rsidRPr="00331ADB">
        <w:rPr>
          <w:rFonts w:cs="Calibri"/>
          <w:color w:val="000000"/>
        </w:rPr>
        <w:t xml:space="preserve"> system</w:t>
      </w:r>
      <w:r w:rsidR="000A4CC7" w:rsidRPr="00331ADB">
        <w:rPr>
          <w:rFonts w:cs="Calibri"/>
          <w:color w:val="000000"/>
        </w:rPr>
        <w:t>(s)</w:t>
      </w:r>
      <w:r w:rsidR="00853B78" w:rsidRPr="00331ADB">
        <w:rPr>
          <w:rFonts w:cs="Calibri"/>
          <w:color w:val="000000"/>
        </w:rPr>
        <w:t xml:space="preserve">. </w:t>
      </w:r>
      <w:r w:rsidR="00F20C58" w:rsidRPr="00F9439D">
        <w:t xml:space="preserve">This </w:t>
      </w:r>
      <w:r w:rsidR="00F20C58">
        <w:t xml:space="preserve">double-handling </w:t>
      </w:r>
      <w:r w:rsidR="00F20C58" w:rsidRPr="00F9439D">
        <w:t>increases the time taken to record information</w:t>
      </w:r>
      <w:r w:rsidR="00F20C58">
        <w:t xml:space="preserve"> and </w:t>
      </w:r>
      <w:r w:rsidR="00F20C58" w:rsidRPr="00F9439D">
        <w:t xml:space="preserve">the risk of inaccurate data being entered into the department’s </w:t>
      </w:r>
      <w:r w:rsidR="00F20C58">
        <w:t xml:space="preserve">information </w:t>
      </w:r>
      <w:r w:rsidR="00F20C58" w:rsidRPr="00F9439D">
        <w:t xml:space="preserve">systems. </w:t>
      </w:r>
      <w:r w:rsidR="00F20C58">
        <w:t xml:space="preserve">Accurate collection and recording of data is critical to the </w:t>
      </w:r>
      <w:r w:rsidR="00F20C58" w:rsidRPr="00F20C58">
        <w:rPr>
          <w:rFonts w:cs="Calibri"/>
          <w:color w:val="000000"/>
        </w:rPr>
        <w:t xml:space="preserve">integrity of future decisions. The department uses </w:t>
      </w:r>
      <w:r w:rsidR="00CD3482">
        <w:rPr>
          <w:rFonts w:cs="Calibri"/>
          <w:color w:val="000000"/>
        </w:rPr>
        <w:t>th</w:t>
      </w:r>
      <w:r w:rsidR="006E0421">
        <w:rPr>
          <w:rFonts w:cs="Calibri"/>
          <w:color w:val="000000"/>
        </w:rPr>
        <w:t>ese</w:t>
      </w:r>
      <w:r w:rsidR="00F20C58" w:rsidRPr="00F20C58">
        <w:rPr>
          <w:rFonts w:cs="Calibri"/>
          <w:color w:val="000000"/>
        </w:rPr>
        <w:t xml:space="preserve"> data in its risk-return model.</w:t>
      </w:r>
    </w:p>
    <w:p w:rsidR="00F20C58" w:rsidRPr="00F20C58" w:rsidRDefault="00F20C58" w:rsidP="00F20C58">
      <w:pPr>
        <w:pStyle w:val="FindingsNormalNumbering"/>
        <w:ind w:left="0" w:firstLine="0"/>
        <w:rPr>
          <w:rFonts w:cs="Calibri"/>
          <w:color w:val="000000"/>
        </w:rPr>
      </w:pPr>
      <w:r w:rsidRPr="00F20C58">
        <w:rPr>
          <w:rFonts w:cs="Calibri"/>
          <w:color w:val="000000"/>
        </w:rPr>
        <w:t>Mail centre staff could trial the use of mobile devices such as tablets. Direct electronic data entry rather than manual data capture and information double-handling would make recording information more efficient and improve data integrity in, for example, recording information in an end-point survey.</w:t>
      </w:r>
    </w:p>
    <w:p w:rsidR="00F20C58" w:rsidRDefault="000B31B4" w:rsidP="0068582A">
      <w:pPr>
        <w:pStyle w:val="FindingsNormalNumbering"/>
        <w:ind w:left="0" w:firstLine="0"/>
        <w:rPr>
          <w:rFonts w:cs="Calibri"/>
          <w:color w:val="000000"/>
        </w:rPr>
      </w:pPr>
      <w:r>
        <w:rPr>
          <w:rFonts w:cs="Calibri"/>
          <w:color w:val="000000"/>
        </w:rPr>
        <w:t xml:space="preserve">Mail centre staff </w:t>
      </w:r>
      <w:r w:rsidR="00DD23AE">
        <w:rPr>
          <w:rFonts w:cs="Calibri"/>
          <w:color w:val="000000"/>
        </w:rPr>
        <w:t>must</w:t>
      </w:r>
      <w:r>
        <w:rPr>
          <w:rFonts w:cs="Calibri"/>
          <w:color w:val="000000"/>
        </w:rPr>
        <w:t xml:space="preserve"> ensure that data </w:t>
      </w:r>
      <w:r w:rsidR="006E0421">
        <w:rPr>
          <w:rFonts w:cs="Calibri"/>
          <w:color w:val="000000"/>
        </w:rPr>
        <w:t>are</w:t>
      </w:r>
      <w:r>
        <w:rPr>
          <w:rFonts w:cs="Calibri"/>
          <w:color w:val="000000"/>
        </w:rPr>
        <w:t xml:space="preserve"> captured and record</w:t>
      </w:r>
      <w:r w:rsidR="00DD23AE">
        <w:rPr>
          <w:rFonts w:cs="Calibri"/>
          <w:color w:val="000000"/>
        </w:rPr>
        <w:t>ed</w:t>
      </w:r>
      <w:r>
        <w:rPr>
          <w:rFonts w:cs="Calibri"/>
          <w:color w:val="000000"/>
        </w:rPr>
        <w:t xml:space="preserve"> accurately and reflect international mail volumes </w:t>
      </w:r>
      <w:r w:rsidR="00DD23AE">
        <w:rPr>
          <w:rFonts w:cs="Calibri"/>
          <w:color w:val="000000"/>
        </w:rPr>
        <w:t>and</w:t>
      </w:r>
      <w:r>
        <w:rPr>
          <w:rFonts w:cs="Calibri"/>
          <w:color w:val="000000"/>
        </w:rPr>
        <w:t xml:space="preserve"> assessment, screening and inspection activities. </w:t>
      </w:r>
      <w:r w:rsidR="00DD23AE">
        <w:rPr>
          <w:rFonts w:cs="Calibri"/>
          <w:color w:val="000000"/>
        </w:rPr>
        <w:t xml:space="preserve">Profiles are </w:t>
      </w:r>
      <w:r>
        <w:rPr>
          <w:rFonts w:cs="Calibri"/>
          <w:color w:val="000000"/>
        </w:rPr>
        <w:t>develop</w:t>
      </w:r>
      <w:r w:rsidR="00DD23AE">
        <w:rPr>
          <w:rFonts w:cs="Calibri"/>
          <w:color w:val="000000"/>
        </w:rPr>
        <w:t>ed using</w:t>
      </w:r>
      <w:r>
        <w:rPr>
          <w:rFonts w:cs="Calibri"/>
          <w:color w:val="000000"/>
        </w:rPr>
        <w:t xml:space="preserve"> historical data recorded by mail centre staff. Poor data entry and inaccurate records can lead to inefficient</w:t>
      </w:r>
      <w:r w:rsidR="00E1338E">
        <w:rPr>
          <w:rFonts w:cs="Calibri"/>
          <w:color w:val="000000"/>
        </w:rPr>
        <w:t>/ineffective</w:t>
      </w:r>
      <w:r>
        <w:rPr>
          <w:rFonts w:cs="Calibri"/>
          <w:color w:val="000000"/>
        </w:rPr>
        <w:t xml:space="preserve"> profiles.</w:t>
      </w:r>
    </w:p>
    <w:p w:rsidR="00D53AA3" w:rsidRPr="00A9294F" w:rsidRDefault="00D53AA3" w:rsidP="00D53AA3">
      <w:pPr>
        <w:pStyle w:val="Findingsub-heading"/>
        <w:rPr>
          <w:color w:val="000000"/>
        </w:rPr>
      </w:pPr>
      <w:r w:rsidRPr="0035143E">
        <w:t>Communications</w:t>
      </w:r>
    </w:p>
    <w:p w:rsidR="00F521EF" w:rsidRPr="004C5EA0" w:rsidRDefault="00A17C7A" w:rsidP="003375A8">
      <w:pPr>
        <w:pStyle w:val="FindingsNormalNumbering"/>
        <w:ind w:left="0" w:firstLine="0"/>
        <w:rPr>
          <w:rFonts w:cs="Calibri"/>
          <w:color w:val="000000"/>
        </w:rPr>
      </w:pPr>
      <w:r>
        <w:rPr>
          <w:rFonts w:cs="Calibri"/>
          <w:color w:val="000000"/>
        </w:rPr>
        <w:t xml:space="preserve">Mail Program </w:t>
      </w:r>
      <w:r w:rsidRPr="003375A8">
        <w:rPr>
          <w:rFonts w:cs="Calibri"/>
          <w:color w:val="000000"/>
        </w:rPr>
        <w:t xml:space="preserve">communication </w:t>
      </w:r>
      <w:r w:rsidR="00F521EF" w:rsidRPr="003375A8">
        <w:rPr>
          <w:rFonts w:cs="Calibri"/>
          <w:color w:val="000000"/>
        </w:rPr>
        <w:t xml:space="preserve">and information sharing </w:t>
      </w:r>
      <w:r w:rsidR="00143B54">
        <w:rPr>
          <w:rFonts w:cs="Calibri"/>
          <w:color w:val="000000"/>
        </w:rPr>
        <w:t>were</w:t>
      </w:r>
      <w:r>
        <w:rPr>
          <w:rFonts w:cs="Calibri"/>
          <w:color w:val="000000"/>
        </w:rPr>
        <w:t xml:space="preserve"> </w:t>
      </w:r>
      <w:r w:rsidR="00F521EF" w:rsidRPr="003375A8">
        <w:rPr>
          <w:rFonts w:cs="Calibri"/>
          <w:color w:val="000000"/>
        </w:rPr>
        <w:t>strong and extend</w:t>
      </w:r>
      <w:r w:rsidR="00143B54">
        <w:rPr>
          <w:rFonts w:cs="Calibri"/>
          <w:color w:val="000000"/>
        </w:rPr>
        <w:t>ed</w:t>
      </w:r>
      <w:r w:rsidR="00F521EF" w:rsidRPr="003375A8">
        <w:rPr>
          <w:rFonts w:cs="Calibri"/>
          <w:color w:val="000000"/>
        </w:rPr>
        <w:t xml:space="preserve"> </w:t>
      </w:r>
      <w:r>
        <w:rPr>
          <w:rFonts w:cs="Calibri"/>
          <w:color w:val="000000"/>
        </w:rPr>
        <w:t>to</w:t>
      </w:r>
      <w:r w:rsidRPr="003375A8">
        <w:rPr>
          <w:rFonts w:cs="Calibri"/>
          <w:color w:val="000000"/>
        </w:rPr>
        <w:t xml:space="preserve"> </w:t>
      </w:r>
      <w:r w:rsidR="00F521EF" w:rsidRPr="003375A8">
        <w:rPr>
          <w:rFonts w:cs="Calibri"/>
          <w:color w:val="000000"/>
        </w:rPr>
        <w:t xml:space="preserve">all </w:t>
      </w:r>
      <w:r w:rsidR="00187B59" w:rsidRPr="004C5EA0">
        <w:rPr>
          <w:rFonts w:cs="Calibri"/>
          <w:color w:val="000000"/>
        </w:rPr>
        <w:t>mail</w:t>
      </w:r>
      <w:r w:rsidR="00F521EF" w:rsidRPr="004C5EA0">
        <w:rPr>
          <w:rFonts w:cs="Calibri"/>
          <w:color w:val="000000"/>
        </w:rPr>
        <w:t xml:space="preserve"> centres. </w:t>
      </w:r>
      <w:r w:rsidRPr="004C5EA0">
        <w:rPr>
          <w:rFonts w:cs="Calibri"/>
          <w:color w:val="000000"/>
        </w:rPr>
        <w:t xml:space="preserve">The </w:t>
      </w:r>
      <w:r w:rsidR="003375A8" w:rsidRPr="004C5EA0">
        <w:rPr>
          <w:rFonts w:cs="Calibri"/>
          <w:color w:val="000000"/>
        </w:rPr>
        <w:t>internal</w:t>
      </w:r>
      <w:r w:rsidR="00F521EF" w:rsidRPr="004C5EA0">
        <w:rPr>
          <w:rFonts w:cs="Calibri"/>
          <w:color w:val="000000"/>
        </w:rPr>
        <w:t xml:space="preserve"> </w:t>
      </w:r>
      <w:r w:rsidR="003375A8" w:rsidRPr="004C5EA0">
        <w:rPr>
          <w:rFonts w:cs="Calibri"/>
          <w:color w:val="000000"/>
        </w:rPr>
        <w:t>Passenger and Mail Portal contains useful information on performance indicators</w:t>
      </w:r>
      <w:r w:rsidR="00187B59" w:rsidRPr="004C5EA0">
        <w:rPr>
          <w:rFonts w:cs="Calibri"/>
          <w:color w:val="000000"/>
        </w:rPr>
        <w:t xml:space="preserve"> (nationally and for individual </w:t>
      </w:r>
      <w:r w:rsidR="00F20C58" w:rsidRPr="004C5EA0">
        <w:rPr>
          <w:rFonts w:cs="Calibri"/>
          <w:color w:val="000000"/>
        </w:rPr>
        <w:t>mail centres</w:t>
      </w:r>
      <w:r w:rsidR="00187B59" w:rsidRPr="004C5EA0">
        <w:rPr>
          <w:rFonts w:cs="Calibri"/>
          <w:color w:val="000000"/>
        </w:rPr>
        <w:t>)</w:t>
      </w:r>
      <w:r w:rsidR="003375A8" w:rsidRPr="004C5EA0">
        <w:rPr>
          <w:rFonts w:cs="Calibri"/>
          <w:color w:val="000000"/>
        </w:rPr>
        <w:t xml:space="preserve"> and operational notices. The risk man</w:t>
      </w:r>
      <w:r w:rsidR="00777D66" w:rsidRPr="004C5EA0">
        <w:rPr>
          <w:rFonts w:cs="Calibri"/>
          <w:color w:val="000000"/>
        </w:rPr>
        <w:t>a</w:t>
      </w:r>
      <w:r w:rsidR="008C1973" w:rsidRPr="004C5EA0">
        <w:rPr>
          <w:rFonts w:cs="Calibri"/>
          <w:color w:val="000000"/>
        </w:rPr>
        <w:t>ger</w:t>
      </w:r>
      <w:r w:rsidR="003375A8" w:rsidRPr="004C5EA0">
        <w:rPr>
          <w:rFonts w:cs="Calibri"/>
          <w:color w:val="000000"/>
        </w:rPr>
        <w:t xml:space="preserve"> network is </w:t>
      </w:r>
      <w:r w:rsidR="00777D66" w:rsidRPr="004C5EA0">
        <w:rPr>
          <w:rFonts w:cs="Calibri"/>
          <w:color w:val="000000"/>
        </w:rPr>
        <w:t xml:space="preserve">a </w:t>
      </w:r>
      <w:r w:rsidR="000B31B4" w:rsidRPr="004C5EA0">
        <w:rPr>
          <w:rFonts w:cs="Calibri"/>
          <w:color w:val="000000"/>
        </w:rPr>
        <w:t>good initiative</w:t>
      </w:r>
      <w:r w:rsidRPr="004C5EA0">
        <w:rPr>
          <w:rFonts w:cs="Calibri"/>
          <w:color w:val="000000"/>
        </w:rPr>
        <w:t>.</w:t>
      </w:r>
      <w:r w:rsidR="0035143E" w:rsidRPr="004C5EA0">
        <w:rPr>
          <w:rFonts w:cs="Calibri"/>
          <w:color w:val="000000"/>
        </w:rPr>
        <w:t xml:space="preserve"> </w:t>
      </w:r>
      <w:r w:rsidRPr="004C5EA0">
        <w:rPr>
          <w:rFonts w:cs="Calibri"/>
          <w:color w:val="000000"/>
        </w:rPr>
        <w:t xml:space="preserve">Risk </w:t>
      </w:r>
      <w:r w:rsidR="003375A8" w:rsidRPr="004C5EA0">
        <w:rPr>
          <w:rFonts w:cs="Calibri"/>
          <w:color w:val="000000"/>
        </w:rPr>
        <w:t>managers hold reg</w:t>
      </w:r>
      <w:r w:rsidR="002A4C35" w:rsidRPr="004C5EA0">
        <w:rPr>
          <w:rFonts w:cs="Calibri"/>
          <w:color w:val="000000"/>
        </w:rPr>
        <w:t xml:space="preserve">ular teleconferences and meet face-to-face </w:t>
      </w:r>
      <w:r w:rsidR="003375A8" w:rsidRPr="004C5EA0">
        <w:rPr>
          <w:rFonts w:cs="Calibri"/>
          <w:color w:val="000000"/>
        </w:rPr>
        <w:t>annually</w:t>
      </w:r>
      <w:r w:rsidR="0035143E" w:rsidRPr="004C5EA0">
        <w:rPr>
          <w:rFonts w:cs="Calibri"/>
          <w:color w:val="000000"/>
        </w:rPr>
        <w:t xml:space="preserve"> to discuss issues and emerging risks at the mail centres</w:t>
      </w:r>
      <w:r w:rsidR="003375A8" w:rsidRPr="004C5EA0">
        <w:rPr>
          <w:rFonts w:cs="Calibri"/>
          <w:color w:val="000000"/>
        </w:rPr>
        <w:t>.</w:t>
      </w:r>
    </w:p>
    <w:p w:rsidR="003375A8" w:rsidRPr="004C5EA0" w:rsidRDefault="00143B54" w:rsidP="003375A8">
      <w:pPr>
        <w:pStyle w:val="FindingsNormalNumbering"/>
        <w:ind w:left="0" w:firstLine="0"/>
        <w:rPr>
          <w:rFonts w:cs="Calibri"/>
          <w:color w:val="000000"/>
        </w:rPr>
      </w:pPr>
      <w:r>
        <w:rPr>
          <w:rFonts w:cs="Calibri"/>
          <w:color w:val="000000"/>
        </w:rPr>
        <w:t>Prior to May 2014, c</w:t>
      </w:r>
      <w:r w:rsidR="00A17C7A" w:rsidRPr="004C5EA0">
        <w:rPr>
          <w:rFonts w:cs="Calibri"/>
          <w:color w:val="000000"/>
        </w:rPr>
        <w:t xml:space="preserve">ommunication and information sharing between the Mail Program and the Cargo </w:t>
      </w:r>
      <w:r w:rsidR="00A17C7A" w:rsidRPr="005D36CB">
        <w:rPr>
          <w:rFonts w:cs="Calibri"/>
          <w:color w:val="000000"/>
        </w:rPr>
        <w:t xml:space="preserve">Program </w:t>
      </w:r>
      <w:r w:rsidR="00777D66" w:rsidRPr="005D36CB">
        <w:rPr>
          <w:rFonts w:cs="Calibri"/>
          <w:color w:val="000000"/>
        </w:rPr>
        <w:t>appear</w:t>
      </w:r>
      <w:r w:rsidR="005D36CB">
        <w:rPr>
          <w:rFonts w:cs="Calibri"/>
          <w:color w:val="000000"/>
        </w:rPr>
        <w:t>ed</w:t>
      </w:r>
      <w:r w:rsidR="00777D66" w:rsidRPr="005D36CB">
        <w:rPr>
          <w:rFonts w:cs="Calibri"/>
          <w:color w:val="000000"/>
        </w:rPr>
        <w:t xml:space="preserve"> to be</w:t>
      </w:r>
      <w:r w:rsidR="003375A8" w:rsidRPr="005D36CB">
        <w:rPr>
          <w:rFonts w:cs="Calibri"/>
          <w:color w:val="000000"/>
        </w:rPr>
        <w:t xml:space="preserve"> minimal</w:t>
      </w:r>
      <w:r w:rsidR="003375A8" w:rsidRPr="004C5EA0">
        <w:rPr>
          <w:rFonts w:cs="Calibri"/>
          <w:color w:val="000000"/>
        </w:rPr>
        <w:t xml:space="preserve">. Given that </w:t>
      </w:r>
      <w:r w:rsidR="00A17C7A" w:rsidRPr="004C5EA0">
        <w:rPr>
          <w:rFonts w:cs="Calibri"/>
          <w:color w:val="000000"/>
        </w:rPr>
        <w:t xml:space="preserve">the </w:t>
      </w:r>
      <w:r w:rsidR="003375A8" w:rsidRPr="004C5EA0">
        <w:rPr>
          <w:rFonts w:cs="Calibri"/>
          <w:color w:val="000000"/>
        </w:rPr>
        <w:t>programs deal</w:t>
      </w:r>
      <w:r w:rsidR="00047F72">
        <w:rPr>
          <w:rFonts w:cs="Calibri"/>
          <w:color w:val="000000"/>
        </w:rPr>
        <w:t>t</w:t>
      </w:r>
      <w:r w:rsidR="003375A8" w:rsidRPr="004C5EA0">
        <w:rPr>
          <w:rFonts w:cs="Calibri"/>
          <w:color w:val="000000"/>
        </w:rPr>
        <w:t xml:space="preserve"> with similar products, especially </w:t>
      </w:r>
      <w:r w:rsidR="00A17C7A" w:rsidRPr="004C5EA0">
        <w:rPr>
          <w:rFonts w:cs="Calibri"/>
          <w:color w:val="000000"/>
        </w:rPr>
        <w:t xml:space="preserve">for </w:t>
      </w:r>
      <w:r w:rsidR="003375A8" w:rsidRPr="004C5EA0">
        <w:rPr>
          <w:rFonts w:cs="Calibri"/>
          <w:color w:val="000000"/>
        </w:rPr>
        <w:t xml:space="preserve">international online purchases, </w:t>
      </w:r>
      <w:r w:rsidR="00047F72">
        <w:rPr>
          <w:rFonts w:cs="Calibri"/>
          <w:color w:val="000000"/>
        </w:rPr>
        <w:t xml:space="preserve">it appeared that </w:t>
      </w:r>
      <w:r w:rsidR="001F48AC" w:rsidRPr="004C5EA0">
        <w:rPr>
          <w:rFonts w:cs="Calibri"/>
          <w:color w:val="000000"/>
        </w:rPr>
        <w:t xml:space="preserve">they </w:t>
      </w:r>
      <w:r w:rsidR="003375A8" w:rsidRPr="004C5EA0">
        <w:rPr>
          <w:rFonts w:cs="Calibri"/>
          <w:color w:val="000000"/>
        </w:rPr>
        <w:t>would benefit</w:t>
      </w:r>
      <w:r w:rsidR="001F48AC" w:rsidRPr="004C5EA0">
        <w:rPr>
          <w:rFonts w:cs="Calibri"/>
          <w:color w:val="000000"/>
        </w:rPr>
        <w:t xml:space="preserve"> from</w:t>
      </w:r>
      <w:r w:rsidR="003375A8" w:rsidRPr="004C5EA0">
        <w:rPr>
          <w:rFonts w:cs="Calibri"/>
          <w:color w:val="000000"/>
        </w:rPr>
        <w:t xml:space="preserve"> shar</w:t>
      </w:r>
      <w:r w:rsidR="00777D66" w:rsidRPr="004C5EA0">
        <w:rPr>
          <w:rFonts w:cs="Calibri"/>
          <w:color w:val="000000"/>
        </w:rPr>
        <w:t>ing</w:t>
      </w:r>
      <w:r w:rsidR="003375A8" w:rsidRPr="004C5EA0">
        <w:rPr>
          <w:rFonts w:cs="Calibri"/>
          <w:color w:val="000000"/>
        </w:rPr>
        <w:t xml:space="preserve"> information on trends, risks and detections.</w:t>
      </w:r>
      <w:r w:rsidR="008771DA" w:rsidRPr="004C5EA0">
        <w:rPr>
          <w:rFonts w:cs="Calibri"/>
          <w:color w:val="000000"/>
        </w:rPr>
        <w:t xml:space="preserve"> </w:t>
      </w:r>
      <w:r w:rsidR="003D74A1">
        <w:t>It should be noted that since</w:t>
      </w:r>
      <w:r w:rsidR="003D74A1" w:rsidRPr="004C5EA0">
        <w:t xml:space="preserve"> </w:t>
      </w:r>
      <w:r w:rsidR="004C5EA0" w:rsidRPr="004C5EA0">
        <w:t xml:space="preserve">1 May 2014, the Compliance Division has been restructured, with a merging of the mail and cargo sections; this has </w:t>
      </w:r>
      <w:r w:rsidR="00CB3789">
        <w:t xml:space="preserve">greatly </w:t>
      </w:r>
      <w:r w:rsidR="004C5EA0" w:rsidRPr="004C5EA0">
        <w:t>enhanced the sharing of information.</w:t>
      </w:r>
    </w:p>
    <w:p w:rsidR="00A2610C" w:rsidRDefault="007F18C2" w:rsidP="00A2610C">
      <w:pPr>
        <w:pStyle w:val="FindingsNormalNumbering"/>
        <w:ind w:left="0" w:firstLine="0"/>
        <w:rPr>
          <w:rFonts w:cs="Calibri"/>
          <w:color w:val="000000"/>
        </w:rPr>
      </w:pPr>
      <w:r>
        <w:rPr>
          <w:rFonts w:cs="Calibri"/>
          <w:color w:val="000000"/>
        </w:rPr>
        <w:lastRenderedPageBreak/>
        <w:t xml:space="preserve">Each month the </w:t>
      </w:r>
      <w:r w:rsidR="0035143E">
        <w:rPr>
          <w:rFonts w:cs="Calibri"/>
          <w:color w:val="000000"/>
        </w:rPr>
        <w:t xml:space="preserve">department </w:t>
      </w:r>
      <w:r w:rsidR="00777D66">
        <w:rPr>
          <w:rFonts w:cs="Calibri"/>
          <w:color w:val="000000"/>
        </w:rPr>
        <w:t>compiles</w:t>
      </w:r>
      <w:r w:rsidR="0035143E">
        <w:rPr>
          <w:rFonts w:cs="Calibri"/>
          <w:color w:val="000000"/>
        </w:rPr>
        <w:t xml:space="preserve"> detailed performance indicator </w:t>
      </w:r>
      <w:r w:rsidR="00562C3F">
        <w:rPr>
          <w:rFonts w:cs="Calibri"/>
          <w:color w:val="000000"/>
        </w:rPr>
        <w:t>statistics</w:t>
      </w:r>
      <w:r w:rsidR="0035143E">
        <w:rPr>
          <w:rFonts w:cs="Calibri"/>
          <w:color w:val="000000"/>
        </w:rPr>
        <w:t xml:space="preserve"> na</w:t>
      </w:r>
      <w:r w:rsidR="00187B59">
        <w:rPr>
          <w:rFonts w:cs="Calibri"/>
          <w:color w:val="000000"/>
        </w:rPr>
        <w:t>tionally and for each mail centre</w:t>
      </w:r>
      <w:r w:rsidR="00562C3F">
        <w:rPr>
          <w:rFonts w:cs="Calibri"/>
          <w:color w:val="000000"/>
        </w:rPr>
        <w:t xml:space="preserve">. </w:t>
      </w:r>
      <w:r w:rsidR="0035143E">
        <w:rPr>
          <w:rFonts w:cs="Calibri"/>
          <w:color w:val="000000"/>
        </w:rPr>
        <w:t>The</w:t>
      </w:r>
      <w:r w:rsidR="00562C3F">
        <w:rPr>
          <w:rFonts w:cs="Calibri"/>
          <w:color w:val="000000"/>
        </w:rPr>
        <w:t xml:space="preserve"> </w:t>
      </w:r>
      <w:r w:rsidR="008771DA">
        <w:rPr>
          <w:rFonts w:cs="Calibri"/>
          <w:color w:val="000000"/>
        </w:rPr>
        <w:t xml:space="preserve">information reflected in the monthly reports </w:t>
      </w:r>
      <w:r w:rsidR="00023197">
        <w:rPr>
          <w:rFonts w:cs="Calibri"/>
          <w:color w:val="000000"/>
        </w:rPr>
        <w:t>is</w:t>
      </w:r>
      <w:r w:rsidR="00562C3F">
        <w:rPr>
          <w:rFonts w:cs="Calibri"/>
          <w:color w:val="000000"/>
        </w:rPr>
        <w:t xml:space="preserve"> complex. </w:t>
      </w:r>
      <w:r w:rsidR="00541D33">
        <w:rPr>
          <w:rFonts w:cs="Calibri"/>
          <w:color w:val="000000"/>
        </w:rPr>
        <w:t xml:space="preserve">During fieldwork the IIGB was informed that </w:t>
      </w:r>
      <w:r w:rsidR="00187B59">
        <w:rPr>
          <w:rFonts w:cs="Calibri"/>
          <w:color w:val="000000"/>
        </w:rPr>
        <w:t>operational</w:t>
      </w:r>
      <w:r w:rsidR="00562C3F">
        <w:rPr>
          <w:rFonts w:cs="Calibri"/>
          <w:color w:val="000000"/>
        </w:rPr>
        <w:t xml:space="preserve"> staff in the mail centres d</w:t>
      </w:r>
      <w:r>
        <w:rPr>
          <w:rFonts w:cs="Calibri"/>
          <w:color w:val="000000"/>
        </w:rPr>
        <w:t>id</w:t>
      </w:r>
      <w:r w:rsidR="00562C3F">
        <w:rPr>
          <w:rFonts w:cs="Calibri"/>
          <w:color w:val="000000"/>
        </w:rPr>
        <w:t xml:space="preserve"> not use these </w:t>
      </w:r>
      <w:r w:rsidR="00777D66">
        <w:rPr>
          <w:rFonts w:cs="Calibri"/>
          <w:color w:val="000000"/>
        </w:rPr>
        <w:t xml:space="preserve">statistics </w:t>
      </w:r>
      <w:r w:rsidR="00542A9C">
        <w:rPr>
          <w:rFonts w:cs="Calibri"/>
          <w:color w:val="000000"/>
        </w:rPr>
        <w:t xml:space="preserve">because </w:t>
      </w:r>
      <w:r w:rsidR="00562C3F">
        <w:rPr>
          <w:rFonts w:cs="Calibri"/>
          <w:color w:val="000000"/>
        </w:rPr>
        <w:t xml:space="preserve">they </w:t>
      </w:r>
      <w:r>
        <w:rPr>
          <w:rFonts w:cs="Calibri"/>
          <w:color w:val="000000"/>
        </w:rPr>
        <w:t xml:space="preserve">could not </w:t>
      </w:r>
      <w:r w:rsidR="00562C3F">
        <w:rPr>
          <w:rFonts w:cs="Calibri"/>
          <w:color w:val="000000"/>
        </w:rPr>
        <w:t>understand the information. The information</w:t>
      </w:r>
      <w:r w:rsidR="00541D33">
        <w:rPr>
          <w:rFonts w:cs="Calibri"/>
          <w:color w:val="000000"/>
        </w:rPr>
        <w:t xml:space="preserve"> in the monthly reports</w:t>
      </w:r>
      <w:r w:rsidR="00562C3F">
        <w:rPr>
          <w:rFonts w:cs="Calibri"/>
          <w:color w:val="000000"/>
        </w:rPr>
        <w:t xml:space="preserve"> is useful and informative</w:t>
      </w:r>
      <w:r w:rsidR="00542A9C">
        <w:rPr>
          <w:rFonts w:cs="Calibri"/>
          <w:color w:val="000000"/>
        </w:rPr>
        <w:t>;</w:t>
      </w:r>
      <w:r w:rsidR="00562C3F">
        <w:rPr>
          <w:rFonts w:cs="Calibri"/>
          <w:color w:val="000000"/>
        </w:rPr>
        <w:t xml:space="preserve"> however, the </w:t>
      </w:r>
      <w:r w:rsidR="00542A9C">
        <w:rPr>
          <w:rFonts w:cs="Calibri"/>
          <w:color w:val="000000"/>
        </w:rPr>
        <w:t xml:space="preserve">department should consider its </w:t>
      </w:r>
      <w:r w:rsidR="00562C3F">
        <w:rPr>
          <w:rFonts w:cs="Calibri"/>
          <w:color w:val="000000"/>
        </w:rPr>
        <w:t xml:space="preserve">target audience when </w:t>
      </w:r>
      <w:r w:rsidR="003D74A1">
        <w:rPr>
          <w:rFonts w:cs="Calibri"/>
          <w:color w:val="000000"/>
        </w:rPr>
        <w:t xml:space="preserve">disseminating </w:t>
      </w:r>
      <w:r w:rsidR="00562C3F">
        <w:rPr>
          <w:rFonts w:cs="Calibri"/>
          <w:color w:val="000000"/>
        </w:rPr>
        <w:t>information.</w:t>
      </w:r>
      <w:r w:rsidR="00FC1ECD">
        <w:rPr>
          <w:rFonts w:cs="Calibri"/>
          <w:color w:val="000000"/>
        </w:rPr>
        <w:t xml:space="preserve"> </w:t>
      </w:r>
      <w:r w:rsidR="006F0541">
        <w:rPr>
          <w:rFonts w:cs="Calibri"/>
          <w:color w:val="000000"/>
        </w:rPr>
        <w:t xml:space="preserve">This information would be useful for </w:t>
      </w:r>
      <w:r w:rsidR="00BA67F4">
        <w:rPr>
          <w:rFonts w:cs="Calibri"/>
          <w:color w:val="000000"/>
        </w:rPr>
        <w:t xml:space="preserve">Canberra-based </w:t>
      </w:r>
      <w:r w:rsidR="00047F72">
        <w:rPr>
          <w:rFonts w:cs="Calibri"/>
          <w:color w:val="000000"/>
        </w:rPr>
        <w:t>Compliance</w:t>
      </w:r>
      <w:r w:rsidR="006F0541">
        <w:rPr>
          <w:rFonts w:cs="Calibri"/>
          <w:color w:val="000000"/>
        </w:rPr>
        <w:t xml:space="preserve"> Program staff </w:t>
      </w:r>
      <w:proofErr w:type="gramStart"/>
      <w:r w:rsidR="00FC1ECD">
        <w:rPr>
          <w:rFonts w:cs="Calibri"/>
          <w:color w:val="000000"/>
        </w:rPr>
        <w:t>who</w:t>
      </w:r>
      <w:proofErr w:type="gramEnd"/>
      <w:r w:rsidR="00FC1ECD">
        <w:rPr>
          <w:rFonts w:cs="Calibri"/>
          <w:color w:val="000000"/>
        </w:rPr>
        <w:t xml:space="preserve"> </w:t>
      </w:r>
      <w:r w:rsidR="00777D66">
        <w:rPr>
          <w:rFonts w:cs="Calibri"/>
          <w:color w:val="000000"/>
        </w:rPr>
        <w:t>are</w:t>
      </w:r>
      <w:r w:rsidR="00FC1ECD">
        <w:rPr>
          <w:rFonts w:cs="Calibri"/>
          <w:color w:val="000000"/>
        </w:rPr>
        <w:t xml:space="preserve"> </w:t>
      </w:r>
      <w:r w:rsidR="00BA67F4">
        <w:rPr>
          <w:rFonts w:cs="Calibri"/>
          <w:color w:val="000000"/>
        </w:rPr>
        <w:t xml:space="preserve">analysing </w:t>
      </w:r>
      <w:r w:rsidR="006F0541">
        <w:rPr>
          <w:rFonts w:cs="Calibri"/>
          <w:color w:val="000000"/>
        </w:rPr>
        <w:t xml:space="preserve">data </w:t>
      </w:r>
      <w:r w:rsidR="00FC1ECD">
        <w:rPr>
          <w:rFonts w:cs="Calibri"/>
          <w:color w:val="000000"/>
        </w:rPr>
        <w:t>and modelling</w:t>
      </w:r>
      <w:r w:rsidR="00286BA4">
        <w:rPr>
          <w:rFonts w:cs="Calibri"/>
          <w:color w:val="000000"/>
        </w:rPr>
        <w:t>,</w:t>
      </w:r>
      <w:r w:rsidR="006F0541">
        <w:rPr>
          <w:rFonts w:cs="Calibri"/>
          <w:color w:val="000000"/>
        </w:rPr>
        <w:t xml:space="preserve"> </w:t>
      </w:r>
      <w:r w:rsidR="00BA67F4">
        <w:rPr>
          <w:rFonts w:cs="Calibri"/>
          <w:color w:val="000000"/>
        </w:rPr>
        <w:t xml:space="preserve">but </w:t>
      </w:r>
      <w:r w:rsidR="00FC1ECD">
        <w:rPr>
          <w:rFonts w:cs="Calibri"/>
          <w:color w:val="000000"/>
        </w:rPr>
        <w:t>operational managers</w:t>
      </w:r>
      <w:r w:rsidR="006F0541">
        <w:rPr>
          <w:rFonts w:cs="Calibri"/>
          <w:color w:val="000000"/>
        </w:rPr>
        <w:t xml:space="preserve"> in the mail centres </w:t>
      </w:r>
      <w:r w:rsidR="00FC1ECD">
        <w:rPr>
          <w:rFonts w:cs="Calibri"/>
          <w:color w:val="000000"/>
        </w:rPr>
        <w:t xml:space="preserve">would </w:t>
      </w:r>
      <w:r w:rsidR="000A4CC7">
        <w:rPr>
          <w:rFonts w:cs="Calibri"/>
          <w:color w:val="000000"/>
        </w:rPr>
        <w:t xml:space="preserve">not require this level of detail. </w:t>
      </w:r>
      <w:r w:rsidR="00F20C58">
        <w:rPr>
          <w:rFonts w:cs="Calibri"/>
          <w:color w:val="000000"/>
        </w:rPr>
        <w:t>Operational m</w:t>
      </w:r>
      <w:r w:rsidR="000A4CC7">
        <w:rPr>
          <w:rFonts w:cs="Calibri"/>
          <w:color w:val="000000"/>
        </w:rPr>
        <w:t xml:space="preserve">anagers </w:t>
      </w:r>
      <w:r w:rsidR="00777D66">
        <w:rPr>
          <w:rFonts w:cs="Calibri"/>
          <w:color w:val="000000"/>
        </w:rPr>
        <w:t>need</w:t>
      </w:r>
      <w:r w:rsidR="006F0541">
        <w:rPr>
          <w:rFonts w:cs="Calibri"/>
          <w:color w:val="000000"/>
        </w:rPr>
        <w:t xml:space="preserve"> </w:t>
      </w:r>
      <w:r w:rsidR="000A4CC7">
        <w:rPr>
          <w:rFonts w:cs="Calibri"/>
          <w:color w:val="000000"/>
        </w:rPr>
        <w:t>high</w:t>
      </w:r>
      <w:r w:rsidR="0055290D">
        <w:rPr>
          <w:rFonts w:cs="Calibri"/>
          <w:color w:val="000000"/>
        </w:rPr>
        <w:t>-</w:t>
      </w:r>
      <w:r w:rsidR="000A4CC7">
        <w:rPr>
          <w:rFonts w:cs="Calibri"/>
          <w:color w:val="000000"/>
        </w:rPr>
        <w:t xml:space="preserve">level information </w:t>
      </w:r>
      <w:r w:rsidR="006E0421">
        <w:rPr>
          <w:rFonts w:cs="Calibri"/>
          <w:color w:val="000000"/>
        </w:rPr>
        <w:t>regarding processes that are</w:t>
      </w:r>
      <w:r w:rsidR="006F0541">
        <w:rPr>
          <w:rFonts w:cs="Calibri"/>
          <w:color w:val="000000"/>
        </w:rPr>
        <w:t xml:space="preserve"> working well and what need</w:t>
      </w:r>
      <w:r w:rsidR="0055290D">
        <w:rPr>
          <w:rFonts w:cs="Calibri"/>
          <w:color w:val="000000"/>
        </w:rPr>
        <w:t>s</w:t>
      </w:r>
      <w:r w:rsidR="006F0541">
        <w:rPr>
          <w:rFonts w:cs="Calibri"/>
          <w:color w:val="000000"/>
        </w:rPr>
        <w:t xml:space="preserve"> improvement or attention.</w:t>
      </w:r>
    </w:p>
    <w:p w:rsidR="008B0921" w:rsidRDefault="008B0921">
      <w:pPr>
        <w:spacing w:before="0" w:after="0" w:line="240" w:lineRule="auto"/>
        <w:rPr>
          <w:rFonts w:cs="Calibri"/>
          <w:color w:val="000000"/>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tblGrid>
      <w:tr w:rsidR="00562C3F" w:rsidRPr="00272651" w:rsidTr="00562C3F">
        <w:tc>
          <w:tcPr>
            <w:tcW w:w="8364" w:type="dxa"/>
            <w:vAlign w:val="center"/>
          </w:tcPr>
          <w:p w:rsidR="00562C3F" w:rsidRPr="00272651" w:rsidRDefault="00562C3F" w:rsidP="00562C3F">
            <w:pPr>
              <w:pStyle w:val="FindingsNormalNumbering"/>
              <w:numPr>
                <w:ilvl w:val="0"/>
                <w:numId w:val="0"/>
              </w:numPr>
            </w:pPr>
            <w:r>
              <w:br w:type="page"/>
            </w:r>
            <w:r w:rsidRPr="00272651">
              <w:rPr>
                <w:b/>
              </w:rPr>
              <w:t xml:space="preserve">Recommendation </w:t>
            </w:r>
            <w:r w:rsidR="0013451C">
              <w:rPr>
                <w:b/>
              </w:rPr>
              <w:t>3</w:t>
            </w:r>
          </w:p>
          <w:p w:rsidR="008B0921" w:rsidRDefault="00620A4C">
            <w:pPr>
              <w:pStyle w:val="FindingsNormalNumbering"/>
              <w:ind w:left="0" w:firstLine="0"/>
              <w:contextualSpacing w:val="0"/>
              <w:rPr>
                <w:rFonts w:cs="Calibri"/>
                <w:color w:val="000000"/>
              </w:rPr>
            </w:pPr>
            <w:r w:rsidRPr="00620A4C">
              <w:rPr>
                <w:rFonts w:cs="Calibri"/>
                <w:color w:val="000000"/>
              </w:rPr>
              <w:t xml:space="preserve">The department should ensure its monthly performance reports to mail centre managers include simplified relevant information to improve service delivery. For example, reports should identify processes performing satisfactorily and </w:t>
            </w:r>
            <w:r w:rsidR="009B3059">
              <w:rPr>
                <w:rFonts w:cs="Calibri"/>
                <w:color w:val="000000"/>
              </w:rPr>
              <w:t xml:space="preserve">any </w:t>
            </w:r>
            <w:r w:rsidRPr="00620A4C">
              <w:rPr>
                <w:rFonts w:cs="Calibri"/>
                <w:color w:val="000000"/>
              </w:rPr>
              <w:t>areas for improvement.</w:t>
            </w:r>
          </w:p>
          <w:p w:rsidR="008B0921" w:rsidRDefault="00562C3F">
            <w:pPr>
              <w:pStyle w:val="FindingsNormalNumbering"/>
              <w:numPr>
                <w:ilvl w:val="0"/>
                <w:numId w:val="0"/>
              </w:numPr>
              <w:contextualSpacing w:val="0"/>
            </w:pPr>
            <w:r w:rsidRPr="00272651">
              <w:rPr>
                <w:b/>
              </w:rPr>
              <w:t xml:space="preserve">Department’s response: </w:t>
            </w:r>
            <w:r w:rsidR="007E220B">
              <w:t>Agreed.</w:t>
            </w:r>
          </w:p>
          <w:p w:rsidR="008B0921" w:rsidRDefault="007E220B">
            <w:pPr>
              <w:spacing w:after="120"/>
            </w:pPr>
            <w:r>
              <w:t xml:space="preserve">The department's reporting was simplified in March 2014, after the IIGB's initial fieldwork was completed. Work is also underway on building a dashboard that will improve capability in running </w:t>
            </w:r>
            <w:r w:rsidRPr="008C710B">
              <w:rPr>
                <w:i/>
              </w:rPr>
              <w:t>ad</w:t>
            </w:r>
            <w:r w:rsidR="008C710B" w:rsidRPr="008C710B">
              <w:rPr>
                <w:i/>
              </w:rPr>
              <w:t xml:space="preserve"> </w:t>
            </w:r>
            <w:r w:rsidRPr="008C710B">
              <w:rPr>
                <w:i/>
              </w:rPr>
              <w:t>hoc</w:t>
            </w:r>
            <w:r>
              <w:t xml:space="preserve"> reporting to meet operational requirements. The dashboard will provide readily accessible performance indicator data.</w:t>
            </w:r>
          </w:p>
        </w:tc>
      </w:tr>
    </w:tbl>
    <w:p w:rsidR="003753CF" w:rsidRDefault="00D53AA3" w:rsidP="003753CF">
      <w:pPr>
        <w:pStyle w:val="FindingsNormalNumbering"/>
        <w:ind w:left="0" w:firstLine="0"/>
        <w:rPr>
          <w:rFonts w:cs="Calibri"/>
          <w:color w:val="000000"/>
        </w:rPr>
      </w:pPr>
      <w:r w:rsidRPr="00272651">
        <w:rPr>
          <w:rFonts w:cs="Calibri"/>
          <w:color w:val="000000"/>
        </w:rPr>
        <w:t>The</w:t>
      </w:r>
      <w:r w:rsidR="005742E2" w:rsidRPr="00272651">
        <w:rPr>
          <w:rFonts w:cs="Calibri"/>
          <w:color w:val="000000"/>
        </w:rPr>
        <w:t xml:space="preserve"> department</w:t>
      </w:r>
      <w:r w:rsidR="005742E2">
        <w:rPr>
          <w:rFonts w:cs="Calibri"/>
          <w:color w:val="000000"/>
        </w:rPr>
        <w:t xml:space="preserve"> has </w:t>
      </w:r>
      <w:r w:rsidRPr="003375A8">
        <w:rPr>
          <w:rFonts w:cs="Calibri"/>
          <w:color w:val="000000"/>
        </w:rPr>
        <w:t xml:space="preserve">a memorandum of understanding </w:t>
      </w:r>
      <w:r w:rsidR="005742E2">
        <w:rPr>
          <w:rFonts w:cs="Calibri"/>
          <w:color w:val="000000"/>
        </w:rPr>
        <w:t xml:space="preserve">with </w:t>
      </w:r>
      <w:r w:rsidRPr="003375A8">
        <w:rPr>
          <w:rFonts w:cs="Calibri"/>
          <w:color w:val="000000"/>
        </w:rPr>
        <w:t>Australia Post</w:t>
      </w:r>
      <w:r w:rsidR="005742E2">
        <w:rPr>
          <w:rFonts w:cs="Calibri"/>
          <w:color w:val="000000"/>
        </w:rPr>
        <w:t xml:space="preserve"> and</w:t>
      </w:r>
      <w:r w:rsidRPr="003375A8">
        <w:rPr>
          <w:rFonts w:cs="Calibri"/>
          <w:color w:val="000000"/>
        </w:rPr>
        <w:t xml:space="preserve"> </w:t>
      </w:r>
      <w:r w:rsidR="00187B59">
        <w:rPr>
          <w:rFonts w:cs="Calibri"/>
          <w:color w:val="000000"/>
        </w:rPr>
        <w:t xml:space="preserve">the </w:t>
      </w:r>
      <w:r w:rsidRPr="003375A8">
        <w:rPr>
          <w:rFonts w:cs="Calibri"/>
          <w:color w:val="000000"/>
        </w:rPr>
        <w:t xml:space="preserve">Australian Customs and Border Protection Service for </w:t>
      </w:r>
      <w:r w:rsidR="006E0421">
        <w:rPr>
          <w:rFonts w:cs="Calibri"/>
          <w:color w:val="000000"/>
        </w:rPr>
        <w:t xml:space="preserve">operations at </w:t>
      </w:r>
      <w:r w:rsidRPr="003375A8">
        <w:rPr>
          <w:rFonts w:cs="Calibri"/>
          <w:color w:val="000000"/>
        </w:rPr>
        <w:t>Australia Post facilities</w:t>
      </w:r>
      <w:r w:rsidR="005742E2">
        <w:rPr>
          <w:rFonts w:cs="Calibri"/>
          <w:color w:val="000000"/>
        </w:rPr>
        <w:t>. It</w:t>
      </w:r>
      <w:r w:rsidRPr="003375A8">
        <w:rPr>
          <w:rFonts w:cs="Calibri"/>
          <w:color w:val="000000"/>
        </w:rPr>
        <w:t xml:space="preserve"> outlines the principles </w:t>
      </w:r>
      <w:r w:rsidR="00777D66">
        <w:rPr>
          <w:rFonts w:cs="Calibri"/>
          <w:color w:val="000000"/>
        </w:rPr>
        <w:t>for</w:t>
      </w:r>
      <w:r w:rsidRPr="003375A8">
        <w:rPr>
          <w:rFonts w:cs="Calibri"/>
          <w:color w:val="000000"/>
        </w:rPr>
        <w:t xml:space="preserve"> managing border agency risks and facilitati</w:t>
      </w:r>
      <w:r w:rsidR="005742E2">
        <w:rPr>
          <w:rFonts w:cs="Calibri"/>
          <w:color w:val="000000"/>
        </w:rPr>
        <w:t>ng</w:t>
      </w:r>
      <w:r w:rsidRPr="003375A8">
        <w:rPr>
          <w:rFonts w:cs="Calibri"/>
          <w:color w:val="000000"/>
        </w:rPr>
        <w:t xml:space="preserve"> international mail</w:t>
      </w:r>
      <w:r w:rsidR="00777D66">
        <w:rPr>
          <w:rFonts w:cs="Calibri"/>
          <w:color w:val="000000"/>
        </w:rPr>
        <w:t xml:space="preserve"> assessment</w:t>
      </w:r>
      <w:r w:rsidRPr="003375A8">
        <w:rPr>
          <w:rFonts w:cs="Calibri"/>
          <w:color w:val="000000"/>
        </w:rPr>
        <w:t>.</w:t>
      </w:r>
      <w:r w:rsidR="00F70BD0">
        <w:rPr>
          <w:rFonts w:cs="Calibri"/>
          <w:color w:val="000000"/>
        </w:rPr>
        <w:t xml:space="preserve"> The department has a good relationship with</w:t>
      </w:r>
      <w:r w:rsidR="000B31B4">
        <w:rPr>
          <w:rFonts w:cs="Calibri"/>
          <w:color w:val="000000"/>
        </w:rPr>
        <w:t xml:space="preserve"> these parties</w:t>
      </w:r>
      <w:r w:rsidR="005742E2">
        <w:rPr>
          <w:rFonts w:cs="Calibri"/>
          <w:color w:val="000000"/>
        </w:rPr>
        <w:t>.</w:t>
      </w:r>
      <w:r w:rsidR="000B31B4">
        <w:rPr>
          <w:rFonts w:cs="Calibri"/>
          <w:color w:val="000000"/>
        </w:rPr>
        <w:t xml:space="preserve"> </w:t>
      </w:r>
      <w:r w:rsidR="005742E2">
        <w:rPr>
          <w:rFonts w:cs="Calibri"/>
          <w:color w:val="000000"/>
        </w:rPr>
        <w:t xml:space="preserve">This </w:t>
      </w:r>
      <w:r w:rsidR="00F70BD0">
        <w:rPr>
          <w:rFonts w:cs="Calibri"/>
          <w:color w:val="000000"/>
        </w:rPr>
        <w:t>was particular</w:t>
      </w:r>
      <w:r w:rsidR="00777D66">
        <w:rPr>
          <w:rFonts w:cs="Calibri"/>
          <w:color w:val="000000"/>
        </w:rPr>
        <w:t>ly</w:t>
      </w:r>
      <w:r w:rsidR="00F70BD0">
        <w:rPr>
          <w:rFonts w:cs="Calibri"/>
          <w:color w:val="000000"/>
        </w:rPr>
        <w:t xml:space="preserve"> </w:t>
      </w:r>
      <w:r w:rsidR="00541D33">
        <w:rPr>
          <w:rFonts w:cs="Calibri"/>
          <w:color w:val="000000"/>
        </w:rPr>
        <w:t>evident</w:t>
      </w:r>
      <w:r w:rsidR="00F70BD0">
        <w:rPr>
          <w:rFonts w:cs="Calibri"/>
          <w:color w:val="000000"/>
        </w:rPr>
        <w:t xml:space="preserve"> in the small mail centres</w:t>
      </w:r>
      <w:r w:rsidR="005742E2">
        <w:rPr>
          <w:rFonts w:cs="Calibri"/>
          <w:color w:val="000000"/>
        </w:rPr>
        <w:t>,</w:t>
      </w:r>
      <w:r w:rsidR="00F70BD0">
        <w:rPr>
          <w:rFonts w:cs="Calibri"/>
          <w:color w:val="000000"/>
        </w:rPr>
        <w:t xml:space="preserve"> </w:t>
      </w:r>
      <w:r w:rsidR="00777D66">
        <w:rPr>
          <w:rFonts w:cs="Calibri"/>
          <w:color w:val="000000"/>
        </w:rPr>
        <w:t>such as</w:t>
      </w:r>
      <w:r w:rsidR="00F70BD0">
        <w:rPr>
          <w:rFonts w:cs="Calibri"/>
          <w:color w:val="000000"/>
        </w:rPr>
        <w:t xml:space="preserve"> Brisbane and Perth</w:t>
      </w:r>
      <w:r w:rsidR="00777D66">
        <w:rPr>
          <w:rFonts w:cs="Calibri"/>
          <w:color w:val="000000"/>
        </w:rPr>
        <w:t>,</w:t>
      </w:r>
      <w:r w:rsidR="00F70BD0">
        <w:rPr>
          <w:rFonts w:cs="Calibri"/>
          <w:color w:val="000000"/>
        </w:rPr>
        <w:t xml:space="preserve"> where </w:t>
      </w:r>
      <w:r w:rsidR="00286BA4">
        <w:rPr>
          <w:rFonts w:cs="Calibri"/>
          <w:color w:val="000000"/>
        </w:rPr>
        <w:t xml:space="preserve">the </w:t>
      </w:r>
      <w:r w:rsidR="005742E2">
        <w:rPr>
          <w:rFonts w:cs="Calibri"/>
          <w:color w:val="000000"/>
        </w:rPr>
        <w:t xml:space="preserve">staff </w:t>
      </w:r>
      <w:r w:rsidR="00F70BD0">
        <w:rPr>
          <w:rFonts w:cs="Calibri"/>
          <w:color w:val="000000"/>
        </w:rPr>
        <w:t>cohort across the three</w:t>
      </w:r>
      <w:r w:rsidR="00281093">
        <w:rPr>
          <w:rFonts w:cs="Calibri"/>
          <w:color w:val="000000"/>
        </w:rPr>
        <w:t xml:space="preserve"> agencies</w:t>
      </w:r>
      <w:r w:rsidR="00BC2AE6">
        <w:rPr>
          <w:rFonts w:cs="Calibri"/>
          <w:color w:val="000000"/>
        </w:rPr>
        <w:t xml:space="preserve"> is smaller</w:t>
      </w:r>
      <w:r w:rsidR="00281093">
        <w:rPr>
          <w:rFonts w:cs="Calibri"/>
          <w:color w:val="000000"/>
        </w:rPr>
        <w:t>.</w:t>
      </w:r>
      <w:r w:rsidR="003753CF" w:rsidRPr="003753CF">
        <w:rPr>
          <w:rFonts w:cs="Calibri"/>
          <w:color w:val="000000"/>
        </w:rPr>
        <w:t xml:space="preserve"> </w:t>
      </w:r>
    </w:p>
    <w:p w:rsidR="00F70BD0" w:rsidRDefault="003753CF" w:rsidP="006D24A4">
      <w:pPr>
        <w:pStyle w:val="FindingsNormalNumbering"/>
        <w:ind w:left="0" w:firstLine="0"/>
        <w:rPr>
          <w:rFonts w:cs="Calibri"/>
          <w:color w:val="000000"/>
        </w:rPr>
      </w:pPr>
      <w:r>
        <w:rPr>
          <w:rFonts w:cs="Calibri"/>
          <w:color w:val="000000"/>
        </w:rPr>
        <w:t xml:space="preserve">The department and the </w:t>
      </w:r>
      <w:r w:rsidRPr="003375A8">
        <w:rPr>
          <w:rFonts w:cs="Calibri"/>
          <w:color w:val="000000"/>
        </w:rPr>
        <w:t>Australian Customs and Border Protection Service</w:t>
      </w:r>
      <w:r>
        <w:rPr>
          <w:rFonts w:cs="Calibri"/>
          <w:color w:val="000000"/>
        </w:rPr>
        <w:t xml:space="preserve"> refer items of interest to each other.</w:t>
      </w:r>
    </w:p>
    <w:p w:rsidR="00653CE9" w:rsidRDefault="00B113A5" w:rsidP="00E8194C">
      <w:pPr>
        <w:pStyle w:val="FindingsNormalNumbering"/>
        <w:ind w:left="0" w:firstLine="0"/>
        <w:rPr>
          <w:rFonts w:cs="Calibri"/>
          <w:color w:val="000000"/>
        </w:rPr>
      </w:pPr>
      <w:r w:rsidRPr="00137705">
        <w:rPr>
          <w:rFonts w:cs="Calibri"/>
          <w:color w:val="000000"/>
        </w:rPr>
        <w:t xml:space="preserve">The IIGB was informed that the </w:t>
      </w:r>
      <w:r w:rsidR="00FB5149">
        <w:rPr>
          <w:rFonts w:cs="Calibri"/>
          <w:color w:val="000000"/>
        </w:rPr>
        <w:t xml:space="preserve">department is also working with a number </w:t>
      </w:r>
      <w:r w:rsidR="00653CE9">
        <w:rPr>
          <w:rFonts w:cs="Calibri"/>
          <w:color w:val="000000"/>
        </w:rPr>
        <w:t>of organisations</w:t>
      </w:r>
      <w:r w:rsidR="00FB5149">
        <w:rPr>
          <w:rFonts w:cs="Calibri"/>
          <w:color w:val="000000"/>
        </w:rPr>
        <w:t>, such as eBay</w:t>
      </w:r>
      <w:r w:rsidR="00653CE9">
        <w:rPr>
          <w:rFonts w:cs="Calibri"/>
          <w:color w:val="000000"/>
        </w:rPr>
        <w:t xml:space="preserve"> and Amazon</w:t>
      </w:r>
      <w:r w:rsidR="00FB5149">
        <w:rPr>
          <w:rFonts w:cs="Calibri"/>
          <w:color w:val="000000"/>
        </w:rPr>
        <w:t xml:space="preserve">, to increase online shoppers’ awareness of biosecurity risks when purchasing goods to be sent to Australia. The department </w:t>
      </w:r>
      <w:r w:rsidR="00CB3789">
        <w:rPr>
          <w:rFonts w:cs="Calibri"/>
          <w:color w:val="000000"/>
        </w:rPr>
        <w:t>has</w:t>
      </w:r>
      <w:r w:rsidR="00653CE9">
        <w:rPr>
          <w:rFonts w:cs="Calibri"/>
          <w:color w:val="000000"/>
        </w:rPr>
        <w:t xml:space="preserve"> extend</w:t>
      </w:r>
      <w:r w:rsidR="00CB3789">
        <w:rPr>
          <w:rFonts w:cs="Calibri"/>
          <w:color w:val="000000"/>
        </w:rPr>
        <w:t>ed</w:t>
      </w:r>
      <w:r w:rsidR="00FB5149">
        <w:rPr>
          <w:rFonts w:cs="Calibri"/>
          <w:color w:val="000000"/>
        </w:rPr>
        <w:t xml:space="preserve"> this excellent initiative </w:t>
      </w:r>
      <w:r w:rsidR="00653CE9">
        <w:rPr>
          <w:rFonts w:cs="Calibri"/>
          <w:color w:val="000000"/>
        </w:rPr>
        <w:t xml:space="preserve">to include </w:t>
      </w:r>
      <w:r w:rsidR="00FB5149">
        <w:rPr>
          <w:rFonts w:cs="Calibri"/>
          <w:color w:val="000000"/>
        </w:rPr>
        <w:t>other online organisations/businesses. The proactive engagement with sel</w:t>
      </w:r>
      <w:r w:rsidR="008773DE">
        <w:rPr>
          <w:rFonts w:cs="Calibri"/>
          <w:color w:val="000000"/>
        </w:rPr>
        <w:t>lers</w:t>
      </w:r>
      <w:r w:rsidR="00CB3789">
        <w:rPr>
          <w:rFonts w:cs="Calibri"/>
          <w:color w:val="000000"/>
        </w:rPr>
        <w:t>, and monitoring of their websites,</w:t>
      </w:r>
      <w:r w:rsidR="008773DE">
        <w:rPr>
          <w:rFonts w:cs="Calibri"/>
          <w:color w:val="000000"/>
        </w:rPr>
        <w:t xml:space="preserve"> contributes to increased inform</w:t>
      </w:r>
      <w:r w:rsidR="00FB5149">
        <w:rPr>
          <w:rFonts w:cs="Calibri"/>
          <w:color w:val="000000"/>
        </w:rPr>
        <w:t xml:space="preserve">ed compliance with Australia’s import regulations and will contribute to decreased </w:t>
      </w:r>
      <w:r w:rsidR="008773DE">
        <w:rPr>
          <w:rFonts w:cs="Calibri"/>
          <w:color w:val="000000"/>
        </w:rPr>
        <w:t>risk</w:t>
      </w:r>
      <w:r w:rsidR="00FB5149">
        <w:rPr>
          <w:rFonts w:cs="Calibri"/>
          <w:color w:val="000000"/>
        </w:rPr>
        <w:t xml:space="preserve"> material entering the country. The viability of this activity is dependent on the department investing in ongoing review of the types of risk material being sold online and ensuring that </w:t>
      </w:r>
      <w:r w:rsidR="008773DE">
        <w:rPr>
          <w:rFonts w:cs="Calibri"/>
          <w:color w:val="000000"/>
        </w:rPr>
        <w:t>identified</w:t>
      </w:r>
      <w:r w:rsidR="00FB5149">
        <w:rPr>
          <w:rFonts w:cs="Calibri"/>
          <w:color w:val="000000"/>
        </w:rPr>
        <w:t xml:space="preserve"> issues are addressed with vendors as early as possible. </w:t>
      </w:r>
    </w:p>
    <w:p w:rsidR="0022700D" w:rsidRDefault="00FB5149" w:rsidP="00E8194C">
      <w:pPr>
        <w:pStyle w:val="FindingsNormalNumbering"/>
        <w:ind w:left="0" w:firstLine="0"/>
        <w:rPr>
          <w:rFonts w:cs="Calibri"/>
          <w:color w:val="000000"/>
        </w:rPr>
      </w:pPr>
      <w:r>
        <w:rPr>
          <w:rFonts w:cs="Calibri"/>
          <w:color w:val="000000"/>
        </w:rPr>
        <w:t xml:space="preserve">The department’s website provides useful information on items/commodities that cannot be imported into Australia. The Import Conditions Database outlines the Australian import conditions for more than 20 000 plant, animal, microbial, mineral and human products. In addition to the Import Conditions Database, the department has also developed websites, such as </w:t>
      </w:r>
      <w:r w:rsidRPr="00FB5149">
        <w:rPr>
          <w:rFonts w:cs="Calibri"/>
          <w:i/>
          <w:color w:val="000000"/>
        </w:rPr>
        <w:t>‘</w:t>
      </w:r>
      <w:r>
        <w:rPr>
          <w:rFonts w:cs="Calibri"/>
          <w:i/>
          <w:color w:val="000000"/>
        </w:rPr>
        <w:t>What can’t be mailed to Australia</w:t>
      </w:r>
      <w:r>
        <w:rPr>
          <w:rFonts w:cs="Calibri"/>
          <w:color w:val="000000"/>
        </w:rPr>
        <w:t>’ and</w:t>
      </w:r>
      <w:r w:rsidRPr="00FB5149">
        <w:rPr>
          <w:rFonts w:cs="Calibri"/>
          <w:i/>
          <w:color w:val="000000"/>
        </w:rPr>
        <w:t xml:space="preserve"> ‘Mail order and internet </w:t>
      </w:r>
      <w:r w:rsidRPr="00FB5149">
        <w:rPr>
          <w:rFonts w:cs="Calibri"/>
          <w:i/>
          <w:color w:val="000000"/>
        </w:rPr>
        <w:lastRenderedPageBreak/>
        <w:t>purchases.’</w:t>
      </w:r>
      <w:r>
        <w:rPr>
          <w:rFonts w:cs="Calibri"/>
          <w:color w:val="000000"/>
        </w:rPr>
        <w:t xml:space="preserve"> These sites allow members of the public to review items that should not be mailed to Australia and information on ordering international goods online.</w:t>
      </w:r>
    </w:p>
    <w:p w:rsidR="00CB3789" w:rsidRPr="00E8194C" w:rsidRDefault="004A6141" w:rsidP="00E8194C">
      <w:pPr>
        <w:pStyle w:val="FindingsNormalNumbering"/>
        <w:ind w:left="0" w:firstLine="0"/>
        <w:rPr>
          <w:rFonts w:cs="Calibri"/>
          <w:color w:val="000000"/>
        </w:rPr>
      </w:pPr>
      <w:r>
        <w:rPr>
          <w:rFonts w:cs="Calibri"/>
          <w:color w:val="000000"/>
        </w:rPr>
        <w:t xml:space="preserve">In addition to general media and other promotional </w:t>
      </w:r>
      <w:r w:rsidR="00CB3789">
        <w:rPr>
          <w:rFonts w:cs="Calibri"/>
          <w:color w:val="000000"/>
        </w:rPr>
        <w:t xml:space="preserve">activities </w:t>
      </w:r>
      <w:r>
        <w:rPr>
          <w:rFonts w:cs="Calibri"/>
          <w:color w:val="000000"/>
        </w:rPr>
        <w:t xml:space="preserve">such as the </w:t>
      </w:r>
      <w:r>
        <w:rPr>
          <w:rFonts w:cs="Calibri"/>
          <w:i/>
          <w:color w:val="000000"/>
        </w:rPr>
        <w:t xml:space="preserve">Border Security </w:t>
      </w:r>
      <w:r>
        <w:rPr>
          <w:rFonts w:cs="Calibri"/>
          <w:color w:val="000000"/>
        </w:rPr>
        <w:t xml:space="preserve">television program </w:t>
      </w:r>
      <w:r w:rsidR="00CB3789">
        <w:rPr>
          <w:rFonts w:cs="Calibri"/>
          <w:color w:val="000000"/>
        </w:rPr>
        <w:t>to increase public awareness, the department has also initiated specific education campaigns.</w:t>
      </w:r>
      <w:r>
        <w:rPr>
          <w:rFonts w:cs="Calibri"/>
          <w:color w:val="000000"/>
        </w:rPr>
        <w:t xml:space="preserve">  In 2013, the department </w:t>
      </w:r>
      <w:r w:rsidR="00047F72">
        <w:rPr>
          <w:rFonts w:cs="Calibri"/>
          <w:color w:val="000000"/>
        </w:rPr>
        <w:t>contacted</w:t>
      </w:r>
      <w:r>
        <w:rPr>
          <w:rFonts w:cs="Calibri"/>
          <w:color w:val="000000"/>
        </w:rPr>
        <w:t xml:space="preserve"> 5165 Australians who had received non-permitted plant or seed imports through international mail.  They received a brochure informing them of Australia’s biosecurity import requirements, with links to the department’s website.  Of the recipients, 345 sought additional information from the website and a further 41 contacted the department directly.</w:t>
      </w:r>
    </w:p>
    <w:p w:rsidR="000D7E64" w:rsidRDefault="007555B7" w:rsidP="006D24A4">
      <w:pPr>
        <w:pStyle w:val="Findingsub-heading"/>
      </w:pPr>
      <w:r>
        <w:t>Funding, fees and c</w:t>
      </w:r>
      <w:r w:rsidR="000D7E64" w:rsidRPr="00FC172B">
        <w:t>harges</w:t>
      </w:r>
    </w:p>
    <w:p w:rsidR="00552183" w:rsidRDefault="00E5760E" w:rsidP="00F521EF">
      <w:pPr>
        <w:pStyle w:val="FindingsNormalNumbering"/>
        <w:ind w:left="0" w:firstLine="0"/>
      </w:pPr>
      <w:r w:rsidRPr="00E5760E">
        <w:t>The Mail Program is funded through government appropriation, with some funding received from Australia Post</w:t>
      </w:r>
      <w:r>
        <w:t xml:space="preserve">. </w:t>
      </w:r>
      <w:r w:rsidR="00552183">
        <w:t>Unlike</w:t>
      </w:r>
      <w:r>
        <w:t xml:space="preserve"> </w:t>
      </w:r>
      <w:r w:rsidR="00C564B1">
        <w:t xml:space="preserve">for </w:t>
      </w:r>
      <w:r>
        <w:t>air cargo,</w:t>
      </w:r>
      <w:r w:rsidR="00F521EF">
        <w:t xml:space="preserve"> </w:t>
      </w:r>
      <w:r w:rsidR="00552183">
        <w:t xml:space="preserve">the department does not charge </w:t>
      </w:r>
      <w:r w:rsidR="00F521EF">
        <w:t>the importer/</w:t>
      </w:r>
      <w:r w:rsidR="00B113A5">
        <w:t xml:space="preserve">online customer/recipient </w:t>
      </w:r>
      <w:r w:rsidR="000A4CC7">
        <w:t>of</w:t>
      </w:r>
      <w:r w:rsidR="00F521EF">
        <w:t xml:space="preserve"> international mail items </w:t>
      </w:r>
      <w:r w:rsidR="00552183">
        <w:t>a fee for inspection of mail items</w:t>
      </w:r>
      <w:r w:rsidR="00F521EF">
        <w:t>.</w:t>
      </w:r>
    </w:p>
    <w:p w:rsidR="001101C3" w:rsidRDefault="00E5760E" w:rsidP="006D24A4">
      <w:pPr>
        <w:pStyle w:val="FindingsNormalNumbering"/>
        <w:ind w:left="0" w:firstLine="0"/>
      </w:pPr>
      <w:r>
        <w:t>From 1 January 2014 the Mail Program increased fees for treatments and re-export services for</w:t>
      </w:r>
      <w:r w:rsidR="007F3372">
        <w:t xml:space="preserve"> any</w:t>
      </w:r>
      <w:r>
        <w:t xml:space="preserve"> international mail that does not meet import conditions. The fees </w:t>
      </w:r>
      <w:r w:rsidR="00A85FC1">
        <w:t xml:space="preserve">had been </w:t>
      </w:r>
      <w:r>
        <w:t>unchanged for 10 year</w:t>
      </w:r>
      <w:r w:rsidR="00B113A5">
        <w:t>s</w:t>
      </w:r>
      <w:r w:rsidR="00A85FC1">
        <w:t>,</w:t>
      </w:r>
      <w:r>
        <w:t xml:space="preserve"> and </w:t>
      </w:r>
      <w:r w:rsidR="00A85FC1">
        <w:t>this</w:t>
      </w:r>
      <w:r>
        <w:t xml:space="preserve"> amendment reflects the current cost of delivering these services. The fee for treatment services</w:t>
      </w:r>
      <w:r w:rsidR="00C564B1">
        <w:t>—</w:t>
      </w:r>
      <w:r>
        <w:t>such as fumigation, gamma irradiation or heat treatment</w:t>
      </w:r>
      <w:r w:rsidR="00C564B1">
        <w:t>—</w:t>
      </w:r>
      <w:r>
        <w:t>increase</w:t>
      </w:r>
      <w:r w:rsidR="00A85FC1">
        <w:t>d</w:t>
      </w:r>
      <w:r>
        <w:t xml:space="preserve"> from $42.50 to $75. The fees for re-export of international mail items increase</w:t>
      </w:r>
      <w:r w:rsidR="00A85FC1">
        <w:t>d</w:t>
      </w:r>
      <w:r>
        <w:t xml:space="preserve"> from $42.50 to $95.</w:t>
      </w:r>
      <w:r w:rsidR="00485A0D">
        <w:t xml:space="preserve"> </w:t>
      </w:r>
    </w:p>
    <w:p w:rsidR="001867FE" w:rsidRDefault="00934F6B" w:rsidP="001867FE">
      <w:pPr>
        <w:pStyle w:val="NumberedHeading2"/>
        <w:keepNext/>
        <w:keepLines/>
        <w:pageBreakBefore/>
        <w:spacing w:after="120"/>
        <w:ind w:hanging="720"/>
      </w:pPr>
      <w:bookmarkStart w:id="43" w:name="_Toc413220606"/>
      <w:bookmarkEnd w:id="35"/>
      <w:bookmarkEnd w:id="36"/>
      <w:bookmarkEnd w:id="37"/>
      <w:r>
        <w:lastRenderedPageBreak/>
        <w:t>Air cargo</w:t>
      </w:r>
      <w:bookmarkEnd w:id="43"/>
    </w:p>
    <w:p w:rsidR="007C6286" w:rsidRDefault="00C3741F" w:rsidP="00BF232A">
      <w:pPr>
        <w:pStyle w:val="FindingsNormalNumbering"/>
        <w:ind w:left="0" w:firstLine="0"/>
      </w:pPr>
      <w:r>
        <w:t>The IIGB understands, b</w:t>
      </w:r>
      <w:r w:rsidR="00FC1ECD">
        <w:t xml:space="preserve">ased on historical information and the </w:t>
      </w:r>
      <w:r w:rsidR="00047F72">
        <w:t xml:space="preserve">then </w:t>
      </w:r>
      <w:r w:rsidR="00444C65">
        <w:t>Air Cargo program</w:t>
      </w:r>
      <w:r>
        <w:t xml:space="preserve">’s </w:t>
      </w:r>
      <w:r w:rsidR="00FC1ECD">
        <w:t>assessment</w:t>
      </w:r>
      <w:r w:rsidR="007F3372">
        <w:t>,</w:t>
      </w:r>
      <w:r w:rsidR="004E5CDD">
        <w:t xml:space="preserve"> that </w:t>
      </w:r>
      <w:r w:rsidR="00444C65">
        <w:t xml:space="preserve">international </w:t>
      </w:r>
      <w:r w:rsidR="004E5CDD" w:rsidRPr="00D44DA3">
        <w:t xml:space="preserve">online purchases </w:t>
      </w:r>
      <w:r w:rsidR="00FC1ECD">
        <w:t xml:space="preserve">generally </w:t>
      </w:r>
      <w:r w:rsidR="00444C65">
        <w:t xml:space="preserve">are </w:t>
      </w:r>
      <w:r w:rsidR="00FC1ECD">
        <w:t>non-</w:t>
      </w:r>
      <w:r w:rsidR="004E5CDD">
        <w:t>commercial imports, arriv</w:t>
      </w:r>
      <w:r w:rsidR="00444C65">
        <w:t>e</w:t>
      </w:r>
      <w:r w:rsidR="004E5CDD" w:rsidRPr="00D44DA3">
        <w:t xml:space="preserve"> by air and have a value less </w:t>
      </w:r>
      <w:r w:rsidR="004E5CDD">
        <w:t>than $1</w:t>
      </w:r>
      <w:r w:rsidR="003753CF">
        <w:t> </w:t>
      </w:r>
      <w:r w:rsidR="004E5CDD" w:rsidRPr="00D44DA3">
        <w:t>000.</w:t>
      </w:r>
      <w:r w:rsidR="004E5CDD">
        <w:t xml:space="preserve"> Consequently, the IIGB narrowed the </w:t>
      </w:r>
      <w:r w:rsidR="001D6414">
        <w:t xml:space="preserve">audit </w:t>
      </w:r>
      <w:r w:rsidR="004E5CDD">
        <w:t>focus by assum</w:t>
      </w:r>
      <w:r w:rsidR="00FD592F">
        <w:t>ing</w:t>
      </w:r>
      <w:r w:rsidR="004E5CDD">
        <w:t xml:space="preserve"> that international online purchases arriving in </w:t>
      </w:r>
      <w:r w:rsidR="00E60336" w:rsidRPr="00D44DA3">
        <w:t xml:space="preserve">Australia </w:t>
      </w:r>
      <w:r w:rsidR="00C564B1">
        <w:t>wer</w:t>
      </w:r>
      <w:r w:rsidR="007F3372">
        <w:t>e mostly</w:t>
      </w:r>
      <w:r w:rsidR="00E60336" w:rsidRPr="00D44DA3">
        <w:t xml:space="preserve"> </w:t>
      </w:r>
      <w:r w:rsidR="003A1582">
        <w:t>self</w:t>
      </w:r>
      <w:r w:rsidR="00FD592F">
        <w:t>-</w:t>
      </w:r>
      <w:r w:rsidR="003A1582">
        <w:t>assessed c</w:t>
      </w:r>
      <w:r w:rsidR="004E5CDD" w:rsidRPr="00D44DA3">
        <w:t xml:space="preserve">learance (SAC) </w:t>
      </w:r>
      <w:r w:rsidR="004E5CDD">
        <w:t xml:space="preserve">goods </w:t>
      </w:r>
      <w:r w:rsidR="00FD592F">
        <w:t xml:space="preserve">with </w:t>
      </w:r>
      <w:r w:rsidR="004E5CDD">
        <w:t xml:space="preserve">value equal </w:t>
      </w:r>
      <w:r w:rsidR="00C564B1">
        <w:t xml:space="preserve">to </w:t>
      </w:r>
      <w:r w:rsidR="003753CF">
        <w:t xml:space="preserve">or less than </w:t>
      </w:r>
      <w:r w:rsidR="004E5CDD">
        <w:t>$1</w:t>
      </w:r>
      <w:r w:rsidR="003753CF">
        <w:t> </w:t>
      </w:r>
      <w:r w:rsidR="004E5CDD" w:rsidRPr="00D44DA3">
        <w:t>000</w:t>
      </w:r>
      <w:r w:rsidR="004E5CDD">
        <w:t xml:space="preserve">. Goods valued over </w:t>
      </w:r>
      <w:r w:rsidR="003753CF">
        <w:t>$1 </w:t>
      </w:r>
      <w:r w:rsidR="00E60336" w:rsidRPr="00D44DA3">
        <w:t>000 require</w:t>
      </w:r>
      <w:r w:rsidR="003A1582">
        <w:t xml:space="preserve"> a f</w:t>
      </w:r>
      <w:r w:rsidR="004E5CDD">
        <w:t>ull import declaration</w:t>
      </w:r>
      <w:r w:rsidR="00FD592F">
        <w:t xml:space="preserve"> and</w:t>
      </w:r>
      <w:r w:rsidR="00D25219">
        <w:t xml:space="preserve"> </w:t>
      </w:r>
      <w:r w:rsidR="009D688E">
        <w:t xml:space="preserve">were not </w:t>
      </w:r>
      <w:r w:rsidR="00FD592F">
        <w:t xml:space="preserve">included in </w:t>
      </w:r>
      <w:r w:rsidR="009D688E">
        <w:t>this audit.</w:t>
      </w:r>
      <w:r w:rsidR="00BF232A">
        <w:t xml:space="preserve"> </w:t>
      </w:r>
      <w:r w:rsidR="000A4CC7">
        <w:t xml:space="preserve">It is important to note that </w:t>
      </w:r>
      <w:r w:rsidR="007C6286">
        <w:t>SAC declarations are not required for the clearance o</w:t>
      </w:r>
      <w:r w:rsidR="00BF232A">
        <w:t xml:space="preserve">f goods </w:t>
      </w:r>
      <w:r w:rsidR="00FD592F">
        <w:t>with</w:t>
      </w:r>
      <w:r w:rsidR="00BF232A">
        <w:t xml:space="preserve"> a value equal </w:t>
      </w:r>
      <w:r w:rsidR="00C564B1">
        <w:t xml:space="preserve">to </w:t>
      </w:r>
      <w:r w:rsidR="003753CF">
        <w:t xml:space="preserve">or less than </w:t>
      </w:r>
      <w:r w:rsidR="00BF232A">
        <w:t>$1</w:t>
      </w:r>
      <w:r w:rsidR="003753CF">
        <w:t> </w:t>
      </w:r>
      <w:r w:rsidR="00BF232A" w:rsidRPr="00D44DA3">
        <w:t>000</w:t>
      </w:r>
      <w:r w:rsidR="00BF232A">
        <w:t xml:space="preserve"> that arrive in Australia by international mail (post).</w:t>
      </w:r>
    </w:p>
    <w:p w:rsidR="006853D3" w:rsidRDefault="009D688E" w:rsidP="009D688E">
      <w:pPr>
        <w:pStyle w:val="FindingsNormalNumbering"/>
        <w:ind w:left="0" w:firstLine="0"/>
      </w:pPr>
      <w:r>
        <w:t>An international online purchase</w:t>
      </w:r>
      <w:r w:rsidR="003A1582">
        <w:t xml:space="preserve"> arriv</w:t>
      </w:r>
      <w:r w:rsidR="005F63F5">
        <w:t>ing</w:t>
      </w:r>
      <w:r w:rsidR="003A1582">
        <w:t xml:space="preserve"> as an express </w:t>
      </w:r>
      <w:r>
        <w:t>c</w:t>
      </w:r>
      <w:r w:rsidR="006853D3" w:rsidRPr="00D44DA3">
        <w:t>ourier item</w:t>
      </w:r>
      <w:r>
        <w:t xml:space="preserve"> </w:t>
      </w:r>
      <w:r w:rsidR="005F63F5">
        <w:t>will</w:t>
      </w:r>
      <w:r w:rsidR="005F63F5" w:rsidRPr="00D44DA3">
        <w:t xml:space="preserve"> </w:t>
      </w:r>
      <w:r w:rsidRPr="00D44DA3">
        <w:t>land</w:t>
      </w:r>
      <w:r w:rsidR="006853D3" w:rsidRPr="00D44DA3">
        <w:t xml:space="preserve"> at </w:t>
      </w:r>
      <w:r w:rsidR="007F3372">
        <w:t>one of several</w:t>
      </w:r>
      <w:r w:rsidR="006853D3" w:rsidRPr="00D44DA3">
        <w:t xml:space="preserve"> Australian </w:t>
      </w:r>
      <w:r w:rsidR="005F63F5">
        <w:t xml:space="preserve">air </w:t>
      </w:r>
      <w:r w:rsidR="00937C95">
        <w:t>or</w:t>
      </w:r>
      <w:r w:rsidR="005F63F5">
        <w:t xml:space="preserve"> sea</w:t>
      </w:r>
      <w:r w:rsidR="005F63F5" w:rsidRPr="00D44DA3">
        <w:t xml:space="preserve"> </w:t>
      </w:r>
      <w:r w:rsidR="006853D3" w:rsidRPr="00D44DA3">
        <w:t>ports</w:t>
      </w:r>
      <w:r w:rsidR="005F63F5">
        <w:t xml:space="preserve">—most likely </w:t>
      </w:r>
      <w:r w:rsidR="006853D3" w:rsidRPr="00D44DA3">
        <w:t xml:space="preserve">Sydney, Melbourne, Perth </w:t>
      </w:r>
      <w:r w:rsidR="005F63F5">
        <w:t>or</w:t>
      </w:r>
      <w:r w:rsidR="006853D3" w:rsidRPr="00D44DA3">
        <w:t xml:space="preserve"> Brisbane. </w:t>
      </w:r>
      <w:r w:rsidR="00937C95">
        <w:t xml:space="preserve">As is the case with </w:t>
      </w:r>
      <w:r w:rsidR="00A871D1">
        <w:t>international mail</w:t>
      </w:r>
      <w:r w:rsidR="00937C95">
        <w:t>, n</w:t>
      </w:r>
      <w:r w:rsidR="005F63F5">
        <w:t>either courier companies nor the department can easily identify</w:t>
      </w:r>
      <w:r w:rsidR="002A4FAA">
        <w:t xml:space="preserve"> international online purchases.</w:t>
      </w:r>
      <w:r w:rsidR="003A1582">
        <w:t xml:space="preserve"> All express c</w:t>
      </w:r>
      <w:r w:rsidR="003A1582" w:rsidRPr="00D44DA3">
        <w:t>ourier item</w:t>
      </w:r>
      <w:r w:rsidR="007F3372">
        <w:t>s</w:t>
      </w:r>
      <w:r w:rsidR="003A1582">
        <w:t xml:space="preserve"> (including online purchases) are assessed collectively under the same processes.</w:t>
      </w:r>
    </w:p>
    <w:p w:rsidR="006853D3" w:rsidRDefault="004E5CDD" w:rsidP="009D688E">
      <w:pPr>
        <w:pStyle w:val="FindingsNormalNumbering"/>
        <w:ind w:left="0" w:firstLine="0"/>
      </w:pPr>
      <w:r>
        <w:t xml:space="preserve">Approximately </w:t>
      </w:r>
      <w:r w:rsidR="009D688E">
        <w:t>90</w:t>
      </w:r>
      <w:r w:rsidR="00E80EFA">
        <w:t xml:space="preserve"> </w:t>
      </w:r>
      <w:r w:rsidR="000163E8">
        <w:t>per cent</w:t>
      </w:r>
      <w:r w:rsidR="00E60336" w:rsidRPr="00D44DA3">
        <w:t xml:space="preserve"> of imported air cargo SAC consignments are processed at the Conference of Asia Pacific Express Carriers (CAPEC) premises. </w:t>
      </w:r>
      <w:r w:rsidR="00A871D1">
        <w:t xml:space="preserve">The </w:t>
      </w:r>
      <w:r w:rsidR="00732488">
        <w:t>CAPEC</w:t>
      </w:r>
      <w:r w:rsidR="00732488" w:rsidRPr="00D44DA3">
        <w:t xml:space="preserve"> </w:t>
      </w:r>
      <w:r w:rsidR="00E60336" w:rsidRPr="00D44DA3">
        <w:t>represents the</w:t>
      </w:r>
      <w:r w:rsidR="007F3372">
        <w:t xml:space="preserve"> major</w:t>
      </w:r>
      <w:r w:rsidR="00E60336" w:rsidRPr="00D44DA3">
        <w:t xml:space="preserve"> express courier services</w:t>
      </w:r>
      <w:r w:rsidR="00732488">
        <w:t>:</w:t>
      </w:r>
      <w:r w:rsidR="00E60336" w:rsidRPr="00D44DA3">
        <w:t xml:space="preserve"> DHL, FedEx, TNT and UPS.</w:t>
      </w:r>
      <w:r w:rsidR="009D688E">
        <w:t xml:space="preserve"> </w:t>
      </w:r>
      <w:r w:rsidR="006810D2">
        <w:t xml:space="preserve">Table </w:t>
      </w:r>
      <w:r w:rsidR="000A4CC7">
        <w:t>7</w:t>
      </w:r>
      <w:r w:rsidR="006810D2">
        <w:t xml:space="preserve"> shows </w:t>
      </w:r>
      <w:r w:rsidR="006853D3" w:rsidRPr="00D44DA3">
        <w:t xml:space="preserve">the </w:t>
      </w:r>
      <w:r w:rsidR="007F3372">
        <w:t>number</w:t>
      </w:r>
      <w:r w:rsidR="006853D3" w:rsidRPr="00D44DA3">
        <w:t xml:space="preserve"> of</w:t>
      </w:r>
      <w:r w:rsidR="006810D2">
        <w:t xml:space="preserve"> SAC consignments imported into Australia by</w:t>
      </w:r>
      <w:r w:rsidR="006853D3" w:rsidRPr="00D44DA3">
        <w:t xml:space="preserve"> </w:t>
      </w:r>
      <w:r w:rsidR="00454CD8">
        <w:t xml:space="preserve">express </w:t>
      </w:r>
      <w:r w:rsidR="00327BF8">
        <w:t xml:space="preserve">couriers </w:t>
      </w:r>
      <w:r w:rsidR="00454CD8">
        <w:t xml:space="preserve">(both </w:t>
      </w:r>
      <w:r w:rsidR="00454CD8" w:rsidRPr="00E60336">
        <w:t>CAPEC and non-CAPEC</w:t>
      </w:r>
      <w:r w:rsidR="00957794">
        <w:t xml:space="preserve"> members</w:t>
      </w:r>
      <w:r w:rsidR="00454CD8">
        <w:t>)</w:t>
      </w:r>
      <w:r w:rsidR="006853D3" w:rsidRPr="00D44DA3">
        <w:t xml:space="preserve"> </w:t>
      </w:r>
      <w:r w:rsidR="00732488">
        <w:t>from</w:t>
      </w:r>
      <w:r w:rsidR="006853D3">
        <w:t xml:space="preserve"> 1</w:t>
      </w:r>
      <w:r w:rsidR="00454CD8">
        <w:t> </w:t>
      </w:r>
      <w:r w:rsidR="006810D2">
        <w:t>July </w:t>
      </w:r>
      <w:r w:rsidR="006853D3" w:rsidRPr="00D44DA3">
        <w:t>2008</w:t>
      </w:r>
      <w:r w:rsidR="006853D3">
        <w:t xml:space="preserve"> </w:t>
      </w:r>
      <w:r w:rsidR="00732488">
        <w:t>to</w:t>
      </w:r>
      <w:r w:rsidR="006810D2">
        <w:t xml:space="preserve"> 30 June </w:t>
      </w:r>
      <w:r w:rsidR="006853D3" w:rsidRPr="00E60336">
        <w:t>2013</w:t>
      </w:r>
      <w:r w:rsidR="00454CD8">
        <w:t>.</w:t>
      </w:r>
    </w:p>
    <w:p w:rsidR="00B10899" w:rsidRDefault="00B10899" w:rsidP="00B10899">
      <w:pPr>
        <w:pStyle w:val="FindingsNormalNumbering"/>
        <w:ind w:left="0" w:firstLine="0"/>
      </w:pPr>
      <w:r>
        <w:t>Table 7 shows that the volume of SAC consignments imported into Australia by</w:t>
      </w:r>
      <w:r w:rsidRPr="00D44DA3">
        <w:t xml:space="preserve"> </w:t>
      </w:r>
      <w:r>
        <w:t xml:space="preserve">the </w:t>
      </w:r>
      <w:r w:rsidRPr="00E60336">
        <w:t xml:space="preserve">CAPEC and non-CAPEC </w:t>
      </w:r>
      <w:r>
        <w:t>members increased by approximately 297 per cent. Air and sea SAC consignments increased by approximately 298 per cent and 162 per cent respectively.</w:t>
      </w:r>
    </w:p>
    <w:p w:rsidR="00B10899" w:rsidRDefault="00B10899" w:rsidP="00B10899">
      <w:pPr>
        <w:pStyle w:val="FindingsNormalNumbering"/>
        <w:numPr>
          <w:ilvl w:val="0"/>
          <w:numId w:val="0"/>
        </w:numPr>
      </w:pPr>
    </w:p>
    <w:p w:rsidR="00454CD8" w:rsidRDefault="00454CD8" w:rsidP="00454CD8">
      <w:pPr>
        <w:pStyle w:val="Figureandtablecaptions"/>
      </w:pPr>
      <w:r w:rsidRPr="0097788B">
        <w:t xml:space="preserve">Table </w:t>
      </w:r>
      <w:proofErr w:type="gramStart"/>
      <w:r w:rsidR="000A4CC7">
        <w:t>7</w:t>
      </w:r>
      <w:r w:rsidRPr="0097788B">
        <w:t xml:space="preserve"> </w:t>
      </w:r>
      <w:r w:rsidR="00CD4A4F">
        <w:t xml:space="preserve"> </w:t>
      </w:r>
      <w:r w:rsidR="00A871D1">
        <w:t>S</w:t>
      </w:r>
      <w:r w:rsidR="00732488">
        <w:t>elf</w:t>
      </w:r>
      <w:proofErr w:type="gramEnd"/>
      <w:r w:rsidR="00732488">
        <w:t>-assessed clearance</w:t>
      </w:r>
      <w:r w:rsidR="00732488" w:rsidRPr="00D44DA3">
        <w:t xml:space="preserve"> </w:t>
      </w:r>
      <w:r w:rsidR="00A871D1">
        <w:t>consignments</w:t>
      </w:r>
      <w:r w:rsidR="006810D2">
        <w:t xml:space="preserve"> </w:t>
      </w:r>
      <w:r w:rsidR="000D66B1">
        <w:t>imported</w:t>
      </w:r>
      <w:r w:rsidR="006810D2">
        <w:t xml:space="preserve"> in</w:t>
      </w:r>
      <w:r w:rsidR="000D66B1">
        <w:t>to</w:t>
      </w:r>
      <w:r w:rsidR="006810D2">
        <w:t xml:space="preserve"> Australia, 2008</w:t>
      </w:r>
      <w:r w:rsidR="00732488">
        <w:t>–</w:t>
      </w:r>
      <w:r w:rsidR="006810D2">
        <w:t>13</w:t>
      </w:r>
    </w:p>
    <w:tbl>
      <w:tblPr>
        <w:tblW w:w="4635" w:type="pct"/>
        <w:tblLook w:val="0000"/>
      </w:tblPr>
      <w:tblGrid>
        <w:gridCol w:w="1810"/>
        <w:gridCol w:w="1074"/>
        <w:gridCol w:w="1196"/>
        <w:gridCol w:w="1277"/>
        <w:gridCol w:w="1274"/>
        <w:gridCol w:w="1274"/>
      </w:tblGrid>
      <w:tr w:rsidR="00A871D1" w:rsidRPr="00D44DA3" w:rsidTr="00A871D1">
        <w:trPr>
          <w:trHeight w:val="120"/>
        </w:trPr>
        <w:tc>
          <w:tcPr>
            <w:tcW w:w="1144" w:type="pct"/>
            <w:tcBorders>
              <w:top w:val="single" w:sz="4" w:space="0" w:color="auto"/>
              <w:bottom w:val="single" w:sz="4" w:space="0" w:color="auto"/>
            </w:tcBorders>
          </w:tcPr>
          <w:p w:rsidR="003A1582" w:rsidRPr="00D44DA3" w:rsidRDefault="00A871D1" w:rsidP="003A1582">
            <w:pPr>
              <w:pStyle w:val="Tableheader"/>
            </w:pPr>
            <w:r>
              <w:t>SAC Consignments</w:t>
            </w:r>
          </w:p>
        </w:tc>
        <w:tc>
          <w:tcPr>
            <w:tcW w:w="679" w:type="pct"/>
            <w:tcBorders>
              <w:top w:val="single" w:sz="4" w:space="0" w:color="auto"/>
              <w:bottom w:val="single" w:sz="4" w:space="0" w:color="auto"/>
            </w:tcBorders>
          </w:tcPr>
          <w:p w:rsidR="003A1582" w:rsidRPr="00D44DA3" w:rsidRDefault="003A1582" w:rsidP="00732488">
            <w:pPr>
              <w:pStyle w:val="Tableheader"/>
              <w:jc w:val="right"/>
            </w:pPr>
            <w:r>
              <w:t>2008</w:t>
            </w:r>
            <w:r w:rsidR="00732488">
              <w:t>–</w:t>
            </w:r>
            <w:r>
              <w:t>09</w:t>
            </w:r>
            <w:r w:rsidR="00BC2DC7">
              <w:t xml:space="preserve"> </w:t>
            </w:r>
            <w:r w:rsidR="00BC2DC7" w:rsidRPr="00A871D1">
              <w:t>a</w:t>
            </w:r>
          </w:p>
        </w:tc>
        <w:tc>
          <w:tcPr>
            <w:tcW w:w="756" w:type="pct"/>
            <w:tcBorders>
              <w:top w:val="single" w:sz="4" w:space="0" w:color="auto"/>
              <w:bottom w:val="single" w:sz="4" w:space="0" w:color="auto"/>
            </w:tcBorders>
          </w:tcPr>
          <w:p w:rsidR="003A1582" w:rsidRPr="00D44DA3" w:rsidRDefault="003A1582" w:rsidP="00732488">
            <w:pPr>
              <w:pStyle w:val="Tableheader"/>
              <w:jc w:val="right"/>
            </w:pPr>
            <w:r>
              <w:t>2009</w:t>
            </w:r>
            <w:r w:rsidR="00732488">
              <w:t>–</w:t>
            </w:r>
            <w:r>
              <w:t>10</w:t>
            </w:r>
          </w:p>
        </w:tc>
        <w:tc>
          <w:tcPr>
            <w:tcW w:w="808" w:type="pct"/>
            <w:tcBorders>
              <w:top w:val="single" w:sz="4" w:space="0" w:color="auto"/>
              <w:bottom w:val="single" w:sz="4" w:space="0" w:color="auto"/>
            </w:tcBorders>
          </w:tcPr>
          <w:p w:rsidR="003A1582" w:rsidRPr="00D44DA3" w:rsidRDefault="003A1582" w:rsidP="00732488">
            <w:pPr>
              <w:pStyle w:val="Tableheader"/>
              <w:jc w:val="right"/>
            </w:pPr>
            <w:r w:rsidRPr="00D44DA3">
              <w:t>2010</w:t>
            </w:r>
            <w:r w:rsidR="00732488">
              <w:t>–</w:t>
            </w:r>
            <w:r w:rsidRPr="00D44DA3">
              <w:t>11</w:t>
            </w:r>
          </w:p>
        </w:tc>
        <w:tc>
          <w:tcPr>
            <w:tcW w:w="806" w:type="pct"/>
            <w:tcBorders>
              <w:top w:val="single" w:sz="4" w:space="0" w:color="auto"/>
              <w:bottom w:val="single" w:sz="4" w:space="0" w:color="auto"/>
            </w:tcBorders>
          </w:tcPr>
          <w:p w:rsidR="003A1582" w:rsidRPr="00D44DA3" w:rsidRDefault="003A1582" w:rsidP="00732488">
            <w:pPr>
              <w:pStyle w:val="Tableheader"/>
              <w:jc w:val="right"/>
            </w:pPr>
            <w:r>
              <w:t>2011</w:t>
            </w:r>
            <w:r w:rsidR="00732488">
              <w:t>–</w:t>
            </w:r>
            <w:r w:rsidRPr="00D44DA3">
              <w:t>12</w:t>
            </w:r>
          </w:p>
        </w:tc>
        <w:tc>
          <w:tcPr>
            <w:tcW w:w="806" w:type="pct"/>
            <w:tcBorders>
              <w:top w:val="single" w:sz="4" w:space="0" w:color="auto"/>
              <w:bottom w:val="single" w:sz="4" w:space="0" w:color="auto"/>
            </w:tcBorders>
          </w:tcPr>
          <w:p w:rsidR="003A1582" w:rsidRPr="00D44DA3" w:rsidRDefault="003A1582" w:rsidP="00732488">
            <w:pPr>
              <w:pStyle w:val="Tableheader"/>
              <w:jc w:val="right"/>
            </w:pPr>
            <w:r>
              <w:t>2012</w:t>
            </w:r>
            <w:r w:rsidR="00732488">
              <w:t>–</w:t>
            </w:r>
            <w:r>
              <w:t>1</w:t>
            </w:r>
            <w:r w:rsidRPr="00D44DA3">
              <w:t>3</w:t>
            </w:r>
          </w:p>
        </w:tc>
      </w:tr>
      <w:tr w:rsidR="00A871D1" w:rsidRPr="00D44DA3" w:rsidTr="00A871D1">
        <w:trPr>
          <w:trHeight w:val="120"/>
        </w:trPr>
        <w:tc>
          <w:tcPr>
            <w:tcW w:w="1144" w:type="pct"/>
            <w:tcBorders>
              <w:top w:val="single" w:sz="4" w:space="0" w:color="auto"/>
            </w:tcBorders>
            <w:vAlign w:val="center"/>
          </w:tcPr>
          <w:p w:rsidR="003A1582" w:rsidRPr="006810D2" w:rsidRDefault="003A1582" w:rsidP="003A1582">
            <w:pPr>
              <w:pStyle w:val="tabletext"/>
              <w:spacing w:before="40" w:after="40"/>
            </w:pPr>
            <w:r w:rsidRPr="006810D2">
              <w:t>Air</w:t>
            </w:r>
            <w:r>
              <w:t xml:space="preserve"> cargo</w:t>
            </w:r>
          </w:p>
        </w:tc>
        <w:tc>
          <w:tcPr>
            <w:tcW w:w="679" w:type="pct"/>
            <w:tcBorders>
              <w:top w:val="single" w:sz="4" w:space="0" w:color="auto"/>
            </w:tcBorders>
          </w:tcPr>
          <w:p w:rsidR="003A1582" w:rsidRPr="00D44DA3" w:rsidRDefault="00732488" w:rsidP="00BC2DC7">
            <w:pPr>
              <w:pStyle w:val="tabletext"/>
              <w:spacing w:before="40" w:after="40"/>
              <w:jc w:val="right"/>
            </w:pPr>
            <w:r>
              <w:t>na</w:t>
            </w:r>
          </w:p>
        </w:tc>
        <w:tc>
          <w:tcPr>
            <w:tcW w:w="756" w:type="pct"/>
            <w:tcBorders>
              <w:top w:val="single" w:sz="4" w:space="0" w:color="auto"/>
            </w:tcBorders>
          </w:tcPr>
          <w:p w:rsidR="003A1582" w:rsidRPr="00D44DA3" w:rsidRDefault="003A1582" w:rsidP="00732488">
            <w:pPr>
              <w:pStyle w:val="tabletext"/>
              <w:spacing w:before="40" w:after="40"/>
              <w:jc w:val="right"/>
            </w:pPr>
            <w:r>
              <w:t>8</w:t>
            </w:r>
            <w:r w:rsidR="00732488">
              <w:t xml:space="preserve"> </w:t>
            </w:r>
            <w:r>
              <w:t>412</w:t>
            </w:r>
            <w:r w:rsidR="00732488">
              <w:t xml:space="preserve"> </w:t>
            </w:r>
            <w:r w:rsidRPr="00D44DA3">
              <w:t>917</w:t>
            </w:r>
          </w:p>
        </w:tc>
        <w:tc>
          <w:tcPr>
            <w:tcW w:w="808" w:type="pct"/>
            <w:tcBorders>
              <w:top w:val="single" w:sz="4" w:space="0" w:color="auto"/>
            </w:tcBorders>
          </w:tcPr>
          <w:p w:rsidR="003A1582" w:rsidRPr="00D44DA3" w:rsidRDefault="003A1582" w:rsidP="00732488">
            <w:pPr>
              <w:pStyle w:val="tabletext"/>
              <w:spacing w:before="40" w:after="40"/>
              <w:jc w:val="right"/>
            </w:pPr>
            <w:r>
              <w:t>10</w:t>
            </w:r>
            <w:r w:rsidR="00732488">
              <w:t xml:space="preserve"> </w:t>
            </w:r>
            <w:r>
              <w:t>987</w:t>
            </w:r>
            <w:r w:rsidR="00732488">
              <w:t xml:space="preserve"> </w:t>
            </w:r>
            <w:r>
              <w:t>750</w:t>
            </w:r>
          </w:p>
        </w:tc>
        <w:tc>
          <w:tcPr>
            <w:tcW w:w="806" w:type="pct"/>
            <w:tcBorders>
              <w:top w:val="single" w:sz="4" w:space="0" w:color="auto"/>
            </w:tcBorders>
          </w:tcPr>
          <w:p w:rsidR="003A1582" w:rsidRPr="00D44DA3" w:rsidRDefault="003A1582" w:rsidP="00732488">
            <w:pPr>
              <w:pStyle w:val="tabletext"/>
              <w:spacing w:before="40" w:after="40"/>
              <w:jc w:val="right"/>
            </w:pPr>
            <w:r>
              <w:t>15</w:t>
            </w:r>
            <w:r w:rsidR="00732488">
              <w:t xml:space="preserve"> </w:t>
            </w:r>
            <w:r>
              <w:t>170</w:t>
            </w:r>
            <w:r w:rsidR="00732488">
              <w:t xml:space="preserve"> </w:t>
            </w:r>
            <w:r>
              <w:t>340</w:t>
            </w:r>
          </w:p>
        </w:tc>
        <w:tc>
          <w:tcPr>
            <w:tcW w:w="806" w:type="pct"/>
            <w:tcBorders>
              <w:top w:val="single" w:sz="4" w:space="0" w:color="auto"/>
            </w:tcBorders>
          </w:tcPr>
          <w:p w:rsidR="003A1582" w:rsidRPr="00D44DA3" w:rsidRDefault="003A1582" w:rsidP="00732488">
            <w:pPr>
              <w:pStyle w:val="tabletext"/>
              <w:spacing w:before="40" w:after="40"/>
              <w:jc w:val="right"/>
            </w:pPr>
            <w:r w:rsidRPr="008B5E89">
              <w:t>25</w:t>
            </w:r>
            <w:r w:rsidR="00732488">
              <w:t xml:space="preserve"> </w:t>
            </w:r>
            <w:r w:rsidRPr="008B5E89">
              <w:t>054</w:t>
            </w:r>
            <w:r w:rsidR="00732488">
              <w:t xml:space="preserve"> </w:t>
            </w:r>
            <w:r w:rsidRPr="008B5E89">
              <w:t>624</w:t>
            </w:r>
          </w:p>
        </w:tc>
      </w:tr>
      <w:tr w:rsidR="00A871D1" w:rsidRPr="00D44DA3" w:rsidTr="00A871D1">
        <w:trPr>
          <w:trHeight w:val="120"/>
        </w:trPr>
        <w:tc>
          <w:tcPr>
            <w:tcW w:w="1144" w:type="pct"/>
            <w:vAlign w:val="center"/>
          </w:tcPr>
          <w:p w:rsidR="003A1582" w:rsidRPr="006810D2" w:rsidRDefault="003A1582" w:rsidP="003A1582">
            <w:pPr>
              <w:pStyle w:val="tabletext"/>
              <w:spacing w:before="40" w:after="40"/>
            </w:pPr>
            <w:r w:rsidRPr="006810D2">
              <w:t>Sea</w:t>
            </w:r>
            <w:r>
              <w:t xml:space="preserve"> cargo</w:t>
            </w:r>
          </w:p>
        </w:tc>
        <w:tc>
          <w:tcPr>
            <w:tcW w:w="679" w:type="pct"/>
          </w:tcPr>
          <w:p w:rsidR="003A1582" w:rsidRPr="00D44DA3" w:rsidRDefault="00732488" w:rsidP="00732488">
            <w:pPr>
              <w:pStyle w:val="tabletext"/>
              <w:spacing w:before="40" w:after="40"/>
              <w:jc w:val="right"/>
            </w:pPr>
            <w:r>
              <w:t>na</w:t>
            </w:r>
          </w:p>
        </w:tc>
        <w:tc>
          <w:tcPr>
            <w:tcW w:w="756" w:type="pct"/>
          </w:tcPr>
          <w:p w:rsidR="003A1582" w:rsidRDefault="003A1582" w:rsidP="00732488">
            <w:pPr>
              <w:pStyle w:val="tabletext"/>
              <w:spacing w:before="40" w:after="40"/>
              <w:jc w:val="right"/>
            </w:pPr>
            <w:r>
              <w:t>77</w:t>
            </w:r>
            <w:r w:rsidR="00732488">
              <w:t xml:space="preserve"> </w:t>
            </w:r>
            <w:r>
              <w:t>405</w:t>
            </w:r>
          </w:p>
        </w:tc>
        <w:tc>
          <w:tcPr>
            <w:tcW w:w="808" w:type="pct"/>
          </w:tcPr>
          <w:p w:rsidR="003A1582" w:rsidRDefault="00732488" w:rsidP="00732488">
            <w:pPr>
              <w:pStyle w:val="tabletext"/>
              <w:spacing w:before="40" w:after="40"/>
              <w:jc w:val="right"/>
            </w:pPr>
            <w:r>
              <w:t xml:space="preserve">89 </w:t>
            </w:r>
            <w:r w:rsidR="003A1582">
              <w:t>658</w:t>
            </w:r>
          </w:p>
        </w:tc>
        <w:tc>
          <w:tcPr>
            <w:tcW w:w="806" w:type="pct"/>
          </w:tcPr>
          <w:p w:rsidR="003A1582" w:rsidRPr="00D44DA3" w:rsidRDefault="00732488" w:rsidP="00732488">
            <w:pPr>
              <w:pStyle w:val="tabletext"/>
              <w:spacing w:before="40" w:after="40"/>
              <w:jc w:val="right"/>
            </w:pPr>
            <w:r>
              <w:t xml:space="preserve">88 </w:t>
            </w:r>
            <w:r w:rsidR="003A1582">
              <w:t>714</w:t>
            </w:r>
          </w:p>
        </w:tc>
        <w:tc>
          <w:tcPr>
            <w:tcW w:w="806" w:type="pct"/>
          </w:tcPr>
          <w:p w:rsidR="003A1582" w:rsidRPr="00D44DA3" w:rsidRDefault="00732488" w:rsidP="00732488">
            <w:pPr>
              <w:pStyle w:val="tabletext"/>
              <w:spacing w:before="40" w:after="40"/>
              <w:jc w:val="right"/>
            </w:pPr>
            <w:r>
              <w:t xml:space="preserve">125 </w:t>
            </w:r>
            <w:r w:rsidR="003A1582">
              <w:t>732</w:t>
            </w:r>
          </w:p>
        </w:tc>
      </w:tr>
      <w:tr w:rsidR="00A871D1" w:rsidRPr="00D44DA3" w:rsidTr="00A871D1">
        <w:trPr>
          <w:trHeight w:val="120"/>
        </w:trPr>
        <w:tc>
          <w:tcPr>
            <w:tcW w:w="1144" w:type="pct"/>
            <w:tcBorders>
              <w:bottom w:val="single" w:sz="4" w:space="0" w:color="auto"/>
            </w:tcBorders>
            <w:vAlign w:val="center"/>
          </w:tcPr>
          <w:p w:rsidR="003A1582" w:rsidRPr="006810D2" w:rsidRDefault="00732488" w:rsidP="003A1582">
            <w:pPr>
              <w:pStyle w:val="tabletext"/>
              <w:spacing w:before="40" w:after="40"/>
            </w:pPr>
            <w:r>
              <w:t>Total</w:t>
            </w:r>
          </w:p>
        </w:tc>
        <w:tc>
          <w:tcPr>
            <w:tcW w:w="679" w:type="pct"/>
            <w:tcBorders>
              <w:bottom w:val="single" w:sz="4" w:space="0" w:color="auto"/>
            </w:tcBorders>
          </w:tcPr>
          <w:p w:rsidR="003A1582" w:rsidRPr="00D44DA3" w:rsidRDefault="00732488" w:rsidP="00732488">
            <w:pPr>
              <w:pStyle w:val="tabletext"/>
              <w:spacing w:before="40" w:after="40"/>
              <w:jc w:val="right"/>
            </w:pPr>
            <w:r>
              <w:t>na</w:t>
            </w:r>
          </w:p>
        </w:tc>
        <w:tc>
          <w:tcPr>
            <w:tcW w:w="756" w:type="pct"/>
            <w:tcBorders>
              <w:bottom w:val="single" w:sz="4" w:space="0" w:color="auto"/>
            </w:tcBorders>
          </w:tcPr>
          <w:p w:rsidR="003A1582" w:rsidRDefault="00732488" w:rsidP="00732488">
            <w:pPr>
              <w:pStyle w:val="tabletext"/>
              <w:spacing w:before="40" w:after="40"/>
              <w:jc w:val="right"/>
            </w:pPr>
            <w:r>
              <w:t xml:space="preserve">8 </w:t>
            </w:r>
            <w:r w:rsidR="003A1582">
              <w:t>490</w:t>
            </w:r>
            <w:r>
              <w:t xml:space="preserve"> </w:t>
            </w:r>
            <w:r w:rsidR="003A1582">
              <w:t>322</w:t>
            </w:r>
          </w:p>
        </w:tc>
        <w:tc>
          <w:tcPr>
            <w:tcW w:w="808" w:type="pct"/>
            <w:tcBorders>
              <w:bottom w:val="single" w:sz="4" w:space="0" w:color="auto"/>
            </w:tcBorders>
          </w:tcPr>
          <w:p w:rsidR="003A1582" w:rsidRDefault="00732488" w:rsidP="00732488">
            <w:pPr>
              <w:pStyle w:val="tabletext"/>
              <w:spacing w:before="40" w:after="40"/>
              <w:jc w:val="right"/>
            </w:pPr>
            <w:r>
              <w:t xml:space="preserve">11 </w:t>
            </w:r>
            <w:r w:rsidR="003A1582">
              <w:t>077</w:t>
            </w:r>
            <w:r>
              <w:t xml:space="preserve"> </w:t>
            </w:r>
            <w:r w:rsidR="003A1582" w:rsidRPr="00D44DA3">
              <w:t>408</w:t>
            </w:r>
          </w:p>
        </w:tc>
        <w:tc>
          <w:tcPr>
            <w:tcW w:w="806" w:type="pct"/>
            <w:tcBorders>
              <w:bottom w:val="single" w:sz="4" w:space="0" w:color="auto"/>
            </w:tcBorders>
          </w:tcPr>
          <w:p w:rsidR="003A1582" w:rsidRPr="00D44DA3" w:rsidRDefault="00732488" w:rsidP="00732488">
            <w:pPr>
              <w:pStyle w:val="tabletext"/>
              <w:spacing w:before="40" w:after="40"/>
              <w:jc w:val="right"/>
            </w:pPr>
            <w:r>
              <w:t xml:space="preserve">15 </w:t>
            </w:r>
            <w:r w:rsidR="003A1582">
              <w:t>259</w:t>
            </w:r>
            <w:r>
              <w:t xml:space="preserve"> </w:t>
            </w:r>
            <w:r w:rsidR="003A1582">
              <w:t>054</w:t>
            </w:r>
          </w:p>
        </w:tc>
        <w:tc>
          <w:tcPr>
            <w:tcW w:w="806" w:type="pct"/>
            <w:tcBorders>
              <w:bottom w:val="single" w:sz="4" w:space="0" w:color="auto"/>
            </w:tcBorders>
          </w:tcPr>
          <w:p w:rsidR="003A1582" w:rsidRPr="00D44DA3" w:rsidRDefault="00732488" w:rsidP="00732488">
            <w:pPr>
              <w:pStyle w:val="tabletext"/>
              <w:spacing w:before="40" w:after="40"/>
              <w:jc w:val="right"/>
            </w:pPr>
            <w:r>
              <w:t xml:space="preserve">25 </w:t>
            </w:r>
            <w:r w:rsidR="003A1582">
              <w:t>180</w:t>
            </w:r>
            <w:r>
              <w:t xml:space="preserve"> </w:t>
            </w:r>
            <w:r w:rsidR="003A1582">
              <w:t>356</w:t>
            </w:r>
          </w:p>
        </w:tc>
      </w:tr>
    </w:tbl>
    <w:p w:rsidR="006810D2" w:rsidRDefault="006810D2" w:rsidP="006810D2">
      <w:pPr>
        <w:pStyle w:val="FigureFooter"/>
      </w:pPr>
      <w:proofErr w:type="gramStart"/>
      <w:r w:rsidRPr="00B919D3">
        <w:rPr>
          <w:b/>
        </w:rPr>
        <w:t>a</w:t>
      </w:r>
      <w:proofErr w:type="gramEnd"/>
      <w:r w:rsidRPr="000D49BF">
        <w:t xml:space="preserve"> </w:t>
      </w:r>
      <w:r>
        <w:t xml:space="preserve">Data from 1 July 2008 </w:t>
      </w:r>
      <w:r w:rsidR="00732488">
        <w:t>to</w:t>
      </w:r>
      <w:r>
        <w:t xml:space="preserve"> 30 June 2009 was unavailable.</w:t>
      </w:r>
    </w:p>
    <w:p w:rsidR="00A871D1" w:rsidRDefault="00A871D1" w:rsidP="00A871D1">
      <w:pPr>
        <w:pStyle w:val="FigureFooter"/>
      </w:pPr>
      <w:r>
        <w:t>Source: Department of Agriculture</w:t>
      </w:r>
      <w:r w:rsidR="006E0421">
        <w:t>, April 2014</w:t>
      </w:r>
    </w:p>
    <w:p w:rsidR="0071552F" w:rsidRDefault="00240158" w:rsidP="0071552F">
      <w:pPr>
        <w:pStyle w:val="FindingsNormalNumbering"/>
        <w:ind w:left="0" w:firstLine="0"/>
      </w:pPr>
      <w:r w:rsidRPr="00620A4C">
        <w:t>The Australia</w:t>
      </w:r>
      <w:r w:rsidR="00A577B7" w:rsidRPr="00620A4C">
        <w:t>n</w:t>
      </w:r>
      <w:r w:rsidRPr="00620A4C">
        <w:t xml:space="preserve"> Customs and Border Protection Service</w:t>
      </w:r>
      <w:r w:rsidR="00CD3482" w:rsidRPr="00620A4C">
        <w:t xml:space="preserve"> provided the data</w:t>
      </w:r>
      <w:r w:rsidR="00620A4C" w:rsidRPr="00620A4C">
        <w:t xml:space="preserve"> to the department</w:t>
      </w:r>
      <w:r w:rsidR="00CD3482" w:rsidRPr="00620A4C">
        <w:t xml:space="preserve"> in table 7</w:t>
      </w:r>
      <w:r w:rsidRPr="00620A4C">
        <w:t>, from the Integrated Cargo System (ICS). All</w:t>
      </w:r>
      <w:r w:rsidRPr="00D44DA3">
        <w:t xml:space="preserve"> cargo imported into Australia is </w:t>
      </w:r>
      <w:r w:rsidR="00AB5495">
        <w:t xml:space="preserve">recorded </w:t>
      </w:r>
      <w:r w:rsidRPr="00D44DA3">
        <w:t xml:space="preserve">in the </w:t>
      </w:r>
      <w:r>
        <w:t xml:space="preserve">ICS. </w:t>
      </w:r>
      <w:r w:rsidR="006853D3" w:rsidRPr="00E60336">
        <w:t xml:space="preserve">The department was only able to source data from </w:t>
      </w:r>
      <w:r>
        <w:t xml:space="preserve">1 July 2008 </w:t>
      </w:r>
      <w:r w:rsidR="00A577B7">
        <w:t xml:space="preserve">to </w:t>
      </w:r>
      <w:r>
        <w:t>30 June 2013</w:t>
      </w:r>
      <w:r w:rsidR="006853D3" w:rsidRPr="00E60336">
        <w:t xml:space="preserve"> on total volumes of cargo imported by express couriers</w:t>
      </w:r>
      <w:r w:rsidR="00A577B7">
        <w:t xml:space="preserve">, </w:t>
      </w:r>
      <w:r w:rsidR="006853D3" w:rsidRPr="00E60336">
        <w:t xml:space="preserve">not </w:t>
      </w:r>
      <w:r w:rsidR="00327BF8">
        <w:t>detailed figures by</w:t>
      </w:r>
      <w:r w:rsidR="0071552F">
        <w:t xml:space="preserve"> financial year</w:t>
      </w:r>
      <w:r w:rsidR="00E80EFA">
        <w:t xml:space="preserve"> or by port/state of arrival</w:t>
      </w:r>
      <w:r w:rsidR="0071552F">
        <w:t>.</w:t>
      </w:r>
    </w:p>
    <w:p w:rsidR="00971D3A" w:rsidRPr="00D44DA3" w:rsidRDefault="00971D3A" w:rsidP="00971D3A">
      <w:pPr>
        <w:pStyle w:val="FindingsNormalNumbering"/>
        <w:ind w:left="0" w:firstLine="0"/>
      </w:pPr>
      <w:r>
        <w:t>During 2012</w:t>
      </w:r>
      <w:r w:rsidR="00A577B7">
        <w:t>–</w:t>
      </w:r>
      <w:r>
        <w:t xml:space="preserve">13 </w:t>
      </w:r>
      <w:r w:rsidR="00240158">
        <w:t xml:space="preserve">the </w:t>
      </w:r>
      <w:r>
        <w:t>majority</w:t>
      </w:r>
      <w:r w:rsidR="00240158">
        <w:t xml:space="preserve"> of SAC </w:t>
      </w:r>
      <w:r>
        <w:t>consignments</w:t>
      </w:r>
      <w:r w:rsidR="00E1338E">
        <w:t xml:space="preserve"> (99.5 per cent)</w:t>
      </w:r>
      <w:r>
        <w:t>, imported by</w:t>
      </w:r>
      <w:r w:rsidR="00046B91">
        <w:t xml:space="preserve"> the</w:t>
      </w:r>
      <w:r>
        <w:t xml:space="preserve"> </w:t>
      </w:r>
      <w:r w:rsidR="00E1338E">
        <w:t xml:space="preserve">CAPEC and </w:t>
      </w:r>
      <w:r>
        <w:t>non</w:t>
      </w:r>
      <w:r w:rsidR="00046B91">
        <w:t>-</w:t>
      </w:r>
      <w:r>
        <w:t>CAPEC</w:t>
      </w:r>
      <w:r w:rsidR="00957794">
        <w:t xml:space="preserve"> members</w:t>
      </w:r>
      <w:r w:rsidR="00A577B7">
        <w:t>,</w:t>
      </w:r>
      <w:r>
        <w:t xml:space="preserve"> arrived in Australia </w:t>
      </w:r>
      <w:r w:rsidR="00A577B7">
        <w:t>by</w:t>
      </w:r>
      <w:r>
        <w:t xml:space="preserve"> air. </w:t>
      </w:r>
      <w:r w:rsidR="00A577B7">
        <w:t xml:space="preserve">Of </w:t>
      </w:r>
      <w:r w:rsidR="00E80EFA">
        <w:t xml:space="preserve">the </w:t>
      </w:r>
      <w:r>
        <w:t>total 25</w:t>
      </w:r>
      <w:r w:rsidR="00A577B7">
        <w:t> </w:t>
      </w:r>
      <w:r>
        <w:t>180</w:t>
      </w:r>
      <w:r w:rsidR="00A577B7">
        <w:t> </w:t>
      </w:r>
      <w:r>
        <w:t xml:space="preserve">356 SAC consignments, </w:t>
      </w:r>
      <w:r w:rsidRPr="00971D3A">
        <w:t>25</w:t>
      </w:r>
      <w:r w:rsidR="00A577B7">
        <w:t> </w:t>
      </w:r>
      <w:r w:rsidRPr="00971D3A">
        <w:t>054</w:t>
      </w:r>
      <w:r w:rsidR="00A577B7">
        <w:t> </w:t>
      </w:r>
      <w:r w:rsidRPr="00971D3A">
        <w:t>624</w:t>
      </w:r>
      <w:r>
        <w:t xml:space="preserve"> arrived in Australia </w:t>
      </w:r>
      <w:r w:rsidR="00A577B7">
        <w:t xml:space="preserve">by </w:t>
      </w:r>
      <w:r>
        <w:t>air and the remaining</w:t>
      </w:r>
      <w:r w:rsidRPr="00971D3A">
        <w:t xml:space="preserve"> </w:t>
      </w:r>
      <w:r>
        <w:t>125</w:t>
      </w:r>
      <w:r w:rsidR="00C94D01">
        <w:t xml:space="preserve"> </w:t>
      </w:r>
      <w:r>
        <w:t xml:space="preserve">732 arrived </w:t>
      </w:r>
      <w:r w:rsidR="00A577B7">
        <w:t xml:space="preserve">by </w:t>
      </w:r>
      <w:r>
        <w:t>sea.</w:t>
      </w:r>
    </w:p>
    <w:p w:rsidR="009F064A" w:rsidRDefault="00565559" w:rsidP="009F064A">
      <w:pPr>
        <w:pStyle w:val="FindingsNormalNumbering"/>
        <w:ind w:left="0" w:firstLine="0"/>
      </w:pPr>
      <w:r>
        <w:t xml:space="preserve">Table </w:t>
      </w:r>
      <w:r w:rsidR="00450D3A">
        <w:t xml:space="preserve">8 </w:t>
      </w:r>
      <w:r>
        <w:t xml:space="preserve">shows </w:t>
      </w:r>
      <w:r w:rsidR="00240158" w:rsidRPr="00D44DA3">
        <w:t xml:space="preserve">the </w:t>
      </w:r>
      <w:r w:rsidR="0056029B">
        <w:t>number</w:t>
      </w:r>
      <w:r w:rsidR="00240158" w:rsidRPr="00D44DA3">
        <w:t xml:space="preserve"> of </w:t>
      </w:r>
      <w:r w:rsidR="00BD32D9">
        <w:t>SAC consignments</w:t>
      </w:r>
      <w:r w:rsidR="00240158" w:rsidRPr="00D44DA3">
        <w:t xml:space="preserve"> </w:t>
      </w:r>
      <w:r w:rsidR="009F064A" w:rsidRPr="009F064A">
        <w:t xml:space="preserve">that </w:t>
      </w:r>
      <w:r w:rsidR="00A577B7">
        <w:t>were</w:t>
      </w:r>
      <w:r w:rsidR="009F064A">
        <w:t xml:space="preserve"> referred from </w:t>
      </w:r>
      <w:r w:rsidR="00A577B7">
        <w:t xml:space="preserve">the </w:t>
      </w:r>
      <w:r w:rsidR="009F064A">
        <w:t>ICS for b</w:t>
      </w:r>
      <w:r w:rsidR="009F064A" w:rsidRPr="009F064A">
        <w:t>iosecurity assessment</w:t>
      </w:r>
      <w:r w:rsidR="00BD32D9">
        <w:t xml:space="preserve"> </w:t>
      </w:r>
      <w:r w:rsidR="00E80EFA">
        <w:t>between 1 July 2008 and 30 June 2013</w:t>
      </w:r>
      <w:r w:rsidR="00BD32D9">
        <w:t>.</w:t>
      </w:r>
    </w:p>
    <w:p w:rsidR="00240158" w:rsidRPr="009F064A" w:rsidRDefault="009F064A" w:rsidP="009F064A">
      <w:pPr>
        <w:pStyle w:val="Figureandtablecaptions"/>
      </w:pPr>
      <w:r>
        <w:lastRenderedPageBreak/>
        <w:t xml:space="preserve">Table </w:t>
      </w:r>
      <w:proofErr w:type="gramStart"/>
      <w:r w:rsidR="00450D3A">
        <w:t>8</w:t>
      </w:r>
      <w:r w:rsidR="00CD4A4F">
        <w:t xml:space="preserve"> </w:t>
      </w:r>
      <w:r w:rsidR="00450D3A">
        <w:t xml:space="preserve"> </w:t>
      </w:r>
      <w:r w:rsidR="00046B91">
        <w:t>S</w:t>
      </w:r>
      <w:r w:rsidR="001609F9">
        <w:t>elf</w:t>
      </w:r>
      <w:proofErr w:type="gramEnd"/>
      <w:r w:rsidR="001609F9">
        <w:t>-assessed clearance</w:t>
      </w:r>
      <w:r w:rsidR="00BD32D9">
        <w:t xml:space="preserve"> consignments</w:t>
      </w:r>
      <w:r w:rsidR="00046B91">
        <w:t xml:space="preserve"> </w:t>
      </w:r>
      <w:r w:rsidR="000A4CC7">
        <w:t>referred from ICS for b</w:t>
      </w:r>
      <w:r w:rsidRPr="00D44DA3">
        <w:t>iosecurity assessment</w:t>
      </w:r>
      <w:r w:rsidR="00BD32D9">
        <w:t>, 2008</w:t>
      </w:r>
      <w:r w:rsidR="000715B6">
        <w:t>–</w:t>
      </w:r>
      <w:r w:rsidR="00BD32D9">
        <w:t>13</w:t>
      </w:r>
    </w:p>
    <w:tbl>
      <w:tblPr>
        <w:tblW w:w="4967" w:type="pct"/>
        <w:tblLook w:val="0000"/>
      </w:tblPr>
      <w:tblGrid>
        <w:gridCol w:w="2376"/>
        <w:gridCol w:w="944"/>
        <w:gridCol w:w="1303"/>
        <w:gridCol w:w="1303"/>
        <w:gridCol w:w="1301"/>
        <w:gridCol w:w="1245"/>
      </w:tblGrid>
      <w:tr w:rsidR="00565559" w:rsidRPr="00D44DA3" w:rsidTr="00046B91">
        <w:trPr>
          <w:trHeight w:val="255"/>
        </w:trPr>
        <w:tc>
          <w:tcPr>
            <w:tcW w:w="1402" w:type="pct"/>
            <w:tcBorders>
              <w:top w:val="single" w:sz="4" w:space="0" w:color="auto"/>
              <w:bottom w:val="single" w:sz="4" w:space="0" w:color="auto"/>
            </w:tcBorders>
          </w:tcPr>
          <w:p w:rsidR="00565559" w:rsidRPr="00D44DA3" w:rsidRDefault="00E80EFA" w:rsidP="001609F9">
            <w:pPr>
              <w:pStyle w:val="Tableheader"/>
            </w:pPr>
            <w:r>
              <w:t>State of arrival</w:t>
            </w:r>
          </w:p>
        </w:tc>
        <w:tc>
          <w:tcPr>
            <w:tcW w:w="557" w:type="pct"/>
            <w:tcBorders>
              <w:top w:val="single" w:sz="4" w:space="0" w:color="auto"/>
              <w:bottom w:val="single" w:sz="4" w:space="0" w:color="auto"/>
            </w:tcBorders>
          </w:tcPr>
          <w:p w:rsidR="00565559" w:rsidRPr="00D44DA3" w:rsidRDefault="00565559" w:rsidP="001609F9">
            <w:pPr>
              <w:pStyle w:val="Tableheader"/>
              <w:jc w:val="right"/>
            </w:pPr>
            <w:r>
              <w:t>20</w:t>
            </w:r>
            <w:r w:rsidR="00BD32D9">
              <w:t>08</w:t>
            </w:r>
            <w:r w:rsidR="001609F9">
              <w:t>–</w:t>
            </w:r>
            <w:r w:rsidR="00BD32D9">
              <w:t>09</w:t>
            </w:r>
          </w:p>
        </w:tc>
        <w:tc>
          <w:tcPr>
            <w:tcW w:w="769" w:type="pct"/>
            <w:tcBorders>
              <w:top w:val="single" w:sz="4" w:space="0" w:color="auto"/>
              <w:bottom w:val="single" w:sz="4" w:space="0" w:color="auto"/>
            </w:tcBorders>
          </w:tcPr>
          <w:p w:rsidR="00565559" w:rsidRPr="00D44DA3" w:rsidRDefault="00565559" w:rsidP="001609F9">
            <w:pPr>
              <w:pStyle w:val="Tableheader"/>
              <w:jc w:val="right"/>
            </w:pPr>
            <w:r>
              <w:t>20</w:t>
            </w:r>
            <w:r w:rsidR="00BD32D9">
              <w:t>09</w:t>
            </w:r>
            <w:r w:rsidR="001609F9">
              <w:t>–</w:t>
            </w:r>
            <w:r w:rsidR="00BD32D9">
              <w:t>10</w:t>
            </w:r>
          </w:p>
        </w:tc>
        <w:tc>
          <w:tcPr>
            <w:tcW w:w="769" w:type="pct"/>
            <w:tcBorders>
              <w:top w:val="single" w:sz="4" w:space="0" w:color="auto"/>
              <w:bottom w:val="single" w:sz="4" w:space="0" w:color="auto"/>
            </w:tcBorders>
          </w:tcPr>
          <w:p w:rsidR="00565559" w:rsidRPr="00D44DA3" w:rsidRDefault="00565559" w:rsidP="001609F9">
            <w:pPr>
              <w:pStyle w:val="Tableheader"/>
              <w:jc w:val="right"/>
            </w:pPr>
            <w:r>
              <w:t>20</w:t>
            </w:r>
            <w:r w:rsidRPr="00D44DA3">
              <w:t>10</w:t>
            </w:r>
            <w:r w:rsidR="001609F9">
              <w:t>–</w:t>
            </w:r>
            <w:r w:rsidRPr="00D44DA3">
              <w:t>11</w:t>
            </w:r>
          </w:p>
        </w:tc>
        <w:tc>
          <w:tcPr>
            <w:tcW w:w="768" w:type="pct"/>
            <w:tcBorders>
              <w:top w:val="single" w:sz="4" w:space="0" w:color="auto"/>
              <w:bottom w:val="single" w:sz="4" w:space="0" w:color="auto"/>
            </w:tcBorders>
          </w:tcPr>
          <w:p w:rsidR="00565559" w:rsidRPr="00D44DA3" w:rsidRDefault="00565559" w:rsidP="001609F9">
            <w:pPr>
              <w:pStyle w:val="Tableheader"/>
              <w:jc w:val="right"/>
            </w:pPr>
            <w:r>
              <w:t>20</w:t>
            </w:r>
            <w:r w:rsidRPr="00D44DA3">
              <w:t>11</w:t>
            </w:r>
            <w:r w:rsidR="001609F9">
              <w:t>–</w:t>
            </w:r>
            <w:r w:rsidRPr="00D44DA3">
              <w:t>12</w:t>
            </w:r>
          </w:p>
        </w:tc>
        <w:tc>
          <w:tcPr>
            <w:tcW w:w="735" w:type="pct"/>
            <w:tcBorders>
              <w:top w:val="single" w:sz="4" w:space="0" w:color="auto"/>
              <w:bottom w:val="single" w:sz="4" w:space="0" w:color="auto"/>
            </w:tcBorders>
            <w:shd w:val="clear" w:color="auto" w:fill="FFFFFF"/>
          </w:tcPr>
          <w:p w:rsidR="00565559" w:rsidRPr="004109F3" w:rsidRDefault="00565559" w:rsidP="001609F9">
            <w:pPr>
              <w:pStyle w:val="Tableheader"/>
              <w:jc w:val="right"/>
              <w:rPr>
                <w:color w:val="000000"/>
              </w:rPr>
            </w:pPr>
            <w:r>
              <w:rPr>
                <w:color w:val="000000"/>
              </w:rPr>
              <w:t>20</w:t>
            </w:r>
            <w:r w:rsidRPr="004109F3">
              <w:rPr>
                <w:color w:val="000000"/>
              </w:rPr>
              <w:t>12</w:t>
            </w:r>
            <w:r w:rsidR="001609F9">
              <w:rPr>
                <w:color w:val="000000"/>
              </w:rPr>
              <w:t>–</w:t>
            </w:r>
            <w:r w:rsidRPr="004109F3">
              <w:rPr>
                <w:color w:val="000000"/>
              </w:rPr>
              <w:t>13</w:t>
            </w:r>
          </w:p>
        </w:tc>
      </w:tr>
      <w:tr w:rsidR="00565559" w:rsidRPr="00D44DA3" w:rsidTr="00046B91">
        <w:trPr>
          <w:trHeight w:val="112"/>
        </w:trPr>
        <w:tc>
          <w:tcPr>
            <w:tcW w:w="1402" w:type="pct"/>
            <w:tcBorders>
              <w:top w:val="single" w:sz="4" w:space="0" w:color="auto"/>
            </w:tcBorders>
          </w:tcPr>
          <w:p w:rsidR="00565559" w:rsidRPr="00D44DA3" w:rsidRDefault="00565559" w:rsidP="001609F9">
            <w:pPr>
              <w:pStyle w:val="tabletext"/>
              <w:spacing w:before="40" w:after="40"/>
            </w:pPr>
            <w:r w:rsidRPr="00D44DA3">
              <w:t>N</w:t>
            </w:r>
            <w:r w:rsidR="001609F9">
              <w:t xml:space="preserve">ew </w:t>
            </w:r>
            <w:r w:rsidRPr="00D44DA3">
              <w:t>S</w:t>
            </w:r>
            <w:r w:rsidR="001609F9">
              <w:t xml:space="preserve">outh </w:t>
            </w:r>
            <w:r w:rsidRPr="00D44DA3">
              <w:t>W</w:t>
            </w:r>
            <w:r w:rsidR="001609F9">
              <w:t>ales</w:t>
            </w:r>
            <w:r w:rsidRPr="00D44DA3">
              <w:t xml:space="preserve"> </w:t>
            </w:r>
          </w:p>
        </w:tc>
        <w:tc>
          <w:tcPr>
            <w:tcW w:w="557" w:type="pct"/>
            <w:tcBorders>
              <w:top w:val="single" w:sz="4" w:space="0" w:color="auto"/>
            </w:tcBorders>
          </w:tcPr>
          <w:p w:rsidR="00565559" w:rsidRPr="00565559" w:rsidRDefault="00565559" w:rsidP="001609F9">
            <w:pPr>
              <w:pStyle w:val="tabletext"/>
              <w:spacing w:before="40" w:after="40"/>
              <w:jc w:val="right"/>
            </w:pPr>
            <w:r w:rsidRPr="00565559">
              <w:t>249</w:t>
            </w:r>
            <w:r w:rsidR="001609F9">
              <w:t xml:space="preserve"> </w:t>
            </w:r>
            <w:r w:rsidRPr="00565559">
              <w:t>630</w:t>
            </w:r>
          </w:p>
        </w:tc>
        <w:tc>
          <w:tcPr>
            <w:tcW w:w="769" w:type="pct"/>
            <w:tcBorders>
              <w:top w:val="single" w:sz="4" w:space="0" w:color="auto"/>
            </w:tcBorders>
          </w:tcPr>
          <w:p w:rsidR="00565559" w:rsidRPr="00565559" w:rsidRDefault="00565559" w:rsidP="001609F9">
            <w:pPr>
              <w:pStyle w:val="tabletext"/>
              <w:spacing w:before="40" w:after="40"/>
              <w:jc w:val="right"/>
            </w:pPr>
            <w:r w:rsidRPr="00565559">
              <w:t>319</w:t>
            </w:r>
            <w:r w:rsidR="001609F9">
              <w:t xml:space="preserve"> </w:t>
            </w:r>
            <w:r w:rsidRPr="00565559">
              <w:t>513</w:t>
            </w:r>
          </w:p>
        </w:tc>
        <w:tc>
          <w:tcPr>
            <w:tcW w:w="769" w:type="pct"/>
            <w:tcBorders>
              <w:top w:val="single" w:sz="4" w:space="0" w:color="auto"/>
            </w:tcBorders>
          </w:tcPr>
          <w:p w:rsidR="00565559" w:rsidRPr="00565559" w:rsidRDefault="00565559" w:rsidP="001609F9">
            <w:pPr>
              <w:pStyle w:val="tabletext"/>
              <w:spacing w:before="40" w:after="40"/>
              <w:jc w:val="right"/>
            </w:pPr>
            <w:r w:rsidRPr="00565559">
              <w:t>437</w:t>
            </w:r>
            <w:r w:rsidR="001609F9">
              <w:t xml:space="preserve"> </w:t>
            </w:r>
            <w:r w:rsidRPr="00565559">
              <w:t>980</w:t>
            </w:r>
          </w:p>
        </w:tc>
        <w:tc>
          <w:tcPr>
            <w:tcW w:w="768" w:type="pct"/>
            <w:tcBorders>
              <w:top w:val="single" w:sz="4" w:space="0" w:color="auto"/>
            </w:tcBorders>
          </w:tcPr>
          <w:p w:rsidR="00565559" w:rsidRPr="00565559" w:rsidRDefault="00565559" w:rsidP="00C94D01">
            <w:pPr>
              <w:pStyle w:val="tabletext"/>
              <w:spacing w:before="40" w:after="40"/>
              <w:jc w:val="right"/>
            </w:pPr>
            <w:r w:rsidRPr="00565559">
              <w:t>444</w:t>
            </w:r>
            <w:r w:rsidR="00C94D01">
              <w:t xml:space="preserve"> </w:t>
            </w:r>
            <w:r w:rsidRPr="00565559">
              <w:t>766</w:t>
            </w:r>
          </w:p>
        </w:tc>
        <w:tc>
          <w:tcPr>
            <w:tcW w:w="735" w:type="pct"/>
            <w:tcBorders>
              <w:top w:val="single" w:sz="4" w:space="0" w:color="auto"/>
            </w:tcBorders>
            <w:shd w:val="clear" w:color="auto" w:fill="FFFFFF"/>
          </w:tcPr>
          <w:p w:rsidR="00565559" w:rsidRPr="00565559" w:rsidRDefault="00565559" w:rsidP="00C94D01">
            <w:pPr>
              <w:pStyle w:val="tabletext"/>
              <w:spacing w:before="40" w:after="40"/>
              <w:jc w:val="right"/>
            </w:pPr>
            <w:r w:rsidRPr="00565559">
              <w:t>412</w:t>
            </w:r>
            <w:r w:rsidR="00C94D01">
              <w:t xml:space="preserve"> </w:t>
            </w:r>
            <w:r w:rsidRPr="00565559">
              <w:t>454</w:t>
            </w:r>
          </w:p>
        </w:tc>
      </w:tr>
      <w:tr w:rsidR="00565559" w:rsidRPr="00D44DA3" w:rsidTr="00046B91">
        <w:trPr>
          <w:trHeight w:val="112"/>
        </w:trPr>
        <w:tc>
          <w:tcPr>
            <w:tcW w:w="1402" w:type="pct"/>
          </w:tcPr>
          <w:p w:rsidR="00565559" w:rsidRPr="00D44DA3" w:rsidRDefault="00565559" w:rsidP="001609F9">
            <w:pPr>
              <w:pStyle w:val="tabletext"/>
              <w:spacing w:before="40" w:after="40"/>
            </w:pPr>
            <w:r w:rsidRPr="00D44DA3">
              <w:t>V</w:t>
            </w:r>
            <w:r w:rsidR="001609F9">
              <w:t>ictoria</w:t>
            </w:r>
            <w:r w:rsidRPr="00D44DA3">
              <w:t xml:space="preserve"> </w:t>
            </w:r>
          </w:p>
        </w:tc>
        <w:tc>
          <w:tcPr>
            <w:tcW w:w="557" w:type="pct"/>
          </w:tcPr>
          <w:p w:rsidR="00565559" w:rsidRPr="00565559" w:rsidRDefault="00565559" w:rsidP="001609F9">
            <w:pPr>
              <w:pStyle w:val="tabletext"/>
              <w:spacing w:before="40" w:after="40"/>
              <w:jc w:val="right"/>
            </w:pPr>
            <w:r w:rsidRPr="00565559">
              <w:t>72</w:t>
            </w:r>
            <w:r w:rsidR="001609F9">
              <w:t xml:space="preserve"> </w:t>
            </w:r>
            <w:r w:rsidRPr="00565559">
              <w:t>573</w:t>
            </w:r>
          </w:p>
        </w:tc>
        <w:tc>
          <w:tcPr>
            <w:tcW w:w="769" w:type="pct"/>
          </w:tcPr>
          <w:p w:rsidR="00565559" w:rsidRPr="00565559" w:rsidRDefault="00565559" w:rsidP="001609F9">
            <w:pPr>
              <w:pStyle w:val="tabletext"/>
              <w:spacing w:before="40" w:after="40"/>
              <w:jc w:val="right"/>
            </w:pPr>
            <w:r w:rsidRPr="00565559">
              <w:t>89</w:t>
            </w:r>
            <w:r w:rsidR="001609F9">
              <w:t xml:space="preserve"> </w:t>
            </w:r>
            <w:r w:rsidRPr="00565559">
              <w:t>297</w:t>
            </w:r>
          </w:p>
        </w:tc>
        <w:tc>
          <w:tcPr>
            <w:tcW w:w="769" w:type="pct"/>
          </w:tcPr>
          <w:p w:rsidR="00565559" w:rsidRPr="00565559" w:rsidRDefault="00565559" w:rsidP="001609F9">
            <w:pPr>
              <w:pStyle w:val="tabletext"/>
              <w:spacing w:before="40" w:after="40"/>
              <w:jc w:val="right"/>
            </w:pPr>
            <w:r w:rsidRPr="00565559">
              <w:t>113</w:t>
            </w:r>
            <w:r w:rsidR="001609F9">
              <w:t xml:space="preserve"> </w:t>
            </w:r>
            <w:r w:rsidRPr="00565559">
              <w:t>871</w:t>
            </w:r>
          </w:p>
        </w:tc>
        <w:tc>
          <w:tcPr>
            <w:tcW w:w="768" w:type="pct"/>
          </w:tcPr>
          <w:p w:rsidR="00565559" w:rsidRPr="00565559" w:rsidRDefault="00565559" w:rsidP="001609F9">
            <w:pPr>
              <w:pStyle w:val="tabletext"/>
              <w:spacing w:before="40" w:after="40"/>
              <w:jc w:val="right"/>
            </w:pPr>
            <w:r w:rsidRPr="00565559">
              <w:t>115</w:t>
            </w:r>
            <w:r w:rsidR="001609F9">
              <w:t xml:space="preserve"> </w:t>
            </w:r>
            <w:r w:rsidRPr="00565559">
              <w:t>746</w:t>
            </w:r>
          </w:p>
        </w:tc>
        <w:tc>
          <w:tcPr>
            <w:tcW w:w="735" w:type="pct"/>
            <w:shd w:val="clear" w:color="auto" w:fill="FFFFFF"/>
          </w:tcPr>
          <w:p w:rsidR="00565559" w:rsidRPr="00565559" w:rsidRDefault="00565559" w:rsidP="001609F9">
            <w:pPr>
              <w:pStyle w:val="tabletext"/>
              <w:spacing w:before="40" w:after="40"/>
              <w:jc w:val="right"/>
            </w:pPr>
            <w:r w:rsidRPr="00565559">
              <w:t>107</w:t>
            </w:r>
            <w:r w:rsidR="001609F9">
              <w:t xml:space="preserve"> </w:t>
            </w:r>
            <w:r w:rsidRPr="00565559">
              <w:t>153</w:t>
            </w:r>
          </w:p>
        </w:tc>
      </w:tr>
      <w:tr w:rsidR="001609F9" w:rsidRPr="00D44DA3" w:rsidTr="00046B91">
        <w:trPr>
          <w:trHeight w:val="112"/>
        </w:trPr>
        <w:tc>
          <w:tcPr>
            <w:tcW w:w="1402" w:type="pct"/>
          </w:tcPr>
          <w:p w:rsidR="001609F9" w:rsidRPr="00D44DA3" w:rsidRDefault="001609F9" w:rsidP="001609F9">
            <w:pPr>
              <w:pStyle w:val="tabletext"/>
              <w:spacing w:before="40" w:after="40"/>
            </w:pPr>
            <w:r w:rsidRPr="00D44DA3">
              <w:t>Q</w:t>
            </w:r>
            <w:r>
              <w:t>ueensland</w:t>
            </w:r>
            <w:r w:rsidRPr="00D44DA3">
              <w:t xml:space="preserve"> </w:t>
            </w:r>
          </w:p>
        </w:tc>
        <w:tc>
          <w:tcPr>
            <w:tcW w:w="557" w:type="pct"/>
          </w:tcPr>
          <w:p w:rsidR="001609F9" w:rsidRPr="00565559" w:rsidRDefault="001609F9" w:rsidP="001609F9">
            <w:pPr>
              <w:pStyle w:val="tabletext"/>
              <w:spacing w:before="40" w:after="40"/>
              <w:jc w:val="right"/>
            </w:pPr>
            <w:r w:rsidRPr="00565559">
              <w:t>23</w:t>
            </w:r>
            <w:r>
              <w:t xml:space="preserve"> </w:t>
            </w:r>
            <w:r w:rsidRPr="00565559">
              <w:t>828</w:t>
            </w:r>
          </w:p>
        </w:tc>
        <w:tc>
          <w:tcPr>
            <w:tcW w:w="769" w:type="pct"/>
          </w:tcPr>
          <w:p w:rsidR="001609F9" w:rsidRPr="00565559" w:rsidRDefault="001609F9" w:rsidP="001609F9">
            <w:pPr>
              <w:pStyle w:val="tabletext"/>
              <w:spacing w:before="40" w:after="40"/>
              <w:jc w:val="right"/>
            </w:pPr>
            <w:r w:rsidRPr="00565559">
              <w:t>28</w:t>
            </w:r>
            <w:r>
              <w:t xml:space="preserve"> </w:t>
            </w:r>
            <w:r w:rsidRPr="00565559">
              <w:t>998</w:t>
            </w:r>
          </w:p>
        </w:tc>
        <w:tc>
          <w:tcPr>
            <w:tcW w:w="769" w:type="pct"/>
          </w:tcPr>
          <w:p w:rsidR="001609F9" w:rsidRPr="00565559" w:rsidRDefault="001609F9" w:rsidP="001609F9">
            <w:pPr>
              <w:pStyle w:val="tabletext"/>
              <w:spacing w:before="40" w:after="40"/>
              <w:jc w:val="right"/>
            </w:pPr>
            <w:r w:rsidRPr="00565559">
              <w:t>46</w:t>
            </w:r>
            <w:r>
              <w:t xml:space="preserve"> </w:t>
            </w:r>
            <w:r w:rsidRPr="00565559">
              <w:t>925</w:t>
            </w:r>
          </w:p>
        </w:tc>
        <w:tc>
          <w:tcPr>
            <w:tcW w:w="768" w:type="pct"/>
          </w:tcPr>
          <w:p w:rsidR="001609F9" w:rsidRPr="00565559" w:rsidRDefault="001609F9" w:rsidP="001609F9">
            <w:pPr>
              <w:pStyle w:val="tabletext"/>
              <w:spacing w:before="40" w:after="40"/>
              <w:jc w:val="right"/>
            </w:pPr>
            <w:r w:rsidRPr="00565559">
              <w:t>58</w:t>
            </w:r>
            <w:r>
              <w:t xml:space="preserve"> </w:t>
            </w:r>
            <w:r w:rsidRPr="00565559">
              <w:t>390</w:t>
            </w:r>
          </w:p>
        </w:tc>
        <w:tc>
          <w:tcPr>
            <w:tcW w:w="735" w:type="pct"/>
            <w:shd w:val="clear" w:color="auto" w:fill="FFFFFF"/>
          </w:tcPr>
          <w:p w:rsidR="001609F9" w:rsidRPr="00565559" w:rsidRDefault="001609F9" w:rsidP="001609F9">
            <w:pPr>
              <w:pStyle w:val="tabletext"/>
              <w:spacing w:before="40" w:after="40"/>
              <w:jc w:val="right"/>
            </w:pPr>
            <w:r w:rsidRPr="00565559">
              <w:t>38</w:t>
            </w:r>
            <w:r>
              <w:t xml:space="preserve"> </w:t>
            </w:r>
            <w:r w:rsidRPr="00565559">
              <w:t>521</w:t>
            </w:r>
          </w:p>
        </w:tc>
      </w:tr>
      <w:tr w:rsidR="001609F9" w:rsidRPr="00D44DA3" w:rsidTr="00046B91">
        <w:trPr>
          <w:trHeight w:val="112"/>
        </w:trPr>
        <w:tc>
          <w:tcPr>
            <w:tcW w:w="1402" w:type="pct"/>
          </w:tcPr>
          <w:p w:rsidR="001609F9" w:rsidRPr="00D44DA3" w:rsidRDefault="001609F9" w:rsidP="001609F9">
            <w:pPr>
              <w:pStyle w:val="tabletext"/>
              <w:spacing w:before="40" w:after="40"/>
            </w:pPr>
            <w:r w:rsidRPr="00D44DA3">
              <w:t>S</w:t>
            </w:r>
            <w:r>
              <w:t xml:space="preserve">outh </w:t>
            </w:r>
            <w:r w:rsidRPr="00D44DA3">
              <w:t>A</w:t>
            </w:r>
            <w:r>
              <w:t>ustralia</w:t>
            </w:r>
            <w:r w:rsidRPr="00D44DA3">
              <w:t xml:space="preserve"> </w:t>
            </w:r>
          </w:p>
        </w:tc>
        <w:tc>
          <w:tcPr>
            <w:tcW w:w="557" w:type="pct"/>
          </w:tcPr>
          <w:p w:rsidR="001609F9" w:rsidRPr="00565559" w:rsidRDefault="001609F9" w:rsidP="001609F9">
            <w:pPr>
              <w:pStyle w:val="tabletext"/>
              <w:spacing w:before="40" w:after="40"/>
              <w:jc w:val="right"/>
            </w:pPr>
            <w:r w:rsidRPr="00565559">
              <w:t>7</w:t>
            </w:r>
            <w:r>
              <w:t xml:space="preserve"> </w:t>
            </w:r>
            <w:r w:rsidRPr="00565559">
              <w:t>554</w:t>
            </w:r>
          </w:p>
        </w:tc>
        <w:tc>
          <w:tcPr>
            <w:tcW w:w="769" w:type="pct"/>
          </w:tcPr>
          <w:p w:rsidR="001609F9" w:rsidRPr="00565559" w:rsidRDefault="001609F9" w:rsidP="001609F9">
            <w:pPr>
              <w:pStyle w:val="tabletext"/>
              <w:spacing w:before="40" w:after="40"/>
              <w:jc w:val="right"/>
            </w:pPr>
            <w:r w:rsidRPr="00565559">
              <w:t>8</w:t>
            </w:r>
            <w:r>
              <w:t xml:space="preserve"> </w:t>
            </w:r>
            <w:r w:rsidRPr="00565559">
              <w:t>586</w:t>
            </w:r>
          </w:p>
        </w:tc>
        <w:tc>
          <w:tcPr>
            <w:tcW w:w="769" w:type="pct"/>
          </w:tcPr>
          <w:p w:rsidR="001609F9" w:rsidRPr="00565559" w:rsidRDefault="001609F9" w:rsidP="001609F9">
            <w:pPr>
              <w:pStyle w:val="tabletext"/>
              <w:spacing w:before="40" w:after="40"/>
              <w:jc w:val="right"/>
            </w:pPr>
            <w:r w:rsidRPr="00565559">
              <w:t>11</w:t>
            </w:r>
            <w:r>
              <w:t xml:space="preserve"> </w:t>
            </w:r>
            <w:r w:rsidRPr="00565559">
              <w:t>524</w:t>
            </w:r>
          </w:p>
        </w:tc>
        <w:tc>
          <w:tcPr>
            <w:tcW w:w="768" w:type="pct"/>
          </w:tcPr>
          <w:p w:rsidR="001609F9" w:rsidRPr="00565559" w:rsidRDefault="001609F9" w:rsidP="001609F9">
            <w:pPr>
              <w:pStyle w:val="tabletext"/>
              <w:spacing w:before="40" w:after="40"/>
              <w:jc w:val="right"/>
            </w:pPr>
            <w:r w:rsidRPr="00565559">
              <w:t>21</w:t>
            </w:r>
            <w:r>
              <w:t xml:space="preserve"> </w:t>
            </w:r>
            <w:r w:rsidRPr="00565559">
              <w:t>238</w:t>
            </w:r>
          </w:p>
        </w:tc>
        <w:tc>
          <w:tcPr>
            <w:tcW w:w="735" w:type="pct"/>
            <w:shd w:val="clear" w:color="auto" w:fill="FFFFFF"/>
          </w:tcPr>
          <w:p w:rsidR="001609F9" w:rsidRPr="00565559" w:rsidRDefault="001609F9" w:rsidP="001609F9">
            <w:pPr>
              <w:pStyle w:val="tabletext"/>
              <w:spacing w:before="40" w:after="40"/>
              <w:jc w:val="right"/>
            </w:pPr>
            <w:r w:rsidRPr="00565559">
              <w:t>13</w:t>
            </w:r>
            <w:r>
              <w:t xml:space="preserve"> </w:t>
            </w:r>
            <w:r w:rsidRPr="00565559">
              <w:t>826</w:t>
            </w:r>
          </w:p>
        </w:tc>
      </w:tr>
      <w:tr w:rsidR="00565559" w:rsidRPr="00D44DA3" w:rsidTr="00046B91">
        <w:trPr>
          <w:trHeight w:val="112"/>
        </w:trPr>
        <w:tc>
          <w:tcPr>
            <w:tcW w:w="1402" w:type="pct"/>
          </w:tcPr>
          <w:p w:rsidR="00565559" w:rsidRPr="00D44DA3" w:rsidRDefault="00565559" w:rsidP="001609F9">
            <w:pPr>
              <w:pStyle w:val="tabletext"/>
              <w:spacing w:before="40" w:after="40"/>
            </w:pPr>
            <w:r w:rsidRPr="00D44DA3">
              <w:t>W</w:t>
            </w:r>
            <w:r w:rsidR="001609F9">
              <w:t xml:space="preserve">estern </w:t>
            </w:r>
            <w:r w:rsidRPr="00D44DA3">
              <w:t>A</w:t>
            </w:r>
            <w:r w:rsidR="001609F9">
              <w:t>ustralia</w:t>
            </w:r>
            <w:r w:rsidRPr="00D44DA3">
              <w:t xml:space="preserve"> </w:t>
            </w:r>
          </w:p>
        </w:tc>
        <w:tc>
          <w:tcPr>
            <w:tcW w:w="557" w:type="pct"/>
          </w:tcPr>
          <w:p w:rsidR="00565559" w:rsidRPr="00565559" w:rsidRDefault="00565559" w:rsidP="001609F9">
            <w:pPr>
              <w:pStyle w:val="tabletext"/>
              <w:spacing w:before="40" w:after="40"/>
              <w:jc w:val="right"/>
            </w:pPr>
            <w:r w:rsidRPr="00565559">
              <w:t>27</w:t>
            </w:r>
            <w:r w:rsidR="001609F9">
              <w:t xml:space="preserve"> </w:t>
            </w:r>
            <w:r w:rsidRPr="00565559">
              <w:t>642</w:t>
            </w:r>
          </w:p>
        </w:tc>
        <w:tc>
          <w:tcPr>
            <w:tcW w:w="769" w:type="pct"/>
          </w:tcPr>
          <w:p w:rsidR="00565559" w:rsidRPr="00565559" w:rsidRDefault="00565559" w:rsidP="001609F9">
            <w:pPr>
              <w:pStyle w:val="tabletext"/>
              <w:spacing w:before="40" w:after="40"/>
              <w:jc w:val="right"/>
            </w:pPr>
            <w:r w:rsidRPr="00565559">
              <w:t>44</w:t>
            </w:r>
            <w:r w:rsidR="001609F9">
              <w:t xml:space="preserve"> </w:t>
            </w:r>
            <w:r w:rsidRPr="00565559">
              <w:t>041</w:t>
            </w:r>
          </w:p>
        </w:tc>
        <w:tc>
          <w:tcPr>
            <w:tcW w:w="769" w:type="pct"/>
          </w:tcPr>
          <w:p w:rsidR="00565559" w:rsidRPr="00565559" w:rsidRDefault="00565559" w:rsidP="001609F9">
            <w:pPr>
              <w:pStyle w:val="tabletext"/>
              <w:spacing w:before="40" w:after="40"/>
              <w:jc w:val="right"/>
            </w:pPr>
            <w:r w:rsidRPr="00565559">
              <w:t>65</w:t>
            </w:r>
            <w:r w:rsidR="001609F9">
              <w:t xml:space="preserve"> </w:t>
            </w:r>
            <w:r w:rsidRPr="00565559">
              <w:t>212</w:t>
            </w:r>
          </w:p>
        </w:tc>
        <w:tc>
          <w:tcPr>
            <w:tcW w:w="768" w:type="pct"/>
          </w:tcPr>
          <w:p w:rsidR="00565559" w:rsidRPr="00565559" w:rsidRDefault="00565559" w:rsidP="001609F9">
            <w:pPr>
              <w:pStyle w:val="tabletext"/>
              <w:spacing w:before="40" w:after="40"/>
              <w:jc w:val="right"/>
            </w:pPr>
            <w:r w:rsidRPr="00565559">
              <w:t>74</w:t>
            </w:r>
            <w:r w:rsidR="001609F9">
              <w:t xml:space="preserve"> </w:t>
            </w:r>
            <w:r w:rsidRPr="00565559">
              <w:t>423</w:t>
            </w:r>
          </w:p>
        </w:tc>
        <w:tc>
          <w:tcPr>
            <w:tcW w:w="735" w:type="pct"/>
            <w:shd w:val="clear" w:color="auto" w:fill="FFFFFF"/>
          </w:tcPr>
          <w:p w:rsidR="00565559" w:rsidRPr="00565559" w:rsidRDefault="00565559" w:rsidP="001609F9">
            <w:pPr>
              <w:pStyle w:val="tabletext"/>
              <w:spacing w:before="40" w:after="40"/>
              <w:jc w:val="right"/>
            </w:pPr>
            <w:r w:rsidRPr="00565559">
              <w:t>66</w:t>
            </w:r>
            <w:r w:rsidR="001609F9">
              <w:t xml:space="preserve"> </w:t>
            </w:r>
            <w:r w:rsidRPr="00565559">
              <w:t>877</w:t>
            </w:r>
          </w:p>
        </w:tc>
      </w:tr>
      <w:tr w:rsidR="001609F9" w:rsidRPr="00D44DA3" w:rsidTr="00046B91">
        <w:trPr>
          <w:trHeight w:val="112"/>
        </w:trPr>
        <w:tc>
          <w:tcPr>
            <w:tcW w:w="1402" w:type="pct"/>
          </w:tcPr>
          <w:p w:rsidR="001609F9" w:rsidRPr="00D44DA3" w:rsidRDefault="001609F9" w:rsidP="001609F9">
            <w:pPr>
              <w:pStyle w:val="tabletext"/>
              <w:spacing w:before="40" w:after="40"/>
            </w:pPr>
            <w:r w:rsidRPr="00D44DA3">
              <w:t>T</w:t>
            </w:r>
            <w:r>
              <w:t>asmania</w:t>
            </w:r>
            <w:r w:rsidRPr="00D44DA3">
              <w:t xml:space="preserve"> </w:t>
            </w:r>
          </w:p>
        </w:tc>
        <w:tc>
          <w:tcPr>
            <w:tcW w:w="557" w:type="pct"/>
          </w:tcPr>
          <w:p w:rsidR="001609F9" w:rsidRPr="00565559" w:rsidRDefault="001609F9" w:rsidP="001609F9">
            <w:pPr>
              <w:pStyle w:val="tabletext"/>
              <w:spacing w:before="40" w:after="40"/>
              <w:jc w:val="right"/>
            </w:pPr>
            <w:r w:rsidRPr="00565559">
              <w:t>2</w:t>
            </w:r>
          </w:p>
        </w:tc>
        <w:tc>
          <w:tcPr>
            <w:tcW w:w="769" w:type="pct"/>
          </w:tcPr>
          <w:p w:rsidR="001609F9" w:rsidRPr="00565559" w:rsidRDefault="001609F9" w:rsidP="001609F9">
            <w:pPr>
              <w:pStyle w:val="tabletext"/>
              <w:spacing w:before="40" w:after="40"/>
              <w:jc w:val="right"/>
            </w:pPr>
            <w:r w:rsidRPr="00565559">
              <w:t>2</w:t>
            </w:r>
          </w:p>
        </w:tc>
        <w:tc>
          <w:tcPr>
            <w:tcW w:w="769" w:type="pct"/>
          </w:tcPr>
          <w:p w:rsidR="001609F9" w:rsidRPr="00565559" w:rsidRDefault="001609F9" w:rsidP="001609F9">
            <w:pPr>
              <w:pStyle w:val="tabletext"/>
              <w:spacing w:before="40" w:after="40"/>
              <w:jc w:val="right"/>
            </w:pPr>
            <w:r w:rsidRPr="00565559">
              <w:t>4</w:t>
            </w:r>
          </w:p>
        </w:tc>
        <w:tc>
          <w:tcPr>
            <w:tcW w:w="768" w:type="pct"/>
          </w:tcPr>
          <w:p w:rsidR="001609F9" w:rsidRPr="00565559" w:rsidRDefault="001609F9" w:rsidP="001609F9">
            <w:pPr>
              <w:pStyle w:val="tabletext"/>
              <w:spacing w:before="40" w:after="40"/>
              <w:jc w:val="right"/>
            </w:pPr>
            <w:r w:rsidRPr="00565559">
              <w:t>4</w:t>
            </w:r>
          </w:p>
        </w:tc>
        <w:tc>
          <w:tcPr>
            <w:tcW w:w="735" w:type="pct"/>
            <w:shd w:val="clear" w:color="auto" w:fill="FFFFFF"/>
          </w:tcPr>
          <w:p w:rsidR="001609F9" w:rsidRPr="00565559" w:rsidRDefault="001609F9" w:rsidP="001609F9">
            <w:pPr>
              <w:pStyle w:val="tabletext"/>
              <w:spacing w:before="40" w:after="40"/>
              <w:jc w:val="right"/>
            </w:pPr>
            <w:r>
              <w:t>0</w:t>
            </w:r>
          </w:p>
        </w:tc>
      </w:tr>
      <w:tr w:rsidR="00565559" w:rsidRPr="00D44DA3" w:rsidTr="00046B91">
        <w:trPr>
          <w:trHeight w:val="112"/>
        </w:trPr>
        <w:tc>
          <w:tcPr>
            <w:tcW w:w="1402" w:type="pct"/>
          </w:tcPr>
          <w:p w:rsidR="00565559" w:rsidRPr="00D44DA3" w:rsidRDefault="00565559" w:rsidP="001609F9">
            <w:pPr>
              <w:pStyle w:val="tabletext"/>
              <w:spacing w:before="40" w:after="40"/>
            </w:pPr>
            <w:r w:rsidRPr="00D44DA3">
              <w:t>N</w:t>
            </w:r>
            <w:r w:rsidR="001609F9">
              <w:t xml:space="preserve">orthern </w:t>
            </w:r>
            <w:r w:rsidRPr="00D44DA3">
              <w:t>T</w:t>
            </w:r>
            <w:r w:rsidR="001609F9">
              <w:t>erritory</w:t>
            </w:r>
            <w:r w:rsidRPr="00D44DA3">
              <w:t xml:space="preserve"> </w:t>
            </w:r>
          </w:p>
        </w:tc>
        <w:tc>
          <w:tcPr>
            <w:tcW w:w="557" w:type="pct"/>
          </w:tcPr>
          <w:p w:rsidR="00565559" w:rsidRPr="00565559" w:rsidRDefault="00565559" w:rsidP="001609F9">
            <w:pPr>
              <w:pStyle w:val="tabletext"/>
              <w:spacing w:before="40" w:after="40"/>
              <w:jc w:val="right"/>
            </w:pPr>
            <w:r w:rsidRPr="00565559">
              <w:t>1</w:t>
            </w:r>
            <w:r w:rsidR="001609F9">
              <w:t xml:space="preserve"> </w:t>
            </w:r>
            <w:r w:rsidRPr="00565559">
              <w:t>159</w:t>
            </w:r>
          </w:p>
        </w:tc>
        <w:tc>
          <w:tcPr>
            <w:tcW w:w="769" w:type="pct"/>
          </w:tcPr>
          <w:p w:rsidR="00565559" w:rsidRPr="00565559" w:rsidRDefault="00565559" w:rsidP="001609F9">
            <w:pPr>
              <w:pStyle w:val="tabletext"/>
              <w:spacing w:before="40" w:after="40"/>
              <w:jc w:val="right"/>
            </w:pPr>
            <w:r w:rsidRPr="00565559">
              <w:t>1</w:t>
            </w:r>
            <w:r w:rsidR="001609F9">
              <w:t xml:space="preserve"> </w:t>
            </w:r>
            <w:r w:rsidRPr="00565559">
              <w:t>294</w:t>
            </w:r>
          </w:p>
        </w:tc>
        <w:tc>
          <w:tcPr>
            <w:tcW w:w="769" w:type="pct"/>
          </w:tcPr>
          <w:p w:rsidR="00565559" w:rsidRPr="00565559" w:rsidRDefault="00565559" w:rsidP="001609F9">
            <w:pPr>
              <w:pStyle w:val="tabletext"/>
              <w:spacing w:before="40" w:after="40"/>
              <w:jc w:val="right"/>
            </w:pPr>
            <w:r w:rsidRPr="00565559">
              <w:t>1</w:t>
            </w:r>
            <w:r w:rsidR="001609F9">
              <w:t xml:space="preserve"> </w:t>
            </w:r>
            <w:r w:rsidRPr="00565559">
              <w:t>718</w:t>
            </w:r>
          </w:p>
        </w:tc>
        <w:tc>
          <w:tcPr>
            <w:tcW w:w="768" w:type="pct"/>
          </w:tcPr>
          <w:p w:rsidR="00565559" w:rsidRPr="00565559" w:rsidRDefault="00565559" w:rsidP="001609F9">
            <w:pPr>
              <w:pStyle w:val="tabletext"/>
              <w:spacing w:before="40" w:after="40"/>
              <w:jc w:val="right"/>
            </w:pPr>
            <w:r w:rsidRPr="00565559">
              <w:t>1</w:t>
            </w:r>
            <w:r w:rsidR="001609F9">
              <w:t xml:space="preserve"> </w:t>
            </w:r>
            <w:r w:rsidRPr="00565559">
              <w:t>057</w:t>
            </w:r>
          </w:p>
        </w:tc>
        <w:tc>
          <w:tcPr>
            <w:tcW w:w="735" w:type="pct"/>
            <w:shd w:val="clear" w:color="auto" w:fill="FFFFFF"/>
          </w:tcPr>
          <w:p w:rsidR="00565559" w:rsidRPr="00565559" w:rsidRDefault="00565559" w:rsidP="001609F9">
            <w:pPr>
              <w:pStyle w:val="tabletext"/>
              <w:spacing w:before="40" w:after="40"/>
              <w:jc w:val="right"/>
            </w:pPr>
            <w:r w:rsidRPr="00565559">
              <w:t>1</w:t>
            </w:r>
            <w:r w:rsidR="001609F9">
              <w:t xml:space="preserve"> </w:t>
            </w:r>
            <w:r w:rsidRPr="00565559">
              <w:t>824</w:t>
            </w:r>
          </w:p>
        </w:tc>
      </w:tr>
      <w:tr w:rsidR="00565559" w:rsidRPr="00D44DA3" w:rsidTr="00046B91">
        <w:trPr>
          <w:trHeight w:val="112"/>
        </w:trPr>
        <w:tc>
          <w:tcPr>
            <w:tcW w:w="1402" w:type="pct"/>
          </w:tcPr>
          <w:p w:rsidR="00565559" w:rsidRPr="00D44DA3" w:rsidRDefault="00565559" w:rsidP="001609F9">
            <w:pPr>
              <w:pStyle w:val="tabletext"/>
              <w:spacing w:before="40" w:after="40"/>
            </w:pPr>
            <w:r w:rsidRPr="00D44DA3">
              <w:t>A</w:t>
            </w:r>
            <w:r w:rsidR="001609F9">
              <w:t xml:space="preserve">ustralian </w:t>
            </w:r>
            <w:r w:rsidRPr="00D44DA3">
              <w:t>C</w:t>
            </w:r>
            <w:r w:rsidR="001609F9">
              <w:t xml:space="preserve">apital </w:t>
            </w:r>
            <w:r w:rsidRPr="00D44DA3">
              <w:t>T</w:t>
            </w:r>
            <w:r w:rsidR="001609F9">
              <w:t>erritory</w:t>
            </w:r>
            <w:r w:rsidRPr="00D44DA3">
              <w:t xml:space="preserve"> </w:t>
            </w:r>
          </w:p>
        </w:tc>
        <w:tc>
          <w:tcPr>
            <w:tcW w:w="557" w:type="pct"/>
          </w:tcPr>
          <w:p w:rsidR="00565559" w:rsidRPr="00565559" w:rsidRDefault="00565559" w:rsidP="001609F9">
            <w:pPr>
              <w:pStyle w:val="tabletext"/>
              <w:spacing w:before="40" w:after="40"/>
              <w:jc w:val="right"/>
            </w:pPr>
            <w:r w:rsidRPr="00565559">
              <w:t>4</w:t>
            </w:r>
          </w:p>
        </w:tc>
        <w:tc>
          <w:tcPr>
            <w:tcW w:w="769" w:type="pct"/>
          </w:tcPr>
          <w:p w:rsidR="00565559" w:rsidRPr="00565559" w:rsidRDefault="00565559" w:rsidP="001609F9">
            <w:pPr>
              <w:pStyle w:val="tabletext"/>
              <w:spacing w:before="40" w:after="40"/>
              <w:jc w:val="right"/>
            </w:pPr>
            <w:r w:rsidRPr="00565559">
              <w:t>5</w:t>
            </w:r>
          </w:p>
        </w:tc>
        <w:tc>
          <w:tcPr>
            <w:tcW w:w="769" w:type="pct"/>
          </w:tcPr>
          <w:p w:rsidR="00565559" w:rsidRPr="00565559" w:rsidRDefault="00565559" w:rsidP="001609F9">
            <w:pPr>
              <w:pStyle w:val="tabletext"/>
              <w:spacing w:before="40" w:after="40"/>
              <w:jc w:val="right"/>
            </w:pPr>
            <w:r w:rsidRPr="00565559">
              <w:t>2</w:t>
            </w:r>
          </w:p>
        </w:tc>
        <w:tc>
          <w:tcPr>
            <w:tcW w:w="768" w:type="pct"/>
          </w:tcPr>
          <w:p w:rsidR="00565559" w:rsidRPr="00565559" w:rsidRDefault="00565559" w:rsidP="001609F9">
            <w:pPr>
              <w:pStyle w:val="tabletext"/>
              <w:spacing w:before="40" w:after="40"/>
              <w:jc w:val="right"/>
            </w:pPr>
            <w:r w:rsidRPr="00565559">
              <w:t>4</w:t>
            </w:r>
          </w:p>
        </w:tc>
        <w:tc>
          <w:tcPr>
            <w:tcW w:w="735" w:type="pct"/>
            <w:shd w:val="clear" w:color="auto" w:fill="FFFFFF"/>
          </w:tcPr>
          <w:p w:rsidR="00565559" w:rsidRPr="00565559" w:rsidRDefault="00565559" w:rsidP="001609F9">
            <w:pPr>
              <w:pStyle w:val="tabletext"/>
              <w:spacing w:before="40" w:after="40"/>
              <w:jc w:val="right"/>
            </w:pPr>
            <w:r>
              <w:t>0</w:t>
            </w:r>
          </w:p>
        </w:tc>
      </w:tr>
      <w:tr w:rsidR="00565559" w:rsidRPr="00D44DA3" w:rsidTr="00046B91">
        <w:trPr>
          <w:trHeight w:val="112"/>
        </w:trPr>
        <w:tc>
          <w:tcPr>
            <w:tcW w:w="1402" w:type="pct"/>
            <w:tcBorders>
              <w:bottom w:val="single" w:sz="4" w:space="0" w:color="auto"/>
            </w:tcBorders>
          </w:tcPr>
          <w:p w:rsidR="00565559" w:rsidRPr="00D44DA3" w:rsidRDefault="00565559" w:rsidP="001609F9">
            <w:pPr>
              <w:pStyle w:val="tabletext"/>
              <w:spacing w:before="40" w:after="40"/>
            </w:pPr>
            <w:r w:rsidRPr="00D44DA3">
              <w:t>Total</w:t>
            </w:r>
            <w:r>
              <w:t>s</w:t>
            </w:r>
          </w:p>
        </w:tc>
        <w:tc>
          <w:tcPr>
            <w:tcW w:w="557" w:type="pct"/>
            <w:tcBorders>
              <w:bottom w:val="single" w:sz="4" w:space="0" w:color="auto"/>
            </w:tcBorders>
          </w:tcPr>
          <w:p w:rsidR="00565559" w:rsidRPr="00565559" w:rsidRDefault="00565559" w:rsidP="001609F9">
            <w:pPr>
              <w:pStyle w:val="tabletext"/>
              <w:spacing w:before="40" w:after="40"/>
              <w:jc w:val="right"/>
            </w:pPr>
            <w:r w:rsidRPr="00565559">
              <w:t>382</w:t>
            </w:r>
            <w:r w:rsidR="001609F9">
              <w:t xml:space="preserve"> </w:t>
            </w:r>
            <w:r w:rsidRPr="00565559">
              <w:t>392</w:t>
            </w:r>
          </w:p>
        </w:tc>
        <w:tc>
          <w:tcPr>
            <w:tcW w:w="769" w:type="pct"/>
            <w:tcBorders>
              <w:bottom w:val="single" w:sz="4" w:space="0" w:color="auto"/>
            </w:tcBorders>
          </w:tcPr>
          <w:p w:rsidR="00565559" w:rsidRPr="00565559" w:rsidRDefault="00565559" w:rsidP="001609F9">
            <w:pPr>
              <w:pStyle w:val="tabletext"/>
              <w:spacing w:before="40" w:after="40"/>
              <w:jc w:val="right"/>
            </w:pPr>
            <w:r w:rsidRPr="00565559">
              <w:t>491</w:t>
            </w:r>
            <w:r w:rsidR="001609F9">
              <w:t xml:space="preserve"> </w:t>
            </w:r>
            <w:r w:rsidRPr="00565559">
              <w:t>736</w:t>
            </w:r>
          </w:p>
        </w:tc>
        <w:tc>
          <w:tcPr>
            <w:tcW w:w="769" w:type="pct"/>
            <w:tcBorders>
              <w:bottom w:val="single" w:sz="4" w:space="0" w:color="auto"/>
            </w:tcBorders>
          </w:tcPr>
          <w:p w:rsidR="00565559" w:rsidRPr="00565559" w:rsidRDefault="00565559" w:rsidP="001609F9">
            <w:pPr>
              <w:pStyle w:val="tabletext"/>
              <w:spacing w:before="40" w:after="40"/>
              <w:jc w:val="right"/>
            </w:pPr>
            <w:r w:rsidRPr="00565559">
              <w:t>677</w:t>
            </w:r>
            <w:r w:rsidR="001609F9">
              <w:t xml:space="preserve"> </w:t>
            </w:r>
            <w:r w:rsidRPr="00565559">
              <w:t>236</w:t>
            </w:r>
          </w:p>
        </w:tc>
        <w:tc>
          <w:tcPr>
            <w:tcW w:w="768" w:type="pct"/>
            <w:tcBorders>
              <w:bottom w:val="single" w:sz="4" w:space="0" w:color="auto"/>
            </w:tcBorders>
          </w:tcPr>
          <w:p w:rsidR="00565559" w:rsidRPr="00565559" w:rsidRDefault="00565559" w:rsidP="001609F9">
            <w:pPr>
              <w:pStyle w:val="tabletext"/>
              <w:spacing w:before="40" w:after="40"/>
              <w:jc w:val="right"/>
            </w:pPr>
            <w:r w:rsidRPr="00565559">
              <w:t>715</w:t>
            </w:r>
            <w:r w:rsidR="001609F9">
              <w:t xml:space="preserve"> </w:t>
            </w:r>
            <w:r w:rsidRPr="00565559">
              <w:t>628</w:t>
            </w:r>
          </w:p>
        </w:tc>
        <w:tc>
          <w:tcPr>
            <w:tcW w:w="735" w:type="pct"/>
            <w:tcBorders>
              <w:bottom w:val="single" w:sz="4" w:space="0" w:color="auto"/>
            </w:tcBorders>
            <w:shd w:val="clear" w:color="auto" w:fill="FFFFFF"/>
          </w:tcPr>
          <w:p w:rsidR="00565559" w:rsidRPr="00565559" w:rsidRDefault="00565559" w:rsidP="001609F9">
            <w:pPr>
              <w:pStyle w:val="tabletext"/>
              <w:spacing w:before="40" w:after="40"/>
              <w:jc w:val="right"/>
            </w:pPr>
            <w:r w:rsidRPr="00565559">
              <w:t>640</w:t>
            </w:r>
            <w:r w:rsidR="001609F9">
              <w:t xml:space="preserve"> </w:t>
            </w:r>
            <w:r w:rsidRPr="00565559">
              <w:t>655</w:t>
            </w:r>
          </w:p>
        </w:tc>
      </w:tr>
    </w:tbl>
    <w:p w:rsidR="00046B91" w:rsidRDefault="00046B91" w:rsidP="00046B91">
      <w:pPr>
        <w:pStyle w:val="FigureFooter"/>
      </w:pPr>
      <w:r>
        <w:t>Source: Department of Agriculture</w:t>
      </w:r>
      <w:r w:rsidR="006E0421">
        <w:t>, April 2014</w:t>
      </w:r>
    </w:p>
    <w:p w:rsidR="00CF1DDB" w:rsidRDefault="00BD32D9" w:rsidP="00CF1DDB">
      <w:pPr>
        <w:pStyle w:val="FindingsNormalNumbering"/>
        <w:ind w:left="0" w:firstLine="0"/>
      </w:pPr>
      <w:r>
        <w:t>T</w:t>
      </w:r>
      <w:r w:rsidR="00666101">
        <w:t xml:space="preserve">able </w:t>
      </w:r>
      <w:r w:rsidR="00450D3A">
        <w:t xml:space="preserve">8 </w:t>
      </w:r>
      <w:r>
        <w:t>shows that the number</w:t>
      </w:r>
      <w:r w:rsidR="009F7A14">
        <w:t xml:space="preserve"> of item</w:t>
      </w:r>
      <w:r>
        <w:t>s referred to the department for biosecurity assessment increas</w:t>
      </w:r>
      <w:r w:rsidR="009F7A14">
        <w:t xml:space="preserve">ed </w:t>
      </w:r>
      <w:proofErr w:type="gramStart"/>
      <w:r w:rsidR="009F7A14">
        <w:t>between 2008–09</w:t>
      </w:r>
      <w:proofErr w:type="gramEnd"/>
      <w:r w:rsidR="009F7A14">
        <w:t xml:space="preserve"> and 2011–12</w:t>
      </w:r>
      <w:r w:rsidR="0056029B">
        <w:t>;</w:t>
      </w:r>
      <w:r>
        <w:t xml:space="preserve"> however</w:t>
      </w:r>
      <w:r w:rsidR="009F7A14">
        <w:t>,</w:t>
      </w:r>
      <w:r>
        <w:t xml:space="preserve"> in 2012-13, </w:t>
      </w:r>
      <w:r w:rsidR="009F7A14">
        <w:t>the number</w:t>
      </w:r>
      <w:r w:rsidR="00046B91">
        <w:t xml:space="preserve"> of items </w:t>
      </w:r>
      <w:r w:rsidR="009F7A14">
        <w:t xml:space="preserve">reduced by </w:t>
      </w:r>
      <w:r w:rsidR="000A4CC7">
        <w:t>approximately 10.5</w:t>
      </w:r>
      <w:r w:rsidR="009F7A14">
        <w:t> </w:t>
      </w:r>
      <w:r w:rsidR="000163E8">
        <w:t>per</w:t>
      </w:r>
      <w:r w:rsidR="009F7A14">
        <w:t> </w:t>
      </w:r>
      <w:r w:rsidR="000163E8">
        <w:t>cent</w:t>
      </w:r>
      <w:r>
        <w:t xml:space="preserve">. </w:t>
      </w:r>
      <w:r w:rsidR="0083126E">
        <w:t xml:space="preserve">At this time </w:t>
      </w:r>
      <w:r w:rsidR="00E456FD">
        <w:t xml:space="preserve">the </w:t>
      </w:r>
      <w:r w:rsidR="00046B91">
        <w:t>Cargo Program</w:t>
      </w:r>
      <w:r w:rsidR="00E456FD">
        <w:t xml:space="preserve"> review</w:t>
      </w:r>
      <w:r w:rsidR="0083126E">
        <w:t>ed its</w:t>
      </w:r>
      <w:r w:rsidR="00E456FD">
        <w:t xml:space="preserve"> risk categorisation for lower risk items and reduc</w:t>
      </w:r>
      <w:r w:rsidR="0083126E">
        <w:t>ed</w:t>
      </w:r>
      <w:r w:rsidR="00E456FD">
        <w:t xml:space="preserve"> intervention rates</w:t>
      </w:r>
      <w:r w:rsidR="0056029B">
        <w:t xml:space="preserve"> accordingly</w:t>
      </w:r>
      <w:r w:rsidR="00E456FD">
        <w:t>.</w:t>
      </w:r>
      <w:r w:rsidR="005453EA">
        <w:t xml:space="preserve"> </w:t>
      </w:r>
      <w:r w:rsidR="00E456FD">
        <w:t xml:space="preserve">The </w:t>
      </w:r>
      <w:r w:rsidR="00B33BBA">
        <w:t>Cargo Program</w:t>
      </w:r>
      <w:r w:rsidR="00E456FD">
        <w:t xml:space="preserve"> continues to focus on </w:t>
      </w:r>
      <w:r w:rsidR="005453EA">
        <w:t>items</w:t>
      </w:r>
      <w:r w:rsidR="00E80EFA">
        <w:t xml:space="preserve"> that pose </w:t>
      </w:r>
      <w:r w:rsidR="00E456FD">
        <w:t>high</w:t>
      </w:r>
      <w:r w:rsidR="00E80EFA">
        <w:t>er biosecurity risks</w:t>
      </w:r>
      <w:r w:rsidR="0083126E">
        <w:t>—</w:t>
      </w:r>
      <w:r w:rsidR="005453EA">
        <w:t>through enhanc</w:t>
      </w:r>
      <w:r w:rsidR="0083126E">
        <w:t>ing</w:t>
      </w:r>
      <w:r w:rsidR="005453EA">
        <w:t xml:space="preserve"> profiles</w:t>
      </w:r>
      <w:r w:rsidR="0083126E">
        <w:t>—</w:t>
      </w:r>
      <w:r w:rsidR="005453EA">
        <w:t xml:space="preserve">to ensure that </w:t>
      </w:r>
      <w:r w:rsidR="0056029B">
        <w:t>appropriate</w:t>
      </w:r>
      <w:r w:rsidR="005453EA">
        <w:t xml:space="preserve"> items are referred for biosecurity assessment</w:t>
      </w:r>
      <w:r w:rsidR="00CF1DDB">
        <w:t xml:space="preserve">. Changes to the </w:t>
      </w:r>
      <w:r w:rsidR="00CF1DDB">
        <w:rPr>
          <w:i/>
          <w:iCs/>
          <w:color w:val="000000"/>
        </w:rPr>
        <w:t xml:space="preserve">Quarantine Proclamation 1998 </w:t>
      </w:r>
      <w:r w:rsidR="000B31B4">
        <w:rPr>
          <w:iCs/>
          <w:color w:val="000000"/>
        </w:rPr>
        <w:t xml:space="preserve">also </w:t>
      </w:r>
      <w:r w:rsidR="006E0421">
        <w:rPr>
          <w:iCs/>
          <w:color w:val="000000"/>
        </w:rPr>
        <w:t>affected</w:t>
      </w:r>
      <w:r w:rsidR="00663404">
        <w:rPr>
          <w:iCs/>
          <w:color w:val="000000"/>
        </w:rPr>
        <w:t xml:space="preserve"> </w:t>
      </w:r>
      <w:r w:rsidR="00CF1DDB">
        <w:rPr>
          <w:iCs/>
          <w:color w:val="000000"/>
        </w:rPr>
        <w:t>the number of SAC consignment</w:t>
      </w:r>
      <w:r w:rsidR="0056029B">
        <w:rPr>
          <w:iCs/>
          <w:color w:val="000000"/>
        </w:rPr>
        <w:t>s</w:t>
      </w:r>
      <w:r w:rsidR="00CF1DDB">
        <w:rPr>
          <w:iCs/>
          <w:color w:val="000000"/>
        </w:rPr>
        <w:t xml:space="preserve"> referred for biosecurity assessment.</w:t>
      </w:r>
      <w:r w:rsidR="000B31B4" w:rsidRPr="000B31B4">
        <w:rPr>
          <w:iCs/>
          <w:color w:val="000000"/>
        </w:rPr>
        <w:t xml:space="preserve"> </w:t>
      </w:r>
      <w:r w:rsidR="00D5028B">
        <w:rPr>
          <w:color w:val="000000"/>
        </w:rPr>
        <w:t xml:space="preserve">Import </w:t>
      </w:r>
      <w:r w:rsidR="000B31B4">
        <w:rPr>
          <w:color w:val="000000"/>
        </w:rPr>
        <w:t xml:space="preserve">permit requirements </w:t>
      </w:r>
      <w:r w:rsidR="00D5028B">
        <w:rPr>
          <w:color w:val="000000"/>
        </w:rPr>
        <w:t xml:space="preserve">have been removed on </w:t>
      </w:r>
      <w:r w:rsidR="000B31B4">
        <w:rPr>
          <w:color w:val="000000"/>
        </w:rPr>
        <w:t>a specific list of commercially prepared and packaged low risk/high volume items for personal use, such as egg no</w:t>
      </w:r>
      <w:r w:rsidR="0056029B">
        <w:rPr>
          <w:color w:val="000000"/>
        </w:rPr>
        <w:t>o</w:t>
      </w:r>
      <w:r w:rsidR="000B31B4">
        <w:rPr>
          <w:color w:val="000000"/>
        </w:rPr>
        <w:t>dles and</w:t>
      </w:r>
      <w:r w:rsidR="0056029B">
        <w:rPr>
          <w:color w:val="000000"/>
        </w:rPr>
        <w:t xml:space="preserve"> </w:t>
      </w:r>
      <w:r w:rsidR="0023446D">
        <w:rPr>
          <w:color w:val="000000"/>
        </w:rPr>
        <w:t>meat</w:t>
      </w:r>
      <w:r w:rsidR="000B31B4">
        <w:rPr>
          <w:color w:val="000000"/>
        </w:rPr>
        <w:t xml:space="preserve"> jerky.</w:t>
      </w:r>
    </w:p>
    <w:p w:rsidR="00F2393F" w:rsidRDefault="0035143E" w:rsidP="0035143E">
      <w:pPr>
        <w:pStyle w:val="Findingsub-heading"/>
      </w:pPr>
      <w:r>
        <w:t>S</w:t>
      </w:r>
      <w:r w:rsidR="0083126E">
        <w:t>elf-assessed clearance</w:t>
      </w:r>
      <w:r>
        <w:t xml:space="preserve"> consignment assessment</w:t>
      </w:r>
    </w:p>
    <w:p w:rsidR="00DB6843" w:rsidRDefault="00E8194C" w:rsidP="00E60336">
      <w:pPr>
        <w:pStyle w:val="FindingsNormalNumbering"/>
        <w:ind w:left="0" w:firstLine="0"/>
      </w:pPr>
      <w:r>
        <w:t>The department</w:t>
      </w:r>
      <w:r w:rsidR="00DB6843">
        <w:t xml:space="preserve"> implements a number of biosecurity controls to manage the biosecurity risks associated with </w:t>
      </w:r>
      <w:r w:rsidR="00BC0137">
        <w:t>international</w:t>
      </w:r>
      <w:r w:rsidR="004842C8">
        <w:t xml:space="preserve"> </w:t>
      </w:r>
      <w:r w:rsidR="00DB6843">
        <w:t>online purchases entering Australia</w:t>
      </w:r>
      <w:r w:rsidR="004842C8">
        <w:t xml:space="preserve"> </w:t>
      </w:r>
      <w:r w:rsidR="00957794">
        <w:t xml:space="preserve">as </w:t>
      </w:r>
      <w:r w:rsidR="00957794">
        <w:rPr>
          <w:iCs/>
          <w:color w:val="000000"/>
        </w:rPr>
        <w:t>SAC consignments</w:t>
      </w:r>
      <w:r w:rsidR="00DB6843">
        <w:t>.</w:t>
      </w:r>
    </w:p>
    <w:p w:rsidR="00BF232A" w:rsidRDefault="002A4FAA" w:rsidP="003D3D2A">
      <w:pPr>
        <w:pStyle w:val="FindingsNormalNumbering"/>
        <w:ind w:left="0" w:firstLine="0"/>
      </w:pPr>
      <w:r>
        <w:t xml:space="preserve">As described </w:t>
      </w:r>
      <w:r w:rsidR="00801EA9">
        <w:t>in paragraph 4.7</w:t>
      </w:r>
      <w:r>
        <w:t>, a</w:t>
      </w:r>
      <w:r w:rsidR="00E60336" w:rsidRPr="00D44DA3">
        <w:t xml:space="preserve">ll cargo imported into Australia is </w:t>
      </w:r>
      <w:r w:rsidR="0056029B">
        <w:t>entered</w:t>
      </w:r>
      <w:r w:rsidR="00E60336" w:rsidRPr="00D44DA3">
        <w:t xml:space="preserve"> in the </w:t>
      </w:r>
      <w:r>
        <w:t>ICS</w:t>
      </w:r>
      <w:r w:rsidR="00E8194C">
        <w:t xml:space="preserve">, which </w:t>
      </w:r>
      <w:r w:rsidR="00DB6843">
        <w:t>is managed by the Australian Customs and Border Protection Service.</w:t>
      </w:r>
      <w:r w:rsidR="00E60336" w:rsidRPr="00D44DA3">
        <w:t xml:space="preserve"> </w:t>
      </w:r>
      <w:r w:rsidR="003D3D2A">
        <w:t>The importer/broker/freight forwarder</w:t>
      </w:r>
      <w:r w:rsidR="003D3D2A" w:rsidRPr="00956C1F">
        <w:t xml:space="preserve"> </w:t>
      </w:r>
      <w:r w:rsidR="00B33BBA">
        <w:t>enters</w:t>
      </w:r>
      <w:r w:rsidR="003D3D2A">
        <w:t xml:space="preserve"> the</w:t>
      </w:r>
      <w:r w:rsidR="003D3D2A" w:rsidRPr="00956C1F">
        <w:t xml:space="preserve"> consignment </w:t>
      </w:r>
      <w:r w:rsidR="003D3D2A">
        <w:t xml:space="preserve">details </w:t>
      </w:r>
      <w:r w:rsidR="003D3D2A" w:rsidRPr="00956C1F">
        <w:t>in t</w:t>
      </w:r>
      <w:r w:rsidR="003D3D2A">
        <w:t>he ICS</w:t>
      </w:r>
      <w:r w:rsidR="003D3D2A" w:rsidRPr="00956C1F">
        <w:t xml:space="preserve"> at least 48</w:t>
      </w:r>
      <w:r w:rsidR="00801EA9">
        <w:t> </w:t>
      </w:r>
      <w:r w:rsidR="003D3D2A" w:rsidRPr="00956C1F">
        <w:t>hours before the estimated time of arri</w:t>
      </w:r>
      <w:r w:rsidR="003D3D2A">
        <w:t xml:space="preserve">val at the first Australian port (for sea cargo) or at least two hours before the estimated time of arrival at the first Australian airport (for air cargo). </w:t>
      </w:r>
      <w:r>
        <w:t>The department</w:t>
      </w:r>
      <w:r w:rsidR="00DB6843">
        <w:t xml:space="preserve"> has access to </w:t>
      </w:r>
      <w:r w:rsidR="00E60336" w:rsidRPr="00D44DA3">
        <w:t xml:space="preserve">and </w:t>
      </w:r>
      <w:r w:rsidR="00801EA9">
        <w:t>uses</w:t>
      </w:r>
      <w:r w:rsidR="00DB6843">
        <w:t xml:space="preserve"> </w:t>
      </w:r>
      <w:r w:rsidR="00DB6843" w:rsidRPr="00D44DA3">
        <w:t>the</w:t>
      </w:r>
      <w:r w:rsidR="00E60336" w:rsidRPr="00D44DA3">
        <w:t xml:space="preserve"> ICS to monit</w:t>
      </w:r>
      <w:r>
        <w:t xml:space="preserve">or, target and profile imported SAC consignments </w:t>
      </w:r>
      <w:r w:rsidR="00015A1A">
        <w:t xml:space="preserve">with </w:t>
      </w:r>
      <w:r w:rsidR="00E60336" w:rsidRPr="00D44DA3">
        <w:t>potential</w:t>
      </w:r>
      <w:r w:rsidR="00DB6843">
        <w:t xml:space="preserve"> biosecurity</w:t>
      </w:r>
      <w:r w:rsidR="00E60336" w:rsidRPr="00D44DA3">
        <w:t xml:space="preserve"> risk</w:t>
      </w:r>
      <w:r w:rsidR="00DB6843">
        <w:t>s</w:t>
      </w:r>
      <w:r w:rsidR="00E60336" w:rsidRPr="00D44DA3">
        <w:t>.</w:t>
      </w:r>
    </w:p>
    <w:p w:rsidR="00C632EE" w:rsidRDefault="00015A1A" w:rsidP="00DB6843">
      <w:pPr>
        <w:pStyle w:val="FindingsNormalNumbering"/>
        <w:ind w:left="0" w:firstLine="0"/>
      </w:pPr>
      <w:r>
        <w:t xml:space="preserve">Importers can use one of </w:t>
      </w:r>
      <w:r w:rsidR="00C632EE">
        <w:t>three different types of SAC declarations. The two most common</w:t>
      </w:r>
      <w:r>
        <w:t>ly used</w:t>
      </w:r>
      <w:r w:rsidR="00C632EE">
        <w:t xml:space="preserve"> </w:t>
      </w:r>
      <w:r>
        <w:t xml:space="preserve">are </w:t>
      </w:r>
      <w:r w:rsidR="00C632EE">
        <w:t>the cargo report SAC declaration and the SAC (short form) declaration. The third type</w:t>
      </w:r>
      <w:r>
        <w:t>, the</w:t>
      </w:r>
      <w:r w:rsidR="00C632EE">
        <w:t xml:space="preserve"> SAC (full form) declaration, is used at the </w:t>
      </w:r>
      <w:r>
        <w:t xml:space="preserve">client’s </w:t>
      </w:r>
      <w:r w:rsidR="00C632EE">
        <w:t xml:space="preserve">discretion. The SAC (full form) allows clients to pay duties, GST and </w:t>
      </w:r>
      <w:r>
        <w:t xml:space="preserve">other </w:t>
      </w:r>
      <w:r w:rsidR="00C632EE">
        <w:t xml:space="preserve">taxes </w:t>
      </w:r>
      <w:r>
        <w:t>on</w:t>
      </w:r>
      <w:r w:rsidR="00C632EE">
        <w:t xml:space="preserve"> all imported goods as require</w:t>
      </w:r>
      <w:r>
        <w:t>d</w:t>
      </w:r>
      <w:r w:rsidR="00C632EE">
        <w:t>. The type of SAC declaration used depends on the nature of goods being imported.</w:t>
      </w:r>
    </w:p>
    <w:p w:rsidR="00D25219" w:rsidRDefault="00E60336" w:rsidP="00DB6843">
      <w:pPr>
        <w:pStyle w:val="FindingsNormalNumbering"/>
        <w:ind w:left="0" w:firstLine="0"/>
      </w:pPr>
      <w:r w:rsidRPr="00D44DA3">
        <w:t>Each SAC declaration requires basic information</w:t>
      </w:r>
      <w:r w:rsidR="009C41EA">
        <w:t>,</w:t>
      </w:r>
      <w:r w:rsidRPr="00D44DA3">
        <w:t xml:space="preserve"> including the identity of the importer, details of the consignment and description of the goods.</w:t>
      </w:r>
      <w:r w:rsidR="00BF232A">
        <w:t xml:space="preserve"> SAC declarations can only be lodged electronically.</w:t>
      </w:r>
      <w:r w:rsidRPr="00D44DA3">
        <w:t xml:space="preserve"> Th</w:t>
      </w:r>
      <w:r w:rsidR="009C41EA">
        <w:t>e</w:t>
      </w:r>
      <w:r w:rsidR="00B33BBA">
        <w:t xml:space="preserve"> department uses the</w:t>
      </w:r>
      <w:r w:rsidRPr="00D44DA3">
        <w:t xml:space="preserve"> information</w:t>
      </w:r>
      <w:r w:rsidR="009C41EA">
        <w:t xml:space="preserve"> on the declaration</w:t>
      </w:r>
      <w:r w:rsidR="00DB6843">
        <w:t xml:space="preserve">, as well as other details, </w:t>
      </w:r>
      <w:r w:rsidR="00B33BBA">
        <w:t xml:space="preserve">to </w:t>
      </w:r>
      <w:r w:rsidRPr="00D44DA3">
        <w:t>asse</w:t>
      </w:r>
      <w:r w:rsidR="00D25219">
        <w:t>ss the biosecurity risk. As highlighted in previous IIGB reports</w:t>
      </w:r>
      <w:r w:rsidR="0056029B">
        <w:t>,</w:t>
      </w:r>
      <w:r w:rsidR="00D25219">
        <w:t xml:space="preserve"> the </w:t>
      </w:r>
      <w:r w:rsidR="00792A5E">
        <w:lastRenderedPageBreak/>
        <w:t>department</w:t>
      </w:r>
      <w:r w:rsidR="00D25219">
        <w:t xml:space="preserve"> </w:t>
      </w:r>
      <w:r w:rsidR="0056029B">
        <w:t>rel</w:t>
      </w:r>
      <w:r w:rsidR="009C41EA">
        <w:t>ies</w:t>
      </w:r>
      <w:r w:rsidR="0056029B">
        <w:t xml:space="preserve"> on</w:t>
      </w:r>
      <w:r w:rsidR="00D25219">
        <w:t xml:space="preserve"> the integrity and honesty of the importer/broker/freight forward</w:t>
      </w:r>
      <w:r w:rsidR="00DB6843">
        <w:t>er</w:t>
      </w:r>
      <w:r w:rsidR="009C41EA">
        <w:t>,</w:t>
      </w:r>
      <w:r w:rsidR="00D25219">
        <w:t xml:space="preserve"> who is responsible for entering accurate information into the </w:t>
      </w:r>
      <w:r w:rsidR="009C41EA">
        <w:t>ICS</w:t>
      </w:r>
      <w:r w:rsidR="00D25219">
        <w:t>.</w:t>
      </w:r>
    </w:p>
    <w:p w:rsidR="00DB6843" w:rsidRDefault="009C41EA" w:rsidP="00DB6843">
      <w:pPr>
        <w:pStyle w:val="FindingsNormalNumbering"/>
        <w:ind w:left="0" w:firstLine="0"/>
      </w:pPr>
      <w:r>
        <w:t xml:space="preserve">The inherent risk that a reputable online supplier </w:t>
      </w:r>
      <w:r w:rsidR="00DB6843">
        <w:t>will falsely declare</w:t>
      </w:r>
      <w:r>
        <w:t xml:space="preserve"> items</w:t>
      </w:r>
      <w:r w:rsidR="00DB6843">
        <w:t xml:space="preserve"> </w:t>
      </w:r>
      <w:r>
        <w:t xml:space="preserve">is low, </w:t>
      </w:r>
      <w:r w:rsidR="00DB6843">
        <w:t>as the</w:t>
      </w:r>
      <w:r>
        <w:t xml:space="preserve">y gain </w:t>
      </w:r>
      <w:r w:rsidR="00DB6843">
        <w:t xml:space="preserve">no benefit or advantage </w:t>
      </w:r>
      <w:r w:rsidR="00CE73CC">
        <w:t>by</w:t>
      </w:r>
      <w:r>
        <w:t xml:space="preserve"> making</w:t>
      </w:r>
      <w:r w:rsidR="00DB6843">
        <w:t xml:space="preserve"> a false declaration. However, </w:t>
      </w:r>
      <w:r>
        <w:t xml:space="preserve">the risk that </w:t>
      </w:r>
      <w:r w:rsidR="00DB6843">
        <w:t>smaller online sellers, selling items online through eBay or Amazon</w:t>
      </w:r>
      <w:r>
        <w:t>,</w:t>
      </w:r>
      <w:r w:rsidR="00DB6843">
        <w:t xml:space="preserve"> </w:t>
      </w:r>
      <w:r w:rsidR="00CE73CC">
        <w:t>w</w:t>
      </w:r>
      <w:r w:rsidR="00620A4C">
        <w:t>ill</w:t>
      </w:r>
      <w:r w:rsidR="00CE73CC">
        <w:t xml:space="preserve"> declare items</w:t>
      </w:r>
      <w:r w:rsidR="00620A4C">
        <w:t xml:space="preserve"> incorrect</w:t>
      </w:r>
      <w:r w:rsidR="00BE14D0">
        <w:t xml:space="preserve">ly </w:t>
      </w:r>
      <w:r w:rsidR="00DB6843">
        <w:t xml:space="preserve">is greater. </w:t>
      </w:r>
      <w:r w:rsidR="00991E90">
        <w:t xml:space="preserve">For both, </w:t>
      </w:r>
      <w:r w:rsidR="00BE14D0">
        <w:t>there is a</w:t>
      </w:r>
      <w:r w:rsidR="00DB6843">
        <w:t xml:space="preserve"> risk that goods may be inaccurately declared</w:t>
      </w:r>
      <w:r>
        <w:t xml:space="preserve"> exists</w:t>
      </w:r>
      <w:r w:rsidR="00DB6843">
        <w:t>.</w:t>
      </w:r>
      <w:r w:rsidR="00991E90">
        <w:t xml:space="preserve"> The</w:t>
      </w:r>
      <w:r>
        <w:t xml:space="preserve"> risk of suppliers </w:t>
      </w:r>
      <w:r w:rsidR="00620A4C">
        <w:t>making incorrect</w:t>
      </w:r>
      <w:r w:rsidR="00991E90">
        <w:t xml:space="preserve"> declaration</w:t>
      </w:r>
      <w:r w:rsidR="0056029B">
        <w:t>s</w:t>
      </w:r>
      <w:r w:rsidR="00991E90">
        <w:t xml:space="preserve"> </w:t>
      </w:r>
      <w:r>
        <w:t xml:space="preserve">is higher </w:t>
      </w:r>
      <w:r w:rsidR="00991E90">
        <w:t>when goods are sent privately</w:t>
      </w:r>
      <w:r w:rsidR="0023446D">
        <w:t>,</w:t>
      </w:r>
      <w:r w:rsidR="00991E90">
        <w:t xml:space="preserve"> not as a business transaction.</w:t>
      </w:r>
    </w:p>
    <w:p w:rsidR="00BF232A" w:rsidRDefault="00CF4E06" w:rsidP="007D59EA">
      <w:pPr>
        <w:pStyle w:val="FindingsNormalNumbering"/>
        <w:ind w:left="0" w:firstLine="0"/>
      </w:pPr>
      <w:r w:rsidRPr="007D59EA">
        <w:t xml:space="preserve">All </w:t>
      </w:r>
      <w:r w:rsidR="00BF232A">
        <w:t xml:space="preserve">SACs </w:t>
      </w:r>
      <w:r w:rsidRPr="007D59EA">
        <w:t xml:space="preserve">are assessed electronically by </w:t>
      </w:r>
      <w:r w:rsidR="00BF232A">
        <w:t xml:space="preserve">the </w:t>
      </w:r>
      <w:r w:rsidR="009F345D">
        <w:t>department’s</w:t>
      </w:r>
      <w:r w:rsidRPr="007D59EA">
        <w:t xml:space="preserve"> profiles</w:t>
      </w:r>
      <w:r w:rsidR="00BF232A">
        <w:t>, which are</w:t>
      </w:r>
      <w:r w:rsidRPr="007D59EA">
        <w:t xml:space="preserve"> </w:t>
      </w:r>
      <w:r w:rsidR="0056029B">
        <w:t>incorporated</w:t>
      </w:r>
      <w:r w:rsidRPr="007D59EA">
        <w:t xml:space="preserve"> in the </w:t>
      </w:r>
      <w:r w:rsidR="00BF232A">
        <w:t>ICS</w:t>
      </w:r>
      <w:r w:rsidRPr="007D59EA">
        <w:t xml:space="preserve">. </w:t>
      </w:r>
      <w:r w:rsidR="00BF232A">
        <w:t xml:space="preserve">The SAC National </w:t>
      </w:r>
      <w:r w:rsidR="00AC734F">
        <w:t>Coordination Centre (</w:t>
      </w:r>
      <w:r w:rsidR="009F345D">
        <w:t xml:space="preserve">SAC </w:t>
      </w:r>
      <w:r w:rsidR="00AC734F">
        <w:t>NCC)</w:t>
      </w:r>
      <w:r w:rsidR="0042078A">
        <w:t>, based in Sydney,</w:t>
      </w:r>
      <w:r w:rsidR="00AC734F">
        <w:t xml:space="preserve"> creates</w:t>
      </w:r>
      <w:r w:rsidR="00BF232A">
        <w:t xml:space="preserve"> and maintain</w:t>
      </w:r>
      <w:r w:rsidR="00AC734F">
        <w:t>s</w:t>
      </w:r>
      <w:r w:rsidR="00BF232A">
        <w:t xml:space="preserve"> t</w:t>
      </w:r>
      <w:r w:rsidR="00E84575">
        <w:t xml:space="preserve">he profiles in the ICS. </w:t>
      </w:r>
      <w:r w:rsidR="001042D9">
        <w:t>The SAC NCC</w:t>
      </w:r>
      <w:r w:rsidR="00FF767D">
        <w:t xml:space="preserve"> </w:t>
      </w:r>
      <w:r w:rsidR="00BF232A">
        <w:t>enhance</w:t>
      </w:r>
      <w:r w:rsidR="00FF767D">
        <w:t>s the profiles</w:t>
      </w:r>
      <w:r w:rsidR="00AC734F">
        <w:t xml:space="preserve"> regular</w:t>
      </w:r>
      <w:r w:rsidR="00FF767D">
        <w:t>ly as</w:t>
      </w:r>
      <w:r w:rsidR="00AC734F">
        <w:t xml:space="preserve"> required, </w:t>
      </w:r>
      <w:r w:rsidR="00FF767D">
        <w:t xml:space="preserve">using </w:t>
      </w:r>
      <w:r w:rsidR="00AC734F">
        <w:t xml:space="preserve">intelligence, data analysis and trends, </w:t>
      </w:r>
      <w:r w:rsidR="00FF767D">
        <w:t>and</w:t>
      </w:r>
      <w:r w:rsidR="00AC734F">
        <w:t xml:space="preserve"> emerging risks.</w:t>
      </w:r>
    </w:p>
    <w:p w:rsidR="002604B5" w:rsidRDefault="009F345D" w:rsidP="00F26A07">
      <w:pPr>
        <w:pStyle w:val="FindingsNormalNumbering"/>
        <w:ind w:left="0" w:firstLine="0"/>
      </w:pPr>
      <w:r>
        <w:t>If a SAC consignment matches a profile</w:t>
      </w:r>
      <w:r w:rsidR="00163F3E">
        <w:t>—</w:t>
      </w:r>
      <w:r w:rsidR="003D3D2A">
        <w:t>that is</w:t>
      </w:r>
      <w:r w:rsidR="00163F3E">
        <w:t>, if</w:t>
      </w:r>
      <w:r w:rsidR="003D3D2A">
        <w:t xml:space="preserve"> the</w:t>
      </w:r>
      <w:r>
        <w:t xml:space="preserve"> goods are </w:t>
      </w:r>
      <w:r w:rsidR="003D3D2A">
        <w:t xml:space="preserve">potentially </w:t>
      </w:r>
      <w:r>
        <w:t>of biosecurity concern</w:t>
      </w:r>
      <w:r w:rsidR="00163F3E">
        <w:t>—</w:t>
      </w:r>
      <w:r w:rsidR="003D3D2A">
        <w:t>the consignment is</w:t>
      </w:r>
      <w:r>
        <w:t xml:space="preserve"> </w:t>
      </w:r>
      <w:r w:rsidR="00AC734F" w:rsidRPr="007D59EA">
        <w:t xml:space="preserve">referred automatically to </w:t>
      </w:r>
      <w:r w:rsidR="00AC734F">
        <w:t>the department</w:t>
      </w:r>
      <w:r w:rsidR="00AC734F" w:rsidRPr="007D59EA">
        <w:t xml:space="preserve"> for document assessment.</w:t>
      </w:r>
      <w:r>
        <w:t xml:space="preserve"> </w:t>
      </w:r>
      <w:r w:rsidR="003D3D2A">
        <w:t xml:space="preserve">When a consignment is referred to the </w:t>
      </w:r>
      <w:r w:rsidR="00F26A07">
        <w:t>department</w:t>
      </w:r>
      <w:r w:rsidR="0056029B">
        <w:t>,</w:t>
      </w:r>
      <w:r w:rsidR="003D3D2A">
        <w:t xml:space="preserve"> the consignment is record</w:t>
      </w:r>
      <w:r w:rsidR="001042D9">
        <w:t>ed</w:t>
      </w:r>
      <w:r w:rsidR="003D3D2A">
        <w:t xml:space="preserve"> in the department’s SAC </w:t>
      </w:r>
      <w:r w:rsidR="001042D9">
        <w:t>a</w:t>
      </w:r>
      <w:r w:rsidR="00F26A07">
        <w:t>pplication</w:t>
      </w:r>
      <w:r w:rsidR="0023446D">
        <w:t xml:space="preserve"> for assessment. </w:t>
      </w:r>
      <w:r w:rsidR="00957794">
        <w:t xml:space="preserve">This is an electronic </w:t>
      </w:r>
      <w:r w:rsidR="003D3D2A">
        <w:t>application</w:t>
      </w:r>
      <w:r w:rsidR="00F26A07">
        <w:t>, currently available to the CAPEC</w:t>
      </w:r>
      <w:r w:rsidR="0056029B">
        <w:t xml:space="preserve"> members</w:t>
      </w:r>
      <w:r w:rsidR="00163F3E">
        <w:t xml:space="preserve"> only</w:t>
      </w:r>
      <w:r w:rsidR="0061489A">
        <w:t>.</w:t>
      </w:r>
      <w:r w:rsidR="003D3D2A">
        <w:t xml:space="preserve"> </w:t>
      </w:r>
      <w:r w:rsidR="00797FCF">
        <w:t>Departmental officers have access to a</w:t>
      </w:r>
      <w:r w:rsidR="0061489A">
        <w:t xml:space="preserve">ll </w:t>
      </w:r>
      <w:r w:rsidR="003D3D2A">
        <w:t xml:space="preserve">documentation and supporting material </w:t>
      </w:r>
      <w:r w:rsidR="0061489A">
        <w:t>for</w:t>
      </w:r>
      <w:r w:rsidR="003D3D2A">
        <w:t xml:space="preserve"> the </w:t>
      </w:r>
      <w:r w:rsidR="00F26A07">
        <w:t>consignment</w:t>
      </w:r>
      <w:r w:rsidR="0061489A">
        <w:t>,</w:t>
      </w:r>
      <w:r w:rsidR="003D3D2A">
        <w:t xml:space="preserve"> such as invoices and mandatory declarations</w:t>
      </w:r>
      <w:r w:rsidR="0061489A">
        <w:t>,</w:t>
      </w:r>
      <w:r w:rsidR="00F26A07">
        <w:t xml:space="preserve"> to examine </w:t>
      </w:r>
      <w:r w:rsidR="0080016F">
        <w:t xml:space="preserve">for their </w:t>
      </w:r>
      <w:r w:rsidR="002604B5">
        <w:t>ultimate assessment.</w:t>
      </w:r>
    </w:p>
    <w:p w:rsidR="004842C8" w:rsidRDefault="004842C8" w:rsidP="00DE7F42">
      <w:pPr>
        <w:pStyle w:val="FindingsNormalNumbering"/>
        <w:ind w:left="0" w:firstLine="0"/>
      </w:pPr>
      <w:r>
        <w:t xml:space="preserve">The </w:t>
      </w:r>
      <w:r w:rsidR="0042078A">
        <w:t xml:space="preserve">SAC NCC </w:t>
      </w:r>
      <w:r>
        <w:t>initial</w:t>
      </w:r>
      <w:r w:rsidR="0042078A">
        <w:t>ly</w:t>
      </w:r>
      <w:r>
        <w:t xml:space="preserve"> screen</w:t>
      </w:r>
      <w:r w:rsidR="0042078A">
        <w:t>s</w:t>
      </w:r>
      <w:r>
        <w:t xml:space="preserve"> SACs referred to the department.</w:t>
      </w:r>
      <w:r w:rsidRPr="007D59EA">
        <w:t xml:space="preserve"> </w:t>
      </w:r>
      <w:r w:rsidR="00DE7F42">
        <w:t xml:space="preserve">Since 12 May 2014, </w:t>
      </w:r>
      <w:r w:rsidR="000A237A">
        <w:t>a</w:t>
      </w:r>
      <w:r w:rsidR="00DE7F42" w:rsidRPr="000A237A">
        <w:t>ll SAC cargo report</w:t>
      </w:r>
      <w:r w:rsidR="00A1639F">
        <w:t>s</w:t>
      </w:r>
      <w:r w:rsidR="00DE7F42" w:rsidRPr="000A237A">
        <w:t xml:space="preserve"> and short form SAC </w:t>
      </w:r>
      <w:r w:rsidR="000A237A">
        <w:t>consignments</w:t>
      </w:r>
      <w:r w:rsidR="00DE7F42" w:rsidRPr="000A237A">
        <w:t xml:space="preserve"> </w:t>
      </w:r>
      <w:r w:rsidR="0042078A">
        <w:t>have been</w:t>
      </w:r>
      <w:r w:rsidR="00DE7F42" w:rsidRPr="000A237A">
        <w:t xml:space="preserve"> processed</w:t>
      </w:r>
      <w:r w:rsidR="000A237A" w:rsidRPr="000A237A">
        <w:t xml:space="preserve"> </w:t>
      </w:r>
      <w:r w:rsidR="000A237A">
        <w:t>by the SAC NCC.</w:t>
      </w:r>
      <w:r w:rsidR="00DE7F42">
        <w:t xml:space="preserve"> </w:t>
      </w:r>
      <w:r w:rsidRPr="00A72979">
        <w:t>This ensure</w:t>
      </w:r>
      <w:r w:rsidR="00287042">
        <w:t>s</w:t>
      </w:r>
      <w:r w:rsidRPr="00A72979">
        <w:t xml:space="preserve"> greater consistency in the department</w:t>
      </w:r>
      <w:r w:rsidR="00FC7975">
        <w:t>’</w:t>
      </w:r>
      <w:r w:rsidRPr="00A72979">
        <w:t>s SAC consignment</w:t>
      </w:r>
      <w:r w:rsidR="00FC7975">
        <w:t xml:space="preserve"> screening</w:t>
      </w:r>
      <w:r w:rsidRPr="00A72979">
        <w:t xml:space="preserve">, </w:t>
      </w:r>
      <w:r w:rsidR="00A1639F">
        <w:t>regardless of</w:t>
      </w:r>
      <w:r w:rsidRPr="00A72979">
        <w:t xml:space="preserve"> where the goods arrive in Australia.</w:t>
      </w:r>
    </w:p>
    <w:p w:rsidR="004842C8" w:rsidRDefault="00FC7975" w:rsidP="00CF1D3E">
      <w:pPr>
        <w:pStyle w:val="FindingsNormalNumbering"/>
        <w:ind w:left="0" w:firstLine="0"/>
      </w:pPr>
      <w:r>
        <w:t>Non</w:t>
      </w:r>
      <w:r w:rsidR="004842C8">
        <w:t xml:space="preserve">-CAPEC </w:t>
      </w:r>
      <w:r w:rsidR="00957794">
        <w:t xml:space="preserve">members </w:t>
      </w:r>
      <w:r>
        <w:t>can</w:t>
      </w:r>
      <w:r w:rsidR="004842C8">
        <w:t xml:space="preserve"> supply SAC documentation </w:t>
      </w:r>
      <w:r>
        <w:t xml:space="preserve">by email </w:t>
      </w:r>
      <w:r w:rsidR="004842C8">
        <w:t xml:space="preserve">to </w:t>
      </w:r>
      <w:r w:rsidR="00D2105E">
        <w:t xml:space="preserve">the SAC NCC </w:t>
      </w:r>
      <w:r w:rsidR="00CF1D3E">
        <w:t>for assessment.</w:t>
      </w:r>
      <w:r w:rsidR="000F74EF" w:rsidRPr="000F74EF">
        <w:rPr>
          <w:sz w:val="21"/>
          <w:szCs w:val="21"/>
        </w:rPr>
        <w:t xml:space="preserve"> </w:t>
      </w:r>
      <w:r w:rsidR="006D211E" w:rsidRPr="006D211E">
        <w:t xml:space="preserve">If they cannot submit electronically, they can provide </w:t>
      </w:r>
      <w:r w:rsidR="00D2105E" w:rsidRPr="00DC7CCF">
        <w:t>documentation to t</w:t>
      </w:r>
      <w:r w:rsidR="000F74EF" w:rsidRPr="00DC7CCF">
        <w:t>he</w:t>
      </w:r>
      <w:r w:rsidRPr="00DC7CCF">
        <w:t>ir</w:t>
      </w:r>
      <w:r w:rsidR="000F74EF" w:rsidRPr="00DC7CCF">
        <w:t xml:space="preserve"> regional office </w:t>
      </w:r>
      <w:r w:rsidR="00D2105E" w:rsidRPr="00DC7CCF">
        <w:t>in person</w:t>
      </w:r>
      <w:r w:rsidR="00D2105E">
        <w:t>.</w:t>
      </w:r>
    </w:p>
    <w:p w:rsidR="004842C8" w:rsidRPr="00A72979" w:rsidRDefault="002604B5" w:rsidP="00CF1D3E">
      <w:pPr>
        <w:pStyle w:val="FindingsNormalNumbering"/>
        <w:ind w:left="0" w:firstLine="0"/>
      </w:pPr>
      <w:r>
        <w:t xml:space="preserve">All </w:t>
      </w:r>
      <w:r w:rsidR="006E183F">
        <w:t>SAC documentation must meet the department</w:t>
      </w:r>
      <w:r w:rsidR="007356F3">
        <w:t>’s</w:t>
      </w:r>
      <w:r w:rsidR="006E183F">
        <w:t xml:space="preserve"> </w:t>
      </w:r>
      <w:r w:rsidR="007356F3" w:rsidRPr="007356F3">
        <w:rPr>
          <w:i/>
        </w:rPr>
        <w:t xml:space="preserve">Minimum </w:t>
      </w:r>
      <w:r w:rsidR="006E183F" w:rsidRPr="007356F3">
        <w:rPr>
          <w:i/>
        </w:rPr>
        <w:t>document requirements policy</w:t>
      </w:r>
      <w:r w:rsidR="006E183F">
        <w:t xml:space="preserve"> (</w:t>
      </w:r>
      <w:r w:rsidR="006E183F" w:rsidRPr="006E183F">
        <w:t>DAFF 2012</w:t>
      </w:r>
      <w:r w:rsidR="00BC0137">
        <w:t xml:space="preserve">). </w:t>
      </w:r>
      <w:r w:rsidR="006E183F">
        <w:t xml:space="preserve">This policy defines the minimum requirements for documents presented to the department </w:t>
      </w:r>
      <w:r w:rsidR="005059B3">
        <w:t xml:space="preserve">to </w:t>
      </w:r>
      <w:r w:rsidR="006E183F">
        <w:t xml:space="preserve">assess the </w:t>
      </w:r>
      <w:r w:rsidR="005059B3">
        <w:t xml:space="preserve">consignment </w:t>
      </w:r>
      <w:r w:rsidR="006E183F">
        <w:t>biosecurit</w:t>
      </w:r>
      <w:r w:rsidR="00E84575">
        <w:t>y risk.</w:t>
      </w:r>
    </w:p>
    <w:p w:rsidR="00AC734F" w:rsidRDefault="00AC734F" w:rsidP="00AC734F">
      <w:pPr>
        <w:pStyle w:val="FindingsNormalNumbering"/>
        <w:ind w:left="0" w:firstLine="0"/>
      </w:pPr>
      <w:r w:rsidRPr="00A72979">
        <w:t>After</w:t>
      </w:r>
      <w:r w:rsidR="003D3D2A" w:rsidRPr="00A72979">
        <w:t xml:space="preserve"> the </w:t>
      </w:r>
      <w:r w:rsidRPr="00A72979">
        <w:t xml:space="preserve">document assessment, some goods may be directed </w:t>
      </w:r>
      <w:r w:rsidR="0018037C">
        <w:t>to the</w:t>
      </w:r>
      <w:r w:rsidR="00E1338E">
        <w:t xml:space="preserve"> relevant region</w:t>
      </w:r>
      <w:r w:rsidR="0018037C">
        <w:t xml:space="preserve"> </w:t>
      </w:r>
      <w:r w:rsidRPr="00A72979">
        <w:t>for physical inspection. This is usually due to the possible presence of biosecurity risk material or lack of documentation to assess the</w:t>
      </w:r>
      <w:r w:rsidR="00F26A07" w:rsidRPr="00A72979">
        <w:t xml:space="preserve"> biosecurity </w:t>
      </w:r>
      <w:r w:rsidRPr="00A72979">
        <w:t xml:space="preserve">risk. </w:t>
      </w:r>
      <w:r w:rsidR="00A72979">
        <w:t>Consignments can be either released after inspect</w:t>
      </w:r>
      <w:r w:rsidR="00CF1D3E">
        <w:t xml:space="preserve">ion or directed for treatment. </w:t>
      </w:r>
      <w:r w:rsidR="00A1639F">
        <w:t>Any c</w:t>
      </w:r>
      <w:r w:rsidR="00A72979">
        <w:t>onsignments directed for treatment are upgraded to the department’s import management system (AIMS).</w:t>
      </w:r>
    </w:p>
    <w:p w:rsidR="00CF4E06" w:rsidRDefault="00A72979" w:rsidP="00D52C6A">
      <w:pPr>
        <w:pStyle w:val="FindingsNormalNumbering"/>
        <w:ind w:left="0" w:firstLine="0"/>
      </w:pPr>
      <w:r>
        <w:t xml:space="preserve">Some SAC consignments </w:t>
      </w:r>
      <w:r w:rsidR="0018037C">
        <w:t xml:space="preserve">are </w:t>
      </w:r>
      <w:r w:rsidR="00CF1D3E">
        <w:t>automatic</w:t>
      </w:r>
      <w:r w:rsidR="0018037C">
        <w:t>ally</w:t>
      </w:r>
      <w:r>
        <w:t xml:space="preserve"> upgrad</w:t>
      </w:r>
      <w:r w:rsidR="0018037C">
        <w:t>ed</w:t>
      </w:r>
      <w:r>
        <w:t xml:space="preserve"> to AIMS</w:t>
      </w:r>
      <w:r w:rsidR="0018037C">
        <w:t>.</w:t>
      </w:r>
      <w:r>
        <w:t xml:space="preserve"> </w:t>
      </w:r>
      <w:r w:rsidR="0018037C">
        <w:t xml:space="preserve">For </w:t>
      </w:r>
      <w:r>
        <w:t>example</w:t>
      </w:r>
      <w:r w:rsidR="0018037C">
        <w:t>,</w:t>
      </w:r>
      <w:r>
        <w:t xml:space="preserve"> consignments that require an import permit</w:t>
      </w:r>
      <w:r w:rsidR="00D52C6A">
        <w:t xml:space="preserve"> </w:t>
      </w:r>
      <w:r w:rsidR="0018037C">
        <w:t>must</w:t>
      </w:r>
      <w:r w:rsidR="00D52C6A">
        <w:t xml:space="preserve"> be upgrad</w:t>
      </w:r>
      <w:r w:rsidR="00A1639F">
        <w:t>ed</w:t>
      </w:r>
      <w:r w:rsidR="00D52C6A">
        <w:t xml:space="preserve"> to AIMS </w:t>
      </w:r>
      <w:r w:rsidR="0018037C">
        <w:t>for</w:t>
      </w:r>
      <w:r w:rsidR="00D52C6A">
        <w:t xml:space="preserve"> appropriate</w:t>
      </w:r>
      <w:r w:rsidR="0018037C">
        <w:t xml:space="preserve"> management</w:t>
      </w:r>
      <w:r w:rsidR="00D52C6A">
        <w:t>.</w:t>
      </w:r>
    </w:p>
    <w:p w:rsidR="00034DED" w:rsidRDefault="00034DED" w:rsidP="00D52C6A">
      <w:pPr>
        <w:pStyle w:val="FindingsNormalNumbering"/>
        <w:ind w:left="0" w:firstLine="0"/>
      </w:pPr>
      <w:r>
        <w:t xml:space="preserve">Officers in some </w:t>
      </w:r>
      <w:r w:rsidR="00934F69">
        <w:t xml:space="preserve">regions informed the IIGB that some SAC consignments </w:t>
      </w:r>
      <w:r>
        <w:t xml:space="preserve">were </w:t>
      </w:r>
      <w:r w:rsidR="00934F69">
        <w:t xml:space="preserve">cleared and released without the required inspection. The </w:t>
      </w:r>
      <w:r>
        <w:t>officers</w:t>
      </w:r>
      <w:r w:rsidR="00934F69">
        <w:t xml:space="preserve"> explained that they </w:t>
      </w:r>
      <w:r w:rsidR="00797FCF">
        <w:t xml:space="preserve">had </w:t>
      </w:r>
      <w:r w:rsidR="00934F69">
        <w:t xml:space="preserve">the </w:t>
      </w:r>
      <w:r w:rsidR="00837290">
        <w:t xml:space="preserve">knowledge and experience to </w:t>
      </w:r>
      <w:r w:rsidR="00934F69">
        <w:t>clear</w:t>
      </w:r>
      <w:r w:rsidR="00E1338E">
        <w:t xml:space="preserve"> certain</w:t>
      </w:r>
      <w:r w:rsidR="00934F69">
        <w:t xml:space="preserve"> goods</w:t>
      </w:r>
      <w:r w:rsidR="00837290">
        <w:t xml:space="preserve"> without in</w:t>
      </w:r>
      <w:r w:rsidR="00E1338E">
        <w:t>spection, because they underst</w:t>
      </w:r>
      <w:r w:rsidR="00287042">
        <w:t>ood</w:t>
      </w:r>
      <w:r w:rsidR="00837290">
        <w:t xml:space="preserve"> the environment and what </w:t>
      </w:r>
      <w:r>
        <w:t>was</w:t>
      </w:r>
      <w:r w:rsidR="00837290">
        <w:t xml:space="preserve"> being imported into their region. </w:t>
      </w:r>
      <w:r w:rsidR="001B30CC">
        <w:t>The officers explained that o</w:t>
      </w:r>
      <w:r w:rsidR="00837290">
        <w:t xml:space="preserve">nly goods </w:t>
      </w:r>
      <w:r w:rsidR="00287042">
        <w:t>of</w:t>
      </w:r>
      <w:r w:rsidR="00837290">
        <w:t xml:space="preserve"> no </w:t>
      </w:r>
      <w:r w:rsidR="00934F69">
        <w:t>biosecurity concern</w:t>
      </w:r>
      <w:r w:rsidR="00837290">
        <w:t xml:space="preserve"> are released without inspection</w:t>
      </w:r>
      <w:r w:rsidR="00934F69">
        <w:t xml:space="preserve">. While this </w:t>
      </w:r>
      <w:r w:rsidR="001042D9">
        <w:t>approach</w:t>
      </w:r>
      <w:r>
        <w:t xml:space="preserve"> is sound</w:t>
      </w:r>
      <w:r w:rsidR="00837290">
        <w:t xml:space="preserve">, it is important that the department </w:t>
      </w:r>
      <w:r>
        <w:t>verif</w:t>
      </w:r>
      <w:r w:rsidR="00287042">
        <w:t>ies</w:t>
      </w:r>
      <w:r>
        <w:t xml:space="preserve"> </w:t>
      </w:r>
      <w:r w:rsidR="00837290">
        <w:t xml:space="preserve">what goods are being released without inspection. This information </w:t>
      </w:r>
      <w:r>
        <w:t>could</w:t>
      </w:r>
      <w:r w:rsidR="00A1639F">
        <w:t xml:space="preserve"> </w:t>
      </w:r>
      <w:r w:rsidR="00837290">
        <w:t xml:space="preserve">be used to improve profiles to ensure </w:t>
      </w:r>
      <w:r w:rsidR="00693AFE">
        <w:t>these</w:t>
      </w:r>
      <w:r w:rsidR="00837290">
        <w:t xml:space="preserve"> goods are not sent for inspection in the future.</w:t>
      </w:r>
    </w:p>
    <w:p w:rsidR="00755650" w:rsidRPr="00A72979" w:rsidRDefault="00693AFE" w:rsidP="00693AFE">
      <w:pPr>
        <w:pStyle w:val="FindingsNormalNumbering"/>
        <w:ind w:left="0" w:firstLine="0"/>
      </w:pPr>
      <w:r>
        <w:lastRenderedPageBreak/>
        <w:t>Similar to international mail</w:t>
      </w:r>
      <w:r w:rsidR="00755650">
        <w:t xml:space="preserve"> items</w:t>
      </w:r>
      <w:r>
        <w:t xml:space="preserve">, </w:t>
      </w:r>
      <w:r w:rsidR="00755650">
        <w:t>i</w:t>
      </w:r>
      <w:r>
        <w:t xml:space="preserve">tems </w:t>
      </w:r>
      <w:r w:rsidR="00755650">
        <w:t xml:space="preserve">that </w:t>
      </w:r>
      <w:r>
        <w:t xml:space="preserve">enter Australia as SAC consignments </w:t>
      </w:r>
      <w:r w:rsidR="00755650">
        <w:t>and</w:t>
      </w:r>
      <w:r>
        <w:t xml:space="preserve"> require an import permit are not </w:t>
      </w:r>
      <w:r w:rsidR="00A1639F">
        <w:t>readily</w:t>
      </w:r>
      <w:r>
        <w:t xml:space="preserve"> identifiable. The IIGB was advised that</w:t>
      </w:r>
      <w:r w:rsidR="00755650">
        <w:t>,</w:t>
      </w:r>
      <w:r>
        <w:t xml:space="preserve"> on some occasions, </w:t>
      </w:r>
      <w:r w:rsidR="001042D9">
        <w:t xml:space="preserve">SAC consignments </w:t>
      </w:r>
      <w:r>
        <w:t xml:space="preserve">that required import permits were released without inspection. </w:t>
      </w:r>
      <w:r w:rsidR="00755650">
        <w:t xml:space="preserve">Where </w:t>
      </w:r>
      <w:r>
        <w:t xml:space="preserve">SAC consignments </w:t>
      </w:r>
      <w:r w:rsidR="00755650">
        <w:t xml:space="preserve">are </w:t>
      </w:r>
      <w:r>
        <w:t xml:space="preserve">delivered to quarantine approved premises without the appropriate inspection, </w:t>
      </w:r>
      <w:r w:rsidR="00755650">
        <w:t xml:space="preserve">the operator must </w:t>
      </w:r>
      <w:r>
        <w:t xml:space="preserve">advise the department that they have received an </w:t>
      </w:r>
      <w:r w:rsidR="00797FCF">
        <w:t xml:space="preserve">uninspected </w:t>
      </w:r>
      <w:r>
        <w:t>item and</w:t>
      </w:r>
      <w:r w:rsidR="001B30CC">
        <w:t xml:space="preserve"> the department </w:t>
      </w:r>
      <w:r w:rsidR="00287042">
        <w:t xml:space="preserve">then </w:t>
      </w:r>
      <w:r w:rsidR="001B30CC">
        <w:t xml:space="preserve">initiates </w:t>
      </w:r>
      <w:r w:rsidR="001B30CC" w:rsidRPr="00464683">
        <w:t>appropriate action</w:t>
      </w:r>
      <w:r>
        <w:t xml:space="preserve">. </w:t>
      </w:r>
    </w:p>
    <w:p w:rsidR="00D25219" w:rsidRDefault="00D25219" w:rsidP="0035143E">
      <w:pPr>
        <w:pStyle w:val="Findingsub-heading"/>
      </w:pPr>
      <w:r w:rsidRPr="00A72979">
        <w:t>Profiles</w:t>
      </w:r>
    </w:p>
    <w:p w:rsidR="00D1019E" w:rsidRDefault="00D1019E" w:rsidP="00D1019E">
      <w:pPr>
        <w:pStyle w:val="FindingsNormalNumbering"/>
        <w:ind w:left="0" w:firstLine="0"/>
      </w:pPr>
      <w:r>
        <w:t xml:space="preserve">Profiles are </w:t>
      </w:r>
      <w:r w:rsidR="00287042">
        <w:t>pivotal in</w:t>
      </w:r>
      <w:r>
        <w:t xml:space="preserve"> assessing biosecurity risks</w:t>
      </w:r>
      <w:r w:rsidR="00CF1D3E">
        <w:t xml:space="preserve"> </w:t>
      </w:r>
      <w:r w:rsidR="001042D9">
        <w:t>of</w:t>
      </w:r>
      <w:r w:rsidR="00CF1D3E">
        <w:t xml:space="preserve"> SAC consignments. </w:t>
      </w:r>
      <w:r w:rsidR="00814911">
        <w:t>N</w:t>
      </w:r>
      <w:r>
        <w:t xml:space="preserve">ine department staff </w:t>
      </w:r>
      <w:proofErr w:type="gramStart"/>
      <w:r>
        <w:t>have</w:t>
      </w:r>
      <w:proofErr w:type="gramEnd"/>
      <w:r>
        <w:t xml:space="preserve"> privileged</w:t>
      </w:r>
      <w:r w:rsidR="00D33D5E">
        <w:t xml:space="preserve"> (administrator)</w:t>
      </w:r>
      <w:r>
        <w:t xml:space="preserve"> access to amend or deactivate the department’s profiles in the ICS. The IIGB was informed that any profiles that are amended or deactivated are </w:t>
      </w:r>
      <w:proofErr w:type="gramStart"/>
      <w:r>
        <w:t>logged/recorded</w:t>
      </w:r>
      <w:proofErr w:type="gramEnd"/>
      <w:r>
        <w:t xml:space="preserve"> in the ICS in the individual profile records. Department staff record changes to profiles in an </w:t>
      </w:r>
      <w:r w:rsidR="00814911">
        <w:t>E</w:t>
      </w:r>
      <w:r>
        <w:t xml:space="preserve">xcel spreadsheet, which is saved </w:t>
      </w:r>
      <w:r w:rsidR="00837290">
        <w:t xml:space="preserve">and archived monthly. </w:t>
      </w:r>
      <w:r>
        <w:t xml:space="preserve">With thousands of profiles in the ICS, it would take staff </w:t>
      </w:r>
      <w:r w:rsidR="0023446D">
        <w:t xml:space="preserve">considerable time </w:t>
      </w:r>
      <w:r>
        <w:t xml:space="preserve">to verify each profile to determine whether changes were recorded </w:t>
      </w:r>
      <w:r w:rsidR="00814911">
        <w:t>accurately</w:t>
      </w:r>
      <w:r w:rsidR="008A5BB3">
        <w:t xml:space="preserve"> in the E</w:t>
      </w:r>
      <w:r>
        <w:t>xcel spreadsheet.</w:t>
      </w:r>
    </w:p>
    <w:p w:rsidR="00411D5A" w:rsidRDefault="00D1019E" w:rsidP="000B31B4">
      <w:pPr>
        <w:pStyle w:val="FindingsNormalNumbering"/>
        <w:ind w:left="0" w:firstLine="0"/>
      </w:pPr>
      <w:r>
        <w:t xml:space="preserve">The department should </w:t>
      </w:r>
      <w:r w:rsidR="00173598">
        <w:t xml:space="preserve">regularly </w:t>
      </w:r>
      <w:r>
        <w:t xml:space="preserve">review a </w:t>
      </w:r>
      <w:r w:rsidR="008A5BB3">
        <w:t>system</w:t>
      </w:r>
      <w:r w:rsidR="00E86B1B">
        <w:t>-</w:t>
      </w:r>
      <w:r>
        <w:t>generated report</w:t>
      </w:r>
      <w:r w:rsidR="008A5BB3">
        <w:t xml:space="preserve"> (from the ICS)</w:t>
      </w:r>
      <w:r>
        <w:t xml:space="preserve"> to determine </w:t>
      </w:r>
      <w:r w:rsidR="00C55922">
        <w:t xml:space="preserve">any </w:t>
      </w:r>
      <w:r w:rsidR="00173598">
        <w:t xml:space="preserve">appropriate </w:t>
      </w:r>
      <w:r>
        <w:t xml:space="preserve">profile changes. </w:t>
      </w:r>
      <w:r w:rsidR="00173598">
        <w:t xml:space="preserve">Staff would no longer need </w:t>
      </w:r>
      <w:r>
        <w:t xml:space="preserve">to record profile changes in the </w:t>
      </w:r>
      <w:r w:rsidR="00E86B1B">
        <w:t>E</w:t>
      </w:r>
      <w:r>
        <w:t>xcel spreadsheet</w:t>
      </w:r>
      <w:r w:rsidR="000A237A">
        <w:t>.</w:t>
      </w:r>
      <w:r>
        <w:t xml:space="preserve"> </w:t>
      </w:r>
      <w:r w:rsidR="00E04287">
        <w:t xml:space="preserve">Staff without privileged access should be </w:t>
      </w:r>
      <w:r w:rsidR="00411D5A">
        <w:t xml:space="preserve">authorised </w:t>
      </w:r>
      <w:r w:rsidR="00E04287">
        <w:t>to examine t</w:t>
      </w:r>
      <w:r>
        <w:t>he report. This independence and segregation of duties is important</w:t>
      </w:r>
      <w:r w:rsidRPr="00554EBD">
        <w:t xml:space="preserve">. </w:t>
      </w:r>
      <w:r w:rsidR="00554EBD" w:rsidRPr="00554EBD">
        <w:t xml:space="preserve">The department does not receive </w:t>
      </w:r>
      <w:r w:rsidR="008A5BB3">
        <w:t>system</w:t>
      </w:r>
      <w:r w:rsidR="00411D5A">
        <w:t>-</w:t>
      </w:r>
      <w:r w:rsidR="00554EBD" w:rsidRPr="00554EBD">
        <w:t>generated reports</w:t>
      </w:r>
      <w:r w:rsidR="008A5BB3">
        <w:t xml:space="preserve"> from the ICS</w:t>
      </w:r>
      <w:r w:rsidR="00554EBD" w:rsidRPr="00554EBD">
        <w:t xml:space="preserve"> </w:t>
      </w:r>
      <w:r w:rsidR="00177579">
        <w:t xml:space="preserve">on </w:t>
      </w:r>
      <w:r w:rsidR="00554EBD" w:rsidRPr="00554EBD">
        <w:t>profile changes. The department would have to request this from the Australian Customs and Border Protection Service</w:t>
      </w:r>
      <w:r w:rsidR="00E30CCD">
        <w:t xml:space="preserve"> (ACBPS)</w:t>
      </w:r>
      <w:r w:rsidR="00554EBD" w:rsidRPr="00554EBD">
        <w:t>.</w:t>
      </w:r>
      <w:r w:rsidR="000164C6">
        <w:t xml:space="preserve"> </w:t>
      </w:r>
    </w:p>
    <w:p w:rsidR="00541DCF" w:rsidRPr="00541DCF" w:rsidRDefault="00D1019E" w:rsidP="004B0C7B">
      <w:pPr>
        <w:pStyle w:val="FindingsNormalNumbering"/>
        <w:numPr>
          <w:ilvl w:val="0"/>
          <w:numId w:val="0"/>
        </w:numPr>
      </w:pPr>
      <w:r>
        <w:t xml:space="preserve">Privileged access </w:t>
      </w:r>
      <w:r w:rsidR="00411D5A">
        <w:t>must</w:t>
      </w:r>
      <w:r>
        <w:t xml:space="preserve"> be monitored and supervised closely to ensure </w:t>
      </w:r>
      <w:r w:rsidR="00411D5A">
        <w:t>it</w:t>
      </w:r>
      <w:r w:rsidR="00E84575">
        <w:t xml:space="preserve"> is not misused. </w:t>
      </w:r>
      <w:r>
        <w:t xml:space="preserve">At present, profiles </w:t>
      </w:r>
      <w:r w:rsidR="00411D5A">
        <w:t>may be</w:t>
      </w:r>
      <w:r>
        <w:t xml:space="preserve"> changed, either intentionally or by accident, which could lead to </w:t>
      </w:r>
      <w:r w:rsidR="00E86B1B">
        <w:t xml:space="preserve">the </w:t>
      </w:r>
      <w:r w:rsidR="00411D5A">
        <w:t xml:space="preserve">release of </w:t>
      </w:r>
      <w:r>
        <w:t>SAC c</w:t>
      </w:r>
      <w:r w:rsidR="00E37F01">
        <w:t xml:space="preserve">onsignments </w:t>
      </w:r>
      <w:r w:rsidR="00A1639F">
        <w:t>of biosecurity concern</w:t>
      </w:r>
      <w:r w:rsidR="00C632EE">
        <w:t>.</w:t>
      </w:r>
      <w:r w:rsidR="00541DCF">
        <w:br/>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tblGrid>
      <w:tr w:rsidR="00D1019E" w:rsidRPr="00864127" w:rsidTr="00D1019E">
        <w:tc>
          <w:tcPr>
            <w:tcW w:w="8364" w:type="dxa"/>
            <w:vAlign w:val="center"/>
          </w:tcPr>
          <w:p w:rsidR="00D1019E" w:rsidRPr="00D046F0" w:rsidRDefault="00541DCF" w:rsidP="00D1019E">
            <w:pPr>
              <w:pStyle w:val="FindingsNormalNumbering"/>
              <w:numPr>
                <w:ilvl w:val="0"/>
                <w:numId w:val="0"/>
              </w:numPr>
            </w:pPr>
            <w:r>
              <w:br w:type="page"/>
            </w:r>
            <w:r>
              <w:br w:type="page"/>
            </w:r>
            <w:r w:rsidR="00272651">
              <w:br w:type="page"/>
            </w:r>
            <w:r w:rsidR="00272651">
              <w:br w:type="page"/>
            </w:r>
            <w:r w:rsidR="00E1338E">
              <w:br w:type="page"/>
            </w:r>
            <w:r w:rsidR="00D1019E">
              <w:br w:type="page"/>
            </w:r>
            <w:r w:rsidR="00D1019E">
              <w:rPr>
                <w:b/>
              </w:rPr>
              <w:t xml:space="preserve">Recommendation </w:t>
            </w:r>
            <w:r w:rsidR="0013451C">
              <w:rPr>
                <w:b/>
              </w:rPr>
              <w:t>4</w:t>
            </w:r>
          </w:p>
          <w:p w:rsidR="008B0921" w:rsidRDefault="00B415A9">
            <w:pPr>
              <w:pStyle w:val="FindingsNormalNumbering"/>
              <w:ind w:left="0" w:firstLine="0"/>
              <w:contextualSpacing w:val="0"/>
            </w:pPr>
            <w:r>
              <w:t>An independent departme</w:t>
            </w:r>
            <w:r w:rsidR="00272651">
              <w:t>nt</w:t>
            </w:r>
            <w:r>
              <w:t xml:space="preserve"> officer without privileged access should review </w:t>
            </w:r>
            <w:r w:rsidR="00A4670E">
              <w:t xml:space="preserve">the Integrated Cargo System </w:t>
            </w:r>
            <w:r>
              <w:t xml:space="preserve">reports </w:t>
            </w:r>
            <w:r w:rsidR="00835D56">
              <w:t xml:space="preserve">regularly </w:t>
            </w:r>
            <w:r>
              <w:t xml:space="preserve">to ensure </w:t>
            </w:r>
            <w:r w:rsidR="00A4670E">
              <w:t xml:space="preserve">all profile amendments </w:t>
            </w:r>
            <w:r>
              <w:t xml:space="preserve">are </w:t>
            </w:r>
            <w:r w:rsidR="00A4670E">
              <w:t>authorised and amended</w:t>
            </w:r>
            <w:r>
              <w:t xml:space="preserve"> correctly</w:t>
            </w:r>
            <w:r w:rsidR="00A4670E">
              <w:t>.</w:t>
            </w:r>
          </w:p>
          <w:p w:rsidR="008B0921" w:rsidRDefault="00D1019E">
            <w:pPr>
              <w:pStyle w:val="FindingsNormalNumbering"/>
              <w:numPr>
                <w:ilvl w:val="0"/>
                <w:numId w:val="0"/>
              </w:numPr>
              <w:contextualSpacing w:val="0"/>
            </w:pPr>
            <w:r w:rsidRPr="00D82EFE">
              <w:rPr>
                <w:b/>
              </w:rPr>
              <w:t xml:space="preserve">Department’s response: </w:t>
            </w:r>
            <w:r w:rsidR="007E220B">
              <w:t>Agreed.</w:t>
            </w:r>
          </w:p>
          <w:p w:rsidR="008B0921" w:rsidRDefault="007E220B">
            <w:pPr>
              <w:spacing w:after="120"/>
            </w:pPr>
            <w:r>
              <w:t xml:space="preserve">It would be </w:t>
            </w:r>
            <w:r w:rsidR="00EC5CD5">
              <w:t>ideal to receive a system-</w:t>
            </w:r>
            <w:r>
              <w:t>generated report from the Integrated Cargo System (ICS) to examine and scrutinise changes to profiles. However, the ICS currently does not have the capability to produce such reports. The department will consider the ICS changes required to fully implement this recommendation. It should be noted that given the ICS is owned by ACBPS, change requests must be managed through their processes and lead times can be extensive.</w:t>
            </w:r>
          </w:p>
        </w:tc>
      </w:tr>
    </w:tbl>
    <w:p w:rsidR="00407CAC" w:rsidRDefault="00A1639F" w:rsidP="00D1019E">
      <w:pPr>
        <w:pStyle w:val="FindingsNormalNumbering"/>
        <w:ind w:left="0" w:firstLine="0"/>
      </w:pPr>
      <w:r>
        <w:t>P</w:t>
      </w:r>
      <w:r w:rsidR="00D1019E">
        <w:t xml:space="preserve">rivileged access should be restricted to staff </w:t>
      </w:r>
      <w:r w:rsidR="00C55922">
        <w:t>who</w:t>
      </w:r>
      <w:r w:rsidR="00D1019E">
        <w:t xml:space="preserve"> </w:t>
      </w:r>
      <w:r w:rsidR="00701228">
        <w:t>absolutely require this access</w:t>
      </w:r>
      <w:r w:rsidR="00D1019E">
        <w:t xml:space="preserve">. The IIGB was informed that three department staff </w:t>
      </w:r>
      <w:r w:rsidR="00407CAC">
        <w:t>with</w:t>
      </w:r>
      <w:r w:rsidR="00D1019E">
        <w:t xml:space="preserve"> privileged access </w:t>
      </w:r>
      <w:r w:rsidR="00E86B1B">
        <w:t>had</w:t>
      </w:r>
      <w:r w:rsidR="00407CAC">
        <w:t xml:space="preserve"> it as a backup </w:t>
      </w:r>
      <w:r w:rsidR="00D1019E">
        <w:t xml:space="preserve">only, </w:t>
      </w:r>
      <w:r w:rsidR="00407CAC">
        <w:t xml:space="preserve">in case </w:t>
      </w:r>
      <w:r w:rsidR="00D1019E" w:rsidRPr="009A2A45">
        <w:t xml:space="preserve">the other six staff </w:t>
      </w:r>
      <w:r w:rsidR="00407CAC">
        <w:t xml:space="preserve">with privileged access </w:t>
      </w:r>
      <w:proofErr w:type="gramStart"/>
      <w:r w:rsidR="00E86B1B">
        <w:t>are</w:t>
      </w:r>
      <w:proofErr w:type="gramEnd"/>
      <w:r w:rsidR="00D1019E" w:rsidRPr="009A2A45">
        <w:t xml:space="preserve"> unavailable. The IIGB was informed that </w:t>
      </w:r>
      <w:r w:rsidR="00407CAC">
        <w:t xml:space="preserve">none of </w:t>
      </w:r>
      <w:r w:rsidR="00E86B1B">
        <w:t>the three</w:t>
      </w:r>
      <w:r w:rsidR="00D1019E" w:rsidRPr="009A2A45">
        <w:t xml:space="preserve"> staff ha</w:t>
      </w:r>
      <w:r w:rsidR="00407CAC">
        <w:t>d</w:t>
      </w:r>
      <w:r w:rsidR="00D1019E" w:rsidRPr="009A2A45">
        <w:t xml:space="preserve"> </w:t>
      </w:r>
      <w:r w:rsidR="00407CAC">
        <w:t>made</w:t>
      </w:r>
      <w:r w:rsidR="009A2A45" w:rsidRPr="009A2A45">
        <w:t xml:space="preserve"> profile changes for several </w:t>
      </w:r>
      <w:r w:rsidR="00D1019E" w:rsidRPr="009A2A45">
        <w:t>years.</w:t>
      </w:r>
    </w:p>
    <w:p w:rsidR="004B0C7B" w:rsidRDefault="004B0C7B" w:rsidP="004B0C7B">
      <w:pPr>
        <w:pStyle w:val="FindingsNormalNumbering"/>
        <w:numPr>
          <w:ilvl w:val="0"/>
          <w:numId w:val="0"/>
        </w:num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tblGrid>
      <w:tr w:rsidR="00D1019E" w:rsidRPr="00864127" w:rsidTr="00D1019E">
        <w:tc>
          <w:tcPr>
            <w:tcW w:w="8364" w:type="dxa"/>
            <w:vAlign w:val="center"/>
          </w:tcPr>
          <w:p w:rsidR="00D1019E" w:rsidRPr="00D046F0" w:rsidRDefault="00D1019E" w:rsidP="00D1019E">
            <w:pPr>
              <w:pStyle w:val="FindingsNormalNumbering"/>
              <w:numPr>
                <w:ilvl w:val="0"/>
                <w:numId w:val="0"/>
              </w:numPr>
            </w:pPr>
            <w:r>
              <w:lastRenderedPageBreak/>
              <w:br w:type="page"/>
            </w:r>
            <w:r>
              <w:rPr>
                <w:b/>
              </w:rPr>
              <w:t xml:space="preserve">Recommendation </w:t>
            </w:r>
            <w:r w:rsidR="0013451C">
              <w:rPr>
                <w:b/>
              </w:rPr>
              <w:t>5</w:t>
            </w:r>
          </w:p>
          <w:p w:rsidR="008B0921" w:rsidRDefault="00D1019E">
            <w:pPr>
              <w:pStyle w:val="FindingsNormalNumbering"/>
              <w:ind w:left="0" w:firstLine="0"/>
              <w:contextualSpacing w:val="0"/>
            </w:pPr>
            <w:r>
              <w:t>The department should</w:t>
            </w:r>
            <w:r w:rsidR="00D52C6A">
              <w:t xml:space="preserve"> regularly</w:t>
            </w:r>
            <w:r>
              <w:t xml:space="preserve"> review </w:t>
            </w:r>
            <w:r w:rsidR="00DC3966">
              <w:t xml:space="preserve">officers’ access to the </w:t>
            </w:r>
            <w:r w:rsidR="00E86B1B">
              <w:t>Integrated Cargo System</w:t>
            </w:r>
            <w:r>
              <w:t>, particular</w:t>
            </w:r>
            <w:r w:rsidR="00DC3966">
              <w:t>ly</w:t>
            </w:r>
            <w:r>
              <w:t xml:space="preserve"> privileged access to amend or deactiv</w:t>
            </w:r>
            <w:r w:rsidR="00E323B8">
              <w:t>ate SAC profiles</w:t>
            </w:r>
            <w:r w:rsidR="00DC3966">
              <w:t>,</w:t>
            </w:r>
            <w:r w:rsidR="00E323B8">
              <w:t xml:space="preserve"> to ensure </w:t>
            </w:r>
            <w:r w:rsidR="00287042">
              <w:t>such access</w:t>
            </w:r>
            <w:r>
              <w:t xml:space="preserve"> is necessary.</w:t>
            </w:r>
          </w:p>
          <w:p w:rsidR="008B0921" w:rsidRDefault="00D1019E">
            <w:pPr>
              <w:pStyle w:val="FindingsNormalNumbering"/>
              <w:numPr>
                <w:ilvl w:val="0"/>
                <w:numId w:val="0"/>
              </w:numPr>
              <w:contextualSpacing w:val="0"/>
            </w:pPr>
            <w:r w:rsidRPr="00D82EFE">
              <w:rPr>
                <w:b/>
              </w:rPr>
              <w:t xml:space="preserve">Department’s response: </w:t>
            </w:r>
            <w:r w:rsidR="007E220B">
              <w:t>Agreed.</w:t>
            </w:r>
          </w:p>
          <w:p w:rsidR="008B0921" w:rsidRDefault="007E220B">
            <w:pPr>
              <w:spacing w:after="120"/>
            </w:pPr>
            <w:r>
              <w:t>The department has procedures in place to ensure ICS access is only provided to users when such access is deemed necessary, but will look to strengthen these procedures. All Department of Agriculture users are required to hold a minimum 'Baseline Level Security Clearance' before permission is granted to access the ICS. In addition, users wishing to gain ICS access must have their request approved by their supervisor /manager to confirm their job requires access at the requested level. There are several different user levels available within the ICS, however to create or modify profiles users must have access at 'Owner' or 'Authoriser' level. Users with 'Owner' level access cannot create or modify profiles unless approved by someone with 'Authoriser' level access.</w:t>
            </w:r>
          </w:p>
          <w:p w:rsidR="008B0921" w:rsidRDefault="007E220B">
            <w:pPr>
              <w:spacing w:after="120"/>
            </w:pPr>
            <w:r>
              <w:t>Furthermore, the department conducts annual user audits to ensure access is necessary and at appropriate level. The latest audit was conducted in May 2014 and resulted in the number of users with 'Authoriser' level access being reduced from 36 to 12.</w:t>
            </w:r>
          </w:p>
          <w:p w:rsidR="008B0921" w:rsidRDefault="007E220B">
            <w:pPr>
              <w:spacing w:after="120"/>
            </w:pPr>
            <w:r>
              <w:t>In addition to the above measures:</w:t>
            </w:r>
          </w:p>
          <w:p w:rsidR="008B0921" w:rsidRDefault="007E220B">
            <w:pPr>
              <w:spacing w:after="120"/>
            </w:pPr>
            <w:r>
              <w:t>1) ACBPS periodically runs sweeps resulting in any un-used accounts being automatically disabled.</w:t>
            </w:r>
          </w:p>
          <w:p w:rsidR="008B0921" w:rsidRDefault="007E220B">
            <w:pPr>
              <w:spacing w:after="120"/>
            </w:pPr>
            <w:r>
              <w:t>2) The department has procedures in place to remove ICS access when officers leave the department or move to another area within the department where such access/level of access is not necessary.</w:t>
            </w:r>
          </w:p>
          <w:p w:rsidR="008B0921" w:rsidRDefault="007E220B">
            <w:pPr>
              <w:pStyle w:val="FindingsNormalNumbering"/>
              <w:numPr>
                <w:ilvl w:val="0"/>
                <w:numId w:val="0"/>
              </w:numPr>
              <w:contextualSpacing w:val="0"/>
              <w:rPr>
                <w:b/>
              </w:rPr>
            </w:pPr>
            <w:r>
              <w:t>The regular review of officer access to the ICS relating to profiling privileges has also been added to the National Cargo Profiling Management Policy.</w:t>
            </w:r>
          </w:p>
        </w:tc>
      </w:tr>
    </w:tbl>
    <w:p w:rsidR="00D37797" w:rsidRDefault="00D37797" w:rsidP="0035143E">
      <w:pPr>
        <w:pStyle w:val="Findingsub-heading"/>
      </w:pPr>
    </w:p>
    <w:p w:rsidR="00D25219" w:rsidRDefault="00D25219" w:rsidP="0035143E">
      <w:pPr>
        <w:pStyle w:val="Findingsub-heading"/>
      </w:pPr>
      <w:r>
        <w:t xml:space="preserve">Free line screening and </w:t>
      </w:r>
      <w:r w:rsidR="0070447A">
        <w:t>g</w:t>
      </w:r>
      <w:r>
        <w:t xml:space="preserve">eneral </w:t>
      </w:r>
      <w:r w:rsidR="0070447A">
        <w:t>s</w:t>
      </w:r>
      <w:r>
        <w:t>urveillance</w:t>
      </w:r>
    </w:p>
    <w:p w:rsidR="009E46BF" w:rsidRDefault="009E46BF" w:rsidP="009E46BF">
      <w:pPr>
        <w:pStyle w:val="FindingsNormalNumbering"/>
        <w:ind w:left="0" w:firstLine="0"/>
      </w:pPr>
      <w:r>
        <w:t xml:space="preserve">General </w:t>
      </w:r>
      <w:r w:rsidR="0070447A">
        <w:t>s</w:t>
      </w:r>
      <w:r>
        <w:t>urveillance of the air cargo pathway includes surveillance of operation</w:t>
      </w:r>
      <w:r w:rsidR="000C3A58">
        <w:t>s</w:t>
      </w:r>
      <w:r>
        <w:t xml:space="preserve"> and at quarantine approved premises. </w:t>
      </w:r>
      <w:r w:rsidR="0070447A">
        <w:t>The department should continue its j</w:t>
      </w:r>
      <w:r>
        <w:t>oint surveillance activities with the Australian Customs and Border Protection Service</w:t>
      </w:r>
      <w:r w:rsidR="002C1CD4">
        <w:t xml:space="preserve"> across all the regions. Surveillance</w:t>
      </w:r>
      <w:r w:rsidR="00252CB7">
        <w:t xml:space="preserve"> activities</w:t>
      </w:r>
      <w:r w:rsidR="002C1CD4">
        <w:t xml:space="preserve"> a</w:t>
      </w:r>
      <w:r w:rsidR="00E84575">
        <w:t>ssist</w:t>
      </w:r>
      <w:r w:rsidR="002C1CD4">
        <w:t xml:space="preserve"> the department to monitor the overall risk status of the air cargo pathway. It is also important that all surveillance activities </w:t>
      </w:r>
      <w:r w:rsidR="0070447A">
        <w:t xml:space="preserve">and </w:t>
      </w:r>
      <w:r w:rsidR="002C1CD4">
        <w:t xml:space="preserve">information on </w:t>
      </w:r>
      <w:r w:rsidR="00287042">
        <w:t xml:space="preserve">any </w:t>
      </w:r>
      <w:r w:rsidR="002C1CD4">
        <w:t>incidents</w:t>
      </w:r>
      <w:r w:rsidR="00252CB7">
        <w:t xml:space="preserve"> </w:t>
      </w:r>
      <w:r w:rsidR="0070447A">
        <w:t>be recorded to</w:t>
      </w:r>
      <w:r w:rsidR="002C1CD4">
        <w:t xml:space="preserve"> assist the department to improve management of biosecurity risks associated with air cargo.</w:t>
      </w:r>
    </w:p>
    <w:p w:rsidR="00D936E2" w:rsidRPr="00304B57" w:rsidRDefault="002C1CD4" w:rsidP="007D59EA">
      <w:pPr>
        <w:pStyle w:val="FindingsNormalNumbering"/>
        <w:ind w:left="0" w:firstLine="0"/>
      </w:pPr>
      <w:r>
        <w:t xml:space="preserve">Free line air cargo surveillance is </w:t>
      </w:r>
      <w:r w:rsidR="00287042">
        <w:t>important in</w:t>
      </w:r>
      <w:r>
        <w:t xml:space="preserve"> ensuring that the </w:t>
      </w:r>
      <w:r w:rsidR="007D59EA">
        <w:t>department’s</w:t>
      </w:r>
      <w:r>
        <w:t xml:space="preserve"> profiles</w:t>
      </w:r>
      <w:r w:rsidR="00D936E2">
        <w:t xml:space="preserve"> and</w:t>
      </w:r>
      <w:r>
        <w:t xml:space="preserve"> assessment and screening techniques are working efficiently and effectively.</w:t>
      </w:r>
      <w:r w:rsidR="007D59EA">
        <w:t xml:space="preserve"> A random sample of air cargo is screened </w:t>
      </w:r>
      <w:r w:rsidR="00287042">
        <w:t>by</w:t>
      </w:r>
      <w:r w:rsidR="007D59EA">
        <w:t xml:space="preserve"> </w:t>
      </w:r>
      <w:r w:rsidR="00F26CC9">
        <w:t>X</w:t>
      </w:r>
      <w:r w:rsidR="007D59EA">
        <w:t xml:space="preserve">-ray </w:t>
      </w:r>
      <w:r w:rsidR="00E64287">
        <w:t xml:space="preserve">to ensure </w:t>
      </w:r>
      <w:r w:rsidR="00F26CC9">
        <w:t xml:space="preserve">it contains </w:t>
      </w:r>
      <w:r w:rsidR="00E64287">
        <w:t xml:space="preserve">no </w:t>
      </w:r>
      <w:r w:rsidR="00C63AA9">
        <w:t>articles</w:t>
      </w:r>
      <w:r w:rsidR="00E64287">
        <w:t xml:space="preserve"> of biosecurity concern. If </w:t>
      </w:r>
      <w:r w:rsidR="00F26CC9">
        <w:t xml:space="preserve">the screening </w:t>
      </w:r>
      <w:r w:rsidR="00E64287">
        <w:t>detect</w:t>
      </w:r>
      <w:r w:rsidR="00F26CC9">
        <w:t>s items</w:t>
      </w:r>
      <w:r w:rsidR="00E64287">
        <w:t xml:space="preserve"> that have </w:t>
      </w:r>
      <w:r w:rsidR="00F26CC9">
        <w:t xml:space="preserve">otherwise </w:t>
      </w:r>
      <w:r w:rsidR="00E64287">
        <w:t>bypassed the department</w:t>
      </w:r>
      <w:r w:rsidR="00F26CC9">
        <w:t>’</w:t>
      </w:r>
      <w:r w:rsidR="00E64287">
        <w:t xml:space="preserve">s controls, </w:t>
      </w:r>
      <w:r w:rsidR="00F26CC9">
        <w:t xml:space="preserve">the department uses </w:t>
      </w:r>
      <w:r w:rsidR="00E64287">
        <w:t xml:space="preserve">these to enhance and improve </w:t>
      </w:r>
      <w:r w:rsidR="00F26CC9">
        <w:t xml:space="preserve">its </w:t>
      </w:r>
      <w:r w:rsidR="00E64287" w:rsidRPr="00304B57">
        <w:t>profiles and assessment techniques</w:t>
      </w:r>
      <w:r w:rsidR="000A237A">
        <w:t>.</w:t>
      </w:r>
    </w:p>
    <w:p w:rsidR="00DB380A" w:rsidRDefault="00252CB7" w:rsidP="00304B57">
      <w:pPr>
        <w:pStyle w:val="FindingsNormalNumbering"/>
        <w:ind w:left="0" w:firstLine="0"/>
      </w:pPr>
      <w:r w:rsidRPr="00304B57">
        <w:lastRenderedPageBreak/>
        <w:t xml:space="preserve">During fieldwork for this audit, the IIGB was informed </w:t>
      </w:r>
      <w:r w:rsidR="00011E62">
        <w:t>that</w:t>
      </w:r>
      <w:r w:rsidR="00011E62" w:rsidRPr="00361DE5">
        <w:t xml:space="preserve"> </w:t>
      </w:r>
      <w:r w:rsidR="00C8699A">
        <w:t>one location</w:t>
      </w:r>
      <w:r w:rsidR="00011E62">
        <w:t xml:space="preserve"> is not undertaking free</w:t>
      </w:r>
      <w:r w:rsidR="00CD4A4F">
        <w:t xml:space="preserve"> </w:t>
      </w:r>
      <w:r w:rsidR="00011E62">
        <w:t>line surveillance due to difficulties accessing cargo during deconsolidation.</w:t>
      </w:r>
      <w:r w:rsidR="00304B57" w:rsidRPr="00304B57">
        <w:t xml:space="preserve"> </w:t>
      </w:r>
      <w:r w:rsidRPr="00304B57">
        <w:t xml:space="preserve">Regional air cargo staff record results from free line surveillance on the Air Cargo </w:t>
      </w:r>
      <w:r w:rsidR="00E323B8" w:rsidRPr="00304B57">
        <w:t>SharePoint</w:t>
      </w:r>
      <w:r w:rsidRPr="00304B57">
        <w:t xml:space="preserve"> site</w:t>
      </w:r>
      <w:r w:rsidR="00AB3117">
        <w:t xml:space="preserve">. </w:t>
      </w:r>
    </w:p>
    <w:p w:rsidR="00E1338E" w:rsidRDefault="00304B57" w:rsidP="00E1338E">
      <w:pPr>
        <w:pStyle w:val="FindingsNormalNumbering"/>
        <w:ind w:left="0" w:firstLine="0"/>
      </w:pPr>
      <w:r>
        <w:t xml:space="preserve">The type of </w:t>
      </w:r>
      <w:r w:rsidR="000C3A58">
        <w:t xml:space="preserve">air </w:t>
      </w:r>
      <w:r w:rsidR="00D158FB">
        <w:t>cargo</w:t>
      </w:r>
      <w:r>
        <w:t xml:space="preserve"> received</w:t>
      </w:r>
      <w:r w:rsidR="00D158FB">
        <w:t xml:space="preserve"> in Australia varies</w:t>
      </w:r>
      <w:r>
        <w:t xml:space="preserve"> from region to region</w:t>
      </w:r>
      <w:r w:rsidR="0006114C">
        <w:t>.</w:t>
      </w:r>
      <w:r>
        <w:t xml:space="preserve"> </w:t>
      </w:r>
      <w:r w:rsidR="0006114C">
        <w:t xml:space="preserve">For </w:t>
      </w:r>
      <w:r>
        <w:t>example</w:t>
      </w:r>
      <w:r w:rsidR="0006114C">
        <w:t>,</w:t>
      </w:r>
      <w:r>
        <w:t xml:space="preserve"> Perth</w:t>
      </w:r>
      <w:r w:rsidR="000C3A58">
        <w:t xml:space="preserve"> </w:t>
      </w:r>
      <w:r>
        <w:t>receives large volumes of soil and rock samples for testing</w:t>
      </w:r>
      <w:r w:rsidR="0006114C">
        <w:t xml:space="preserve"> because of</w:t>
      </w:r>
      <w:r>
        <w:t xml:space="preserve"> </w:t>
      </w:r>
      <w:r w:rsidR="000C3A58">
        <w:t xml:space="preserve">extensive </w:t>
      </w:r>
      <w:r>
        <w:t xml:space="preserve">mining </w:t>
      </w:r>
      <w:r w:rsidR="000C3A58">
        <w:t>operations, and associated analytical facilities</w:t>
      </w:r>
      <w:r w:rsidR="0006114C">
        <w:t>,</w:t>
      </w:r>
      <w:r>
        <w:t xml:space="preserve"> in Western Australia</w:t>
      </w:r>
      <w:r w:rsidR="0006114C">
        <w:t>.</w:t>
      </w:r>
      <w:r>
        <w:t xml:space="preserve"> </w:t>
      </w:r>
      <w:r w:rsidR="0006114C">
        <w:t xml:space="preserve">Other </w:t>
      </w:r>
      <w:r>
        <w:t xml:space="preserve">regions </w:t>
      </w:r>
      <w:r w:rsidR="00287042">
        <w:t xml:space="preserve">generally </w:t>
      </w:r>
      <w:r>
        <w:t>would not receive these goods.</w:t>
      </w:r>
      <w:r w:rsidRPr="00304B57">
        <w:t xml:space="preserve"> It is </w:t>
      </w:r>
      <w:r w:rsidR="000C3A58">
        <w:t>important</w:t>
      </w:r>
      <w:r w:rsidRPr="00304B57">
        <w:t xml:space="preserve"> that </w:t>
      </w:r>
      <w:r w:rsidR="0006114C">
        <w:t xml:space="preserve">all regions undertake </w:t>
      </w:r>
      <w:r w:rsidRPr="00304B57">
        <w:t>free line surveillance to en</w:t>
      </w:r>
      <w:r>
        <w:t>sure the department manag</w:t>
      </w:r>
      <w:r w:rsidR="0006114C">
        <w:t>es</w:t>
      </w:r>
      <w:r>
        <w:t xml:space="preserve"> biosecurity risks across all types of </w:t>
      </w:r>
      <w:r w:rsidR="00D158FB">
        <w:t>cargo</w:t>
      </w:r>
      <w:r>
        <w:t xml:space="preserve"> and regions. This w</w:t>
      </w:r>
      <w:r w:rsidR="00287042">
        <w:t>ould</w:t>
      </w:r>
      <w:r>
        <w:t xml:space="preserve"> increase the likelihood that profiles </w:t>
      </w:r>
      <w:r w:rsidR="0000633A">
        <w:t>are</w:t>
      </w:r>
      <w:r w:rsidR="00363783">
        <w:t xml:space="preserve"> </w:t>
      </w:r>
      <w:r>
        <w:t>working effe</w:t>
      </w:r>
      <w:r w:rsidR="00E84575">
        <w:t>ctively.</w:t>
      </w:r>
    </w:p>
    <w:p w:rsidR="00A2610C" w:rsidRDefault="00A2610C" w:rsidP="00A2610C">
      <w:pPr>
        <w:pStyle w:val="FindingsNormalNumbering"/>
        <w:numPr>
          <w:ilvl w:val="0"/>
          <w:numId w:val="0"/>
        </w:num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tblGrid>
      <w:tr w:rsidR="00304B57" w:rsidRPr="00864127" w:rsidTr="00304B57">
        <w:tc>
          <w:tcPr>
            <w:tcW w:w="8364" w:type="dxa"/>
            <w:vAlign w:val="center"/>
          </w:tcPr>
          <w:p w:rsidR="00304B57" w:rsidRPr="00D046F0" w:rsidRDefault="00304B57" w:rsidP="00304B57">
            <w:pPr>
              <w:pStyle w:val="FindingsNormalNumbering"/>
              <w:numPr>
                <w:ilvl w:val="0"/>
                <w:numId w:val="0"/>
              </w:numPr>
            </w:pPr>
            <w:r>
              <w:br w:type="page"/>
            </w:r>
            <w:r>
              <w:rPr>
                <w:b/>
              </w:rPr>
              <w:t xml:space="preserve">Recommendation </w:t>
            </w:r>
            <w:r w:rsidR="0013451C">
              <w:rPr>
                <w:b/>
              </w:rPr>
              <w:t>6</w:t>
            </w:r>
          </w:p>
          <w:p w:rsidR="008B0921" w:rsidRDefault="0000633A">
            <w:pPr>
              <w:pStyle w:val="FindingsNormalNumbering"/>
              <w:ind w:left="0" w:firstLine="0"/>
              <w:contextualSpacing w:val="0"/>
            </w:pPr>
            <w:r>
              <w:t>The department should ensure that all regions perform free line surveillance activities regularly to determine if the department’s profiles and assessment and screening techniques are efficient and effective.</w:t>
            </w:r>
          </w:p>
          <w:p w:rsidR="008B0921" w:rsidRDefault="00304B57">
            <w:pPr>
              <w:pStyle w:val="FindingsNormalNumbering"/>
              <w:numPr>
                <w:ilvl w:val="0"/>
                <w:numId w:val="0"/>
              </w:numPr>
              <w:contextualSpacing w:val="0"/>
            </w:pPr>
            <w:r w:rsidRPr="000D32A8">
              <w:rPr>
                <w:b/>
              </w:rPr>
              <w:t xml:space="preserve">Department’s response: </w:t>
            </w:r>
            <w:r w:rsidR="007E220B">
              <w:t>Agreed.</w:t>
            </w:r>
          </w:p>
          <w:p w:rsidR="008B0921" w:rsidRDefault="007E220B">
            <w:pPr>
              <w:spacing w:after="120"/>
            </w:pPr>
            <w:r>
              <w:t>The department notes the value of free line surveillance and undertakes this activity in the higher volume regions. The national data collected from this activity is used to determine the effectiveness and efficiency of the department's controls and confirms that the current profiles are targeting and managing high risk cargo.</w:t>
            </w:r>
          </w:p>
        </w:tc>
      </w:tr>
    </w:tbl>
    <w:p w:rsidR="00E37F01" w:rsidRDefault="00D25219" w:rsidP="000D32A8">
      <w:pPr>
        <w:pStyle w:val="Findingsub-heading"/>
      </w:pPr>
      <w:r>
        <w:t>Us</w:t>
      </w:r>
      <w:r w:rsidR="0035143E">
        <w:t>e</w:t>
      </w:r>
      <w:r w:rsidR="00E1338E">
        <w:t xml:space="preserve"> of t</w:t>
      </w:r>
      <w:r>
        <w:t>echnology</w:t>
      </w:r>
      <w:r w:rsidR="00E1338E">
        <w:t xml:space="preserve"> and detection methods</w:t>
      </w:r>
    </w:p>
    <w:p w:rsidR="000D32A8" w:rsidRDefault="000A237A" w:rsidP="00E37F01">
      <w:pPr>
        <w:pStyle w:val="FindingsNormalNumbering"/>
        <w:ind w:left="0" w:firstLine="0"/>
      </w:pPr>
      <w:r w:rsidRPr="000A237A">
        <w:t xml:space="preserve">Regional </w:t>
      </w:r>
      <w:r w:rsidR="00D06D73">
        <w:t xml:space="preserve">department </w:t>
      </w:r>
      <w:proofErr w:type="gramStart"/>
      <w:r w:rsidRPr="000A237A">
        <w:t>staff inspect</w:t>
      </w:r>
      <w:proofErr w:type="gramEnd"/>
      <w:r w:rsidRPr="000A237A">
        <w:t xml:space="preserve"> SAC consignments at</w:t>
      </w:r>
      <w:r w:rsidR="0000633A">
        <w:t xml:space="preserve"> the</w:t>
      </w:r>
      <w:r w:rsidRPr="000A237A">
        <w:t xml:space="preserve"> CAPEC and non-CAPEC premises. </w:t>
      </w:r>
      <w:r w:rsidR="00606ABF">
        <w:t>Some CAPEC premises have facilities available for department staff so that SAC consignments can be processed and released efficient</w:t>
      </w:r>
      <w:r w:rsidR="00BA709B">
        <w:t>ly</w:t>
      </w:r>
      <w:r w:rsidR="00606ABF">
        <w:t xml:space="preserve">. </w:t>
      </w:r>
      <w:r>
        <w:t xml:space="preserve">Some of these premises are </w:t>
      </w:r>
      <w:r w:rsidR="00D06D73">
        <w:t xml:space="preserve">located </w:t>
      </w:r>
      <w:r w:rsidR="000C3A58">
        <w:t>significant</w:t>
      </w:r>
      <w:r>
        <w:t xml:space="preserve"> distances from the department’s regional offices and from each other</w:t>
      </w:r>
      <w:r w:rsidR="00BA709B">
        <w:t>,</w:t>
      </w:r>
      <w:r w:rsidR="00606ABF">
        <w:t xml:space="preserve"> and </w:t>
      </w:r>
      <w:r w:rsidR="00D06D73">
        <w:t xml:space="preserve">while at the premises </w:t>
      </w:r>
      <w:r w:rsidR="00606ABF">
        <w:t xml:space="preserve">staff do not have access to the department’s </w:t>
      </w:r>
      <w:r w:rsidR="007D5882">
        <w:t xml:space="preserve">IT </w:t>
      </w:r>
      <w:r w:rsidR="00606ABF">
        <w:t>system</w:t>
      </w:r>
      <w:r w:rsidR="007D5882">
        <w:t>(s)</w:t>
      </w:r>
      <w:r w:rsidR="00606ABF">
        <w:t xml:space="preserve"> to release SAC consignments. </w:t>
      </w:r>
      <w:r w:rsidR="00E1338E">
        <w:t>The inspectors</w:t>
      </w:r>
      <w:r w:rsidR="00606ABF">
        <w:t xml:space="preserve"> either contact staff</w:t>
      </w:r>
      <w:r w:rsidR="00E1338E">
        <w:t xml:space="preserve"> by phone</w:t>
      </w:r>
      <w:r w:rsidR="00606ABF">
        <w:t xml:space="preserve"> at the regional office to </w:t>
      </w:r>
      <w:r w:rsidR="000C3A58">
        <w:t>enter</w:t>
      </w:r>
      <w:r w:rsidR="00606ABF">
        <w:t xml:space="preserve"> their results in</w:t>
      </w:r>
      <w:r w:rsidR="00BA709B">
        <w:t>to</w:t>
      </w:r>
      <w:r w:rsidR="00606ABF">
        <w:t xml:space="preserve"> the department’s systems or </w:t>
      </w:r>
      <w:r w:rsidR="00BA709B">
        <w:t xml:space="preserve">return to the office to </w:t>
      </w:r>
      <w:r w:rsidR="00606ABF">
        <w:t>complete processing.</w:t>
      </w:r>
    </w:p>
    <w:p w:rsidR="00606ABF" w:rsidRPr="000A237A" w:rsidRDefault="00606ABF" w:rsidP="00E37F01">
      <w:pPr>
        <w:pStyle w:val="FindingsNormalNumbering"/>
        <w:ind w:left="0" w:firstLine="0"/>
      </w:pPr>
      <w:r>
        <w:t>The department is trial</w:t>
      </w:r>
      <w:r w:rsidR="00BA709B">
        <w:t>ling</w:t>
      </w:r>
      <w:r>
        <w:t xml:space="preserve"> mobile devices to assist </w:t>
      </w:r>
      <w:r w:rsidR="008E054C">
        <w:t xml:space="preserve">staff to </w:t>
      </w:r>
      <w:r>
        <w:t>process imported cargo</w:t>
      </w:r>
      <w:r w:rsidR="008E054C">
        <w:t xml:space="preserve"> </w:t>
      </w:r>
      <w:r w:rsidR="00287042">
        <w:t xml:space="preserve">more </w:t>
      </w:r>
      <w:r w:rsidR="008E054C">
        <w:t>efficiently</w:t>
      </w:r>
      <w:r>
        <w:t xml:space="preserve">. Staff complete inspections and </w:t>
      </w:r>
      <w:r w:rsidR="008E054C">
        <w:t xml:space="preserve">then enter </w:t>
      </w:r>
      <w:r>
        <w:t>information in</w:t>
      </w:r>
      <w:r w:rsidR="008E054C">
        <w:t>to</w:t>
      </w:r>
      <w:r>
        <w:t xml:space="preserve"> the depa</w:t>
      </w:r>
      <w:r w:rsidR="000B4BD4">
        <w:t xml:space="preserve">rtment’s systems at </w:t>
      </w:r>
      <w:r w:rsidR="008A5BB3">
        <w:t xml:space="preserve">the </w:t>
      </w:r>
      <w:r w:rsidR="008A5BB3" w:rsidRPr="000A237A">
        <w:t xml:space="preserve">CAPEC </w:t>
      </w:r>
      <w:r w:rsidR="008A5BB3">
        <w:t>or</w:t>
      </w:r>
      <w:r w:rsidR="008A5BB3" w:rsidRPr="000A237A">
        <w:t xml:space="preserve"> non-CAPEC</w:t>
      </w:r>
      <w:r w:rsidR="008A5BB3">
        <w:t xml:space="preserve"> </w:t>
      </w:r>
      <w:r w:rsidR="000B4BD4">
        <w:t>premise</w:t>
      </w:r>
      <w:r w:rsidR="000C3A58">
        <w:t>s</w:t>
      </w:r>
      <w:r w:rsidR="00C13BAD">
        <w:t xml:space="preserve">, hence improving efficiency. The department </w:t>
      </w:r>
      <w:r w:rsidR="00287042">
        <w:t xml:space="preserve">then </w:t>
      </w:r>
      <w:r w:rsidR="00C13BAD">
        <w:t>would be able to charge clients fairly and accurately on the total time taken to complete the inspection(s).</w:t>
      </w:r>
    </w:p>
    <w:p w:rsidR="00E37F01" w:rsidRDefault="00E37F01" w:rsidP="00E37F01">
      <w:pPr>
        <w:pStyle w:val="FindingsNormalNumbering"/>
        <w:ind w:left="0" w:firstLine="0"/>
      </w:pPr>
      <w:r>
        <w:t xml:space="preserve">The </w:t>
      </w:r>
      <w:r w:rsidR="00B10899">
        <w:t>department</w:t>
      </w:r>
      <w:r w:rsidR="00AA3D9D">
        <w:t xml:space="preserve"> currently</w:t>
      </w:r>
      <w:r>
        <w:t xml:space="preserve"> does not use detector dogs to screen SAC consi</w:t>
      </w:r>
      <w:r w:rsidR="00CF1D3E">
        <w:t xml:space="preserve">gnments arriving in Australia. </w:t>
      </w:r>
      <w:r w:rsidR="008E054C">
        <w:t>The use</w:t>
      </w:r>
      <w:r w:rsidR="00AA3D9D">
        <w:t xml:space="preserve"> of</w:t>
      </w:r>
      <w:r w:rsidR="008E054C">
        <w:t xml:space="preserve"> detector dogs </w:t>
      </w:r>
      <w:r>
        <w:t xml:space="preserve">in the future, </w:t>
      </w:r>
      <w:r w:rsidR="00AA3D9D">
        <w:t xml:space="preserve">could </w:t>
      </w:r>
      <w:r>
        <w:t xml:space="preserve">potentially </w:t>
      </w:r>
      <w:r w:rsidR="00AA3D9D">
        <w:t>improve the effectiveness of</w:t>
      </w:r>
      <w:r>
        <w:t xml:space="preserve"> free line or g</w:t>
      </w:r>
      <w:r w:rsidR="00C13BAD">
        <w:t>eneral surveillance.</w:t>
      </w:r>
    </w:p>
    <w:p w:rsidR="00E74FA6" w:rsidRDefault="00E74FA6" w:rsidP="0035143E">
      <w:pPr>
        <w:pStyle w:val="Findingsub-heading"/>
      </w:pPr>
    </w:p>
    <w:p w:rsidR="006568EA" w:rsidRDefault="006568EA" w:rsidP="0035143E">
      <w:pPr>
        <w:pStyle w:val="Findingsub-heading"/>
      </w:pPr>
    </w:p>
    <w:p w:rsidR="00066477" w:rsidRDefault="00066477" w:rsidP="0035143E">
      <w:pPr>
        <w:pStyle w:val="Findingsub-heading"/>
      </w:pPr>
    </w:p>
    <w:p w:rsidR="00066477" w:rsidRDefault="00066477" w:rsidP="0035143E">
      <w:pPr>
        <w:pStyle w:val="Findingsub-heading"/>
      </w:pPr>
    </w:p>
    <w:p w:rsidR="00066477" w:rsidRDefault="00066477" w:rsidP="0035143E">
      <w:pPr>
        <w:pStyle w:val="Findingsub-heading"/>
      </w:pPr>
    </w:p>
    <w:p w:rsidR="00E74FA6" w:rsidRDefault="00E74FA6" w:rsidP="0035143E">
      <w:pPr>
        <w:pStyle w:val="Findingsub-heading"/>
      </w:pPr>
    </w:p>
    <w:p w:rsidR="00D25219" w:rsidRPr="00CF1D3E" w:rsidRDefault="00D25219" w:rsidP="0035143E">
      <w:pPr>
        <w:pStyle w:val="Findingsub-heading"/>
      </w:pPr>
      <w:r w:rsidRPr="00CF1D3E">
        <w:lastRenderedPageBreak/>
        <w:t>Commun</w:t>
      </w:r>
      <w:r w:rsidR="00CF1D3E">
        <w:t>ication</w:t>
      </w:r>
    </w:p>
    <w:p w:rsidR="00CF1DDB" w:rsidRPr="0013451C" w:rsidRDefault="00CF1DDB" w:rsidP="00CF1DDB">
      <w:pPr>
        <w:pStyle w:val="FindingsNormalNumbering"/>
        <w:ind w:left="0" w:firstLine="0"/>
      </w:pPr>
      <w:r w:rsidRPr="0013451C">
        <w:t xml:space="preserve">SAC NCC produces monthly updates on </w:t>
      </w:r>
      <w:r w:rsidR="00703126" w:rsidRPr="0013451C">
        <w:t>the number of SAC consignments screened</w:t>
      </w:r>
      <w:r w:rsidR="008E054C" w:rsidRPr="0013451C">
        <w:t xml:space="preserve">. </w:t>
      </w:r>
      <w:r w:rsidR="00006EC8" w:rsidRPr="0013451C">
        <w:t>The updates</w:t>
      </w:r>
      <w:r w:rsidR="008E054C" w:rsidRPr="0013451C">
        <w:t xml:space="preserve"> </w:t>
      </w:r>
      <w:r w:rsidR="00006EC8" w:rsidRPr="0013451C">
        <w:t>provide</w:t>
      </w:r>
      <w:r w:rsidR="0059337B" w:rsidRPr="0013451C">
        <w:t xml:space="preserve"> a yearly comparison</w:t>
      </w:r>
      <w:r w:rsidR="008E054C" w:rsidRPr="0013451C">
        <w:t xml:space="preserve"> and report on</w:t>
      </w:r>
      <w:r w:rsidR="0059337B" w:rsidRPr="0013451C">
        <w:t xml:space="preserve"> profile effectiveness</w:t>
      </w:r>
      <w:r w:rsidR="008E054C" w:rsidRPr="0013451C">
        <w:t xml:space="preserve"> and</w:t>
      </w:r>
      <w:r w:rsidR="00703126" w:rsidRPr="0013451C">
        <w:t xml:space="preserve"> other operational information such as staffing levels and incidents.</w:t>
      </w:r>
      <w:r w:rsidR="00151ED8" w:rsidRPr="0013451C">
        <w:t xml:space="preserve"> </w:t>
      </w:r>
      <w:r w:rsidR="00006EC8" w:rsidRPr="0013451C">
        <w:t xml:space="preserve">SAC NCC </w:t>
      </w:r>
      <w:r w:rsidR="00151ED8" w:rsidRPr="0013451C">
        <w:t>provide</w:t>
      </w:r>
      <w:r w:rsidR="00AF1D53" w:rsidRPr="0013451C">
        <w:t>s</w:t>
      </w:r>
      <w:r w:rsidR="0070163B" w:rsidRPr="0013451C">
        <w:t xml:space="preserve"> </w:t>
      </w:r>
      <w:r w:rsidR="00006EC8" w:rsidRPr="0013451C">
        <w:t xml:space="preserve">the updates </w:t>
      </w:r>
      <w:r w:rsidR="00151ED8" w:rsidRPr="0013451C">
        <w:t>to the Cargo Executive</w:t>
      </w:r>
      <w:r w:rsidR="00CF1D3E" w:rsidRPr="0013451C">
        <w:t xml:space="preserve"> for oversight.</w:t>
      </w:r>
    </w:p>
    <w:p w:rsidR="004E6FF0" w:rsidRPr="0013451C" w:rsidRDefault="00CF1D3E" w:rsidP="00CF1D3E">
      <w:pPr>
        <w:pStyle w:val="FindingsNormalNumbering"/>
        <w:ind w:left="0" w:firstLine="0"/>
        <w:rPr>
          <w:rFonts w:cs="Calibri"/>
          <w:color w:val="000000"/>
        </w:rPr>
      </w:pPr>
      <w:r w:rsidRPr="0013451C">
        <w:rPr>
          <w:rFonts w:cs="Calibri"/>
          <w:color w:val="000000"/>
        </w:rPr>
        <w:t xml:space="preserve">The IIGB noted </w:t>
      </w:r>
      <w:r w:rsidR="006F74E7" w:rsidRPr="0013451C">
        <w:rPr>
          <w:rFonts w:cs="Calibri"/>
          <w:color w:val="000000"/>
        </w:rPr>
        <w:t>that</w:t>
      </w:r>
      <w:r w:rsidRPr="0013451C">
        <w:rPr>
          <w:rFonts w:cs="Calibri"/>
          <w:color w:val="000000"/>
        </w:rPr>
        <w:t xml:space="preserve"> communication and information sharing between</w:t>
      </w:r>
      <w:r w:rsidR="0000633A" w:rsidRPr="0013451C">
        <w:rPr>
          <w:rFonts w:cs="Calibri"/>
          <w:color w:val="000000"/>
        </w:rPr>
        <w:t xml:space="preserve"> the</w:t>
      </w:r>
      <w:r w:rsidRPr="0013451C">
        <w:rPr>
          <w:rFonts w:cs="Calibri"/>
          <w:color w:val="000000"/>
        </w:rPr>
        <w:t xml:space="preserve"> Cargo Program and the Mail Program </w:t>
      </w:r>
      <w:r w:rsidR="004E6FF0" w:rsidRPr="0013451C">
        <w:rPr>
          <w:rFonts w:cs="Calibri"/>
          <w:color w:val="000000"/>
        </w:rPr>
        <w:t xml:space="preserve">officers </w:t>
      </w:r>
      <w:r w:rsidR="007D5882" w:rsidRPr="0013451C">
        <w:rPr>
          <w:rFonts w:cs="Calibri"/>
          <w:color w:val="000000"/>
        </w:rPr>
        <w:t>regarding</w:t>
      </w:r>
      <w:r w:rsidRPr="0013451C">
        <w:rPr>
          <w:rFonts w:cs="Calibri"/>
          <w:color w:val="000000"/>
        </w:rPr>
        <w:t xml:space="preserve"> emerging risks</w:t>
      </w:r>
      <w:r w:rsidR="006F74E7" w:rsidRPr="0013451C">
        <w:rPr>
          <w:rFonts w:cs="Calibri"/>
          <w:color w:val="000000"/>
        </w:rPr>
        <w:t xml:space="preserve"> </w:t>
      </w:r>
      <w:r w:rsidR="0013451C" w:rsidRPr="0013451C">
        <w:rPr>
          <w:rFonts w:cs="Calibri"/>
          <w:color w:val="000000"/>
        </w:rPr>
        <w:t>appeared to be</w:t>
      </w:r>
      <w:r w:rsidR="006F74E7" w:rsidRPr="0013451C">
        <w:rPr>
          <w:rFonts w:cs="Calibri"/>
          <w:color w:val="000000"/>
        </w:rPr>
        <w:t xml:space="preserve"> limited</w:t>
      </w:r>
      <w:r w:rsidRPr="0013451C">
        <w:rPr>
          <w:rFonts w:cs="Calibri"/>
          <w:color w:val="000000"/>
        </w:rPr>
        <w:t xml:space="preserve">. Given that </w:t>
      </w:r>
      <w:r w:rsidR="00C65D07" w:rsidRPr="0013451C">
        <w:rPr>
          <w:rFonts w:cs="Calibri"/>
          <w:color w:val="000000"/>
        </w:rPr>
        <w:t xml:space="preserve">the </w:t>
      </w:r>
      <w:r w:rsidRPr="0013451C">
        <w:rPr>
          <w:rFonts w:cs="Calibri"/>
          <w:color w:val="000000"/>
        </w:rPr>
        <w:t xml:space="preserve">programs deal with similar products, especially international online purchases, </w:t>
      </w:r>
      <w:r w:rsidR="00C65D07" w:rsidRPr="0013451C">
        <w:rPr>
          <w:rFonts w:cs="Calibri"/>
          <w:color w:val="000000"/>
        </w:rPr>
        <w:t xml:space="preserve">they </w:t>
      </w:r>
      <w:r w:rsidRPr="0013451C">
        <w:rPr>
          <w:rFonts w:cs="Calibri"/>
          <w:color w:val="000000"/>
        </w:rPr>
        <w:t>would benefit</w:t>
      </w:r>
      <w:r w:rsidR="00C65D07" w:rsidRPr="0013451C">
        <w:rPr>
          <w:rFonts w:cs="Calibri"/>
          <w:color w:val="000000"/>
        </w:rPr>
        <w:t xml:space="preserve"> from</w:t>
      </w:r>
      <w:r w:rsidRPr="0013451C">
        <w:rPr>
          <w:rFonts w:cs="Calibri"/>
          <w:color w:val="000000"/>
        </w:rPr>
        <w:t xml:space="preserve"> shar</w:t>
      </w:r>
      <w:r w:rsidR="00C65D07" w:rsidRPr="0013451C">
        <w:rPr>
          <w:rFonts w:cs="Calibri"/>
          <w:color w:val="000000"/>
        </w:rPr>
        <w:t>ing</w:t>
      </w:r>
      <w:r w:rsidRPr="0013451C">
        <w:rPr>
          <w:rFonts w:cs="Calibri"/>
          <w:color w:val="000000"/>
        </w:rPr>
        <w:t xml:space="preserve"> information on trends, risks and detections.</w:t>
      </w:r>
      <w:r w:rsidR="0013451C" w:rsidRPr="0013451C">
        <w:rPr>
          <w:rFonts w:cs="Calibri"/>
          <w:color w:val="000000"/>
        </w:rPr>
        <w:t xml:space="preserve"> </w:t>
      </w:r>
      <w:r w:rsidR="003D74A1">
        <w:t xml:space="preserve">It should be noted that since </w:t>
      </w:r>
      <w:r w:rsidR="0013451C" w:rsidRPr="0013451C">
        <w:t>1 May 2014, the Compliance Division has been restructured, with a merging of the mail and cargo sections; this has enhanced the sharing of information.</w:t>
      </w:r>
    </w:p>
    <w:p w:rsidR="00934F69" w:rsidRPr="0013451C" w:rsidRDefault="00934F69" w:rsidP="00934F69">
      <w:pPr>
        <w:pStyle w:val="FindingsNormalNumbering"/>
        <w:ind w:left="0" w:firstLine="0"/>
      </w:pPr>
      <w:r w:rsidRPr="0013451C">
        <w:t>The department assess</w:t>
      </w:r>
      <w:r w:rsidR="00231E28" w:rsidRPr="0013451C">
        <w:t>es</w:t>
      </w:r>
      <w:r w:rsidRPr="0013451C">
        <w:t xml:space="preserve"> </w:t>
      </w:r>
      <w:r w:rsidR="00C65D07" w:rsidRPr="0013451C">
        <w:t xml:space="preserve">international online supplier </w:t>
      </w:r>
      <w:r w:rsidRPr="0013451C">
        <w:t xml:space="preserve">product catalogue </w:t>
      </w:r>
      <w:r w:rsidR="00C65D07" w:rsidRPr="0013451C">
        <w:t xml:space="preserve">information </w:t>
      </w:r>
      <w:r w:rsidRPr="0013451C">
        <w:t xml:space="preserve">to determine </w:t>
      </w:r>
      <w:r w:rsidR="00C65D07" w:rsidRPr="0013451C">
        <w:t xml:space="preserve">a product’s </w:t>
      </w:r>
      <w:r w:rsidRPr="0013451C">
        <w:t xml:space="preserve">biosecurity risk prior to </w:t>
      </w:r>
      <w:r w:rsidR="00C65D07" w:rsidRPr="0013451C">
        <w:t xml:space="preserve">its </w:t>
      </w:r>
      <w:r w:rsidRPr="0013451C">
        <w:t xml:space="preserve">import into Australia. If the department </w:t>
      </w:r>
      <w:r w:rsidR="00C65D07" w:rsidRPr="0013451C">
        <w:t xml:space="preserve">considered the product had </w:t>
      </w:r>
      <w:r w:rsidRPr="0013451C">
        <w:t xml:space="preserve">an acceptably low level of biosecurity risk, </w:t>
      </w:r>
      <w:r w:rsidR="00C65D07" w:rsidRPr="0013451C">
        <w:t xml:space="preserve">it could </w:t>
      </w:r>
      <w:r w:rsidRPr="0013451C">
        <w:t xml:space="preserve">exclude </w:t>
      </w:r>
      <w:r w:rsidR="00C65D07" w:rsidRPr="0013451C">
        <w:t xml:space="preserve">that product </w:t>
      </w:r>
      <w:r w:rsidRPr="0013451C">
        <w:t>from assessment and profile screening. This</w:t>
      </w:r>
      <w:r w:rsidR="007A7783" w:rsidRPr="0013451C">
        <w:t xml:space="preserve"> is </w:t>
      </w:r>
      <w:r w:rsidRPr="0013451C">
        <w:t xml:space="preserve">a </w:t>
      </w:r>
      <w:r w:rsidR="000C3A58" w:rsidRPr="0013451C">
        <w:t>positive</w:t>
      </w:r>
      <w:r w:rsidRPr="0013451C">
        <w:t xml:space="preserve"> initiative to facilitate </w:t>
      </w:r>
      <w:r w:rsidR="00DB4F3C" w:rsidRPr="0013451C">
        <w:t xml:space="preserve">air cargo </w:t>
      </w:r>
      <w:r w:rsidRPr="0013451C">
        <w:t>clearance.</w:t>
      </w:r>
    </w:p>
    <w:p w:rsidR="00934F69" w:rsidRDefault="00934F69" w:rsidP="00934F69">
      <w:pPr>
        <w:pStyle w:val="FindingsNormalNumbering"/>
        <w:ind w:left="0" w:firstLine="0"/>
      </w:pPr>
      <w:r w:rsidRPr="0013451C">
        <w:t xml:space="preserve">When </w:t>
      </w:r>
      <w:r w:rsidR="00DB4F3C" w:rsidRPr="0013451C">
        <w:t xml:space="preserve">the department detects </w:t>
      </w:r>
      <w:r w:rsidRPr="0013451C">
        <w:t xml:space="preserve">prohibited items </w:t>
      </w:r>
      <w:r w:rsidR="00DB4F3C" w:rsidRPr="0013451C">
        <w:t>through</w:t>
      </w:r>
      <w:r w:rsidRPr="0013451C">
        <w:t xml:space="preserve"> inspection, </w:t>
      </w:r>
      <w:r w:rsidR="00DB4F3C" w:rsidRPr="0013451C">
        <w:t xml:space="preserve">it </w:t>
      </w:r>
      <w:r w:rsidRPr="0013451C">
        <w:t>liaise</w:t>
      </w:r>
      <w:r w:rsidR="00DB4F3C" w:rsidRPr="0013451C">
        <w:t>s</w:t>
      </w:r>
      <w:r w:rsidRPr="0013451C">
        <w:t xml:space="preserve"> with overseas suppliers either</w:t>
      </w:r>
      <w:r w:rsidRPr="00D44DA3">
        <w:t xml:space="preserve"> directly or through</w:t>
      </w:r>
      <w:r w:rsidR="00231E28">
        <w:t xml:space="preserve"> the</w:t>
      </w:r>
      <w:r w:rsidRPr="00D44DA3">
        <w:t xml:space="preserve"> CAPEC members</w:t>
      </w:r>
      <w:r w:rsidR="000C3A58">
        <w:t xml:space="preserve"> and</w:t>
      </w:r>
      <w:r w:rsidRPr="00D44DA3">
        <w:t xml:space="preserve"> </w:t>
      </w:r>
      <w:r w:rsidR="00DB4F3C">
        <w:t>provides</w:t>
      </w:r>
      <w:r w:rsidRPr="00D44DA3">
        <w:t xml:space="preserve"> the list of prohibited items for future imports. This help</w:t>
      </w:r>
      <w:r>
        <w:t>s</w:t>
      </w:r>
      <w:r w:rsidRPr="00D44DA3">
        <w:t xml:space="preserve"> the suppliers to understand </w:t>
      </w:r>
      <w:r>
        <w:t xml:space="preserve">the department’s </w:t>
      </w:r>
      <w:r w:rsidRPr="00D44DA3">
        <w:t xml:space="preserve">biosecurity intervention </w:t>
      </w:r>
      <w:r w:rsidR="007D5882">
        <w:t xml:space="preserve">strategy </w:t>
      </w:r>
      <w:r w:rsidRPr="00D44DA3">
        <w:t xml:space="preserve">and exclude prohibited items </w:t>
      </w:r>
      <w:r w:rsidR="001C32DA">
        <w:t>from</w:t>
      </w:r>
      <w:r w:rsidR="001C32DA" w:rsidRPr="00D44DA3">
        <w:t xml:space="preserve"> </w:t>
      </w:r>
      <w:r w:rsidRPr="00D44DA3">
        <w:t xml:space="preserve">future shipments </w:t>
      </w:r>
      <w:r>
        <w:t>of online purchases</w:t>
      </w:r>
      <w:r w:rsidRPr="00D44DA3">
        <w:t xml:space="preserve">. </w:t>
      </w:r>
      <w:r>
        <w:t xml:space="preserve">The department should continue to engage and collaborate with industry to increase </w:t>
      </w:r>
      <w:r w:rsidR="001C32DA">
        <w:t>its</w:t>
      </w:r>
      <w:r>
        <w:t xml:space="preserve"> profile and </w:t>
      </w:r>
      <w:r w:rsidR="001C32DA">
        <w:t xml:space="preserve">industry </w:t>
      </w:r>
      <w:r>
        <w:t>awareness of Australia’s biosecurity risks.</w:t>
      </w:r>
    </w:p>
    <w:p w:rsidR="00231E28" w:rsidRPr="00A86100" w:rsidRDefault="00C25212" w:rsidP="00A86100">
      <w:pPr>
        <w:pStyle w:val="FindingsNormalNumbering"/>
        <w:ind w:left="0" w:firstLine="0"/>
      </w:pPr>
      <w:r>
        <w:t>The department</w:t>
      </w:r>
      <w:r w:rsidR="00606ABF" w:rsidRPr="00D44DA3">
        <w:t xml:space="preserve"> uses </w:t>
      </w:r>
      <w:r w:rsidR="008C38E4">
        <w:t>various</w:t>
      </w:r>
      <w:r w:rsidR="00606ABF" w:rsidRPr="00D44DA3">
        <w:t xml:space="preserve"> communication strategies to deliver information on biosecurity risks associated with importing cargo to Australia. The department </w:t>
      </w:r>
      <w:r w:rsidR="008C38E4">
        <w:t xml:space="preserve">places </w:t>
      </w:r>
      <w:r w:rsidR="00606ABF" w:rsidRPr="00D44DA3">
        <w:t xml:space="preserve">flyers inside </w:t>
      </w:r>
      <w:r w:rsidR="000C3A58">
        <w:t>any</w:t>
      </w:r>
      <w:r w:rsidR="00CB6594">
        <w:t xml:space="preserve"> </w:t>
      </w:r>
      <w:r w:rsidR="00606ABF" w:rsidRPr="00D44DA3">
        <w:t xml:space="preserve">packages </w:t>
      </w:r>
      <w:r w:rsidR="000C3A58">
        <w:t xml:space="preserve">that have been opened and inspected </w:t>
      </w:r>
      <w:r w:rsidR="00606ABF" w:rsidRPr="00D44DA3">
        <w:t xml:space="preserve">to explain </w:t>
      </w:r>
      <w:r w:rsidR="008C38E4">
        <w:t>its</w:t>
      </w:r>
      <w:r w:rsidR="00606ABF" w:rsidRPr="00D44DA3">
        <w:t xml:space="preserve"> inspection actions to </w:t>
      </w:r>
      <w:r w:rsidR="00287042">
        <w:t>buyers/</w:t>
      </w:r>
      <w:r w:rsidR="00606ABF" w:rsidRPr="00D44DA3">
        <w:t xml:space="preserve">importers. These flyers also assist importers by directing them to the </w:t>
      </w:r>
      <w:r>
        <w:t>department’s</w:t>
      </w:r>
      <w:r w:rsidR="00606ABF" w:rsidRPr="00D44DA3">
        <w:t xml:space="preserve"> website </w:t>
      </w:r>
      <w:r w:rsidR="008C38E4">
        <w:t xml:space="preserve">for </w:t>
      </w:r>
      <w:r w:rsidR="00606ABF" w:rsidRPr="00D44DA3">
        <w:t xml:space="preserve">more information or to contact the Air and Sea Cargo Program directly </w:t>
      </w:r>
      <w:r w:rsidR="008C38E4">
        <w:t>by</w:t>
      </w:r>
      <w:r w:rsidR="00606ABF" w:rsidRPr="00D44DA3">
        <w:t xml:space="preserve"> email.</w:t>
      </w:r>
    </w:p>
    <w:p w:rsidR="000D7E64" w:rsidRPr="000D7E64" w:rsidRDefault="0035143E" w:rsidP="0035143E">
      <w:pPr>
        <w:pStyle w:val="Findingsub-heading"/>
      </w:pPr>
      <w:r>
        <w:t>Funding, fees and c</w:t>
      </w:r>
      <w:r w:rsidRPr="00FC172B">
        <w:t>harges</w:t>
      </w:r>
    </w:p>
    <w:p w:rsidR="002D22B5" w:rsidRDefault="002D22B5" w:rsidP="002D22B5">
      <w:pPr>
        <w:pStyle w:val="FindingsNormalNumbering"/>
        <w:ind w:left="0" w:firstLine="0"/>
      </w:pPr>
      <w:r w:rsidRPr="00E01609">
        <w:t>The</w:t>
      </w:r>
      <w:r>
        <w:t xml:space="preserve"> </w:t>
      </w:r>
      <w:r w:rsidR="00F26FA3" w:rsidRPr="008E69B9">
        <w:t>Air and Sea Cargo Program</w:t>
      </w:r>
      <w:r w:rsidR="00F26FA3" w:rsidRPr="00E01609">
        <w:t xml:space="preserve"> </w:t>
      </w:r>
      <w:r w:rsidR="00F26FA3">
        <w:t>manage</w:t>
      </w:r>
      <w:r w:rsidR="008E69B9">
        <w:t>d</w:t>
      </w:r>
      <w:r w:rsidR="00F26FA3">
        <w:t xml:space="preserve"> the </w:t>
      </w:r>
      <w:r>
        <w:t>air cargo function</w:t>
      </w:r>
      <w:r w:rsidR="008E69B9">
        <w:t>.</w:t>
      </w:r>
      <w:r w:rsidR="00F26FA3">
        <w:t xml:space="preserve"> </w:t>
      </w:r>
      <w:r w:rsidR="00AA3D9D">
        <w:t>The management of SAC consignments</w:t>
      </w:r>
      <w:r w:rsidRPr="00E01609">
        <w:t xml:space="preserve"> is funded entirely through cost recovery.</w:t>
      </w:r>
    </w:p>
    <w:p w:rsidR="002D22B5" w:rsidRDefault="002D22B5" w:rsidP="002D22B5">
      <w:pPr>
        <w:pStyle w:val="FindingsNormalNumbering"/>
        <w:ind w:left="0" w:firstLine="0"/>
      </w:pPr>
      <w:r>
        <w:t>The department charges</w:t>
      </w:r>
      <w:r w:rsidR="00F55306">
        <w:t xml:space="preserve"> inspection fees to</w:t>
      </w:r>
      <w:r w:rsidR="00CF12F9">
        <w:t xml:space="preserve"> </w:t>
      </w:r>
      <w:r w:rsidR="00231E28">
        <w:t xml:space="preserve">the </w:t>
      </w:r>
      <w:r w:rsidR="00F55306">
        <w:t xml:space="preserve">CAPEC and non-CAPEC </w:t>
      </w:r>
      <w:proofErr w:type="gramStart"/>
      <w:r w:rsidR="009A2A45">
        <w:t>members</w:t>
      </w:r>
      <w:r w:rsidR="00E37058">
        <w:t>,</w:t>
      </w:r>
      <w:proofErr w:type="gramEnd"/>
      <w:r w:rsidR="00CF12F9">
        <w:t xml:space="preserve"> </w:t>
      </w:r>
      <w:r w:rsidR="00F55306">
        <w:t>and th</w:t>
      </w:r>
      <w:r w:rsidR="00E37058">
        <w:t>e</w:t>
      </w:r>
      <w:r w:rsidR="00F55306">
        <w:t>s</w:t>
      </w:r>
      <w:r w:rsidR="00E37058">
        <w:t>e</w:t>
      </w:r>
      <w:r w:rsidR="00F55306">
        <w:t xml:space="preserve"> </w:t>
      </w:r>
      <w:r w:rsidR="00E37058">
        <w:t xml:space="preserve">fees </w:t>
      </w:r>
      <w:r w:rsidR="00F55306">
        <w:t>var</w:t>
      </w:r>
      <w:r w:rsidR="00E37058">
        <w:t xml:space="preserve">y between </w:t>
      </w:r>
      <w:r w:rsidR="00F55306">
        <w:t>courier compan</w:t>
      </w:r>
      <w:r w:rsidR="00E37058">
        <w:t>ies and</w:t>
      </w:r>
      <w:r w:rsidR="00751895">
        <w:t xml:space="preserve"> </w:t>
      </w:r>
      <w:r w:rsidR="00F55306">
        <w:t>freight forwarder</w:t>
      </w:r>
      <w:r w:rsidR="00E37058">
        <w:t>s</w:t>
      </w:r>
      <w:r w:rsidR="00F55306">
        <w:t xml:space="preserve">. </w:t>
      </w:r>
      <w:r w:rsidR="00E37058">
        <w:t>The m</w:t>
      </w:r>
      <w:r w:rsidR="00F55306">
        <w:t>ajority of</w:t>
      </w:r>
      <w:r w:rsidR="00231E28">
        <w:t xml:space="preserve"> the</w:t>
      </w:r>
      <w:r w:rsidR="00F55306">
        <w:t xml:space="preserve"> CAPEC premises have standing daily or weekly inspection bookings due to the large volume of </w:t>
      </w:r>
      <w:r w:rsidR="00CF12F9">
        <w:t xml:space="preserve">SAC </w:t>
      </w:r>
      <w:r w:rsidR="00F55306">
        <w:t>consignments</w:t>
      </w:r>
      <w:r w:rsidR="00CF12F9">
        <w:t xml:space="preserve"> requir</w:t>
      </w:r>
      <w:r w:rsidR="00E37058">
        <w:t>ing</w:t>
      </w:r>
      <w:r w:rsidR="00CF12F9">
        <w:t xml:space="preserve"> inspection</w:t>
      </w:r>
      <w:r w:rsidR="00F55306">
        <w:t>.</w:t>
      </w:r>
      <w:r w:rsidR="00CF12F9">
        <w:t xml:space="preserve"> </w:t>
      </w:r>
      <w:r w:rsidR="00E37058">
        <w:t>The department charges</w:t>
      </w:r>
      <w:r w:rsidR="000D5048">
        <w:t xml:space="preserve"> for </w:t>
      </w:r>
      <w:r w:rsidR="00CF12F9">
        <w:t>inspections hourly or per visit.</w:t>
      </w:r>
      <w:r w:rsidR="00F55306">
        <w:t xml:space="preserve"> </w:t>
      </w:r>
      <w:r w:rsidR="000D5048">
        <w:t>Non</w:t>
      </w:r>
      <w:r w:rsidR="00F55306">
        <w:t xml:space="preserve">-CAPEC premises may have </w:t>
      </w:r>
      <w:r w:rsidR="000D5048">
        <w:t xml:space="preserve">only </w:t>
      </w:r>
      <w:r w:rsidR="00F55306">
        <w:t>a few SAC consignment</w:t>
      </w:r>
      <w:r w:rsidR="00783184">
        <w:t>s</w:t>
      </w:r>
      <w:r w:rsidR="007B01A3">
        <w:t xml:space="preserve"> requiring inspection each year. </w:t>
      </w:r>
      <w:r w:rsidR="000D5048">
        <w:t xml:space="preserve">Premises book </w:t>
      </w:r>
      <w:r w:rsidR="00F55306">
        <w:t>inspection</w:t>
      </w:r>
      <w:r w:rsidR="007B01A3">
        <w:t>s</w:t>
      </w:r>
      <w:r w:rsidR="00F55306">
        <w:t xml:space="preserve"> </w:t>
      </w:r>
      <w:r w:rsidR="007B01A3">
        <w:t>when required</w:t>
      </w:r>
      <w:r w:rsidR="00F55306">
        <w:t xml:space="preserve"> and </w:t>
      </w:r>
      <w:r w:rsidR="000D5048">
        <w:t xml:space="preserve">the department </w:t>
      </w:r>
      <w:r w:rsidR="00F55306">
        <w:t>charge</w:t>
      </w:r>
      <w:r w:rsidR="000D5048">
        <w:t>s</w:t>
      </w:r>
      <w:r w:rsidR="00F55306">
        <w:t xml:space="preserve"> </w:t>
      </w:r>
      <w:r w:rsidR="000D5048">
        <w:t xml:space="preserve">them for </w:t>
      </w:r>
      <w:r w:rsidR="00F55306">
        <w:t xml:space="preserve">the time taken to perform the </w:t>
      </w:r>
      <w:r w:rsidR="00CF12F9">
        <w:t>service</w:t>
      </w:r>
      <w:r w:rsidR="00F55306">
        <w:t>.</w:t>
      </w:r>
    </w:p>
    <w:p w:rsidR="002D22B5" w:rsidRPr="00E01609" w:rsidRDefault="002D22B5" w:rsidP="002D22B5">
      <w:pPr>
        <w:pStyle w:val="FindingsNormalNumbering"/>
        <w:ind w:left="0" w:firstLine="0"/>
      </w:pPr>
      <w:r>
        <w:t xml:space="preserve">If SAC consignments are upgraded or referred to AIMS for further assessment, </w:t>
      </w:r>
      <w:r w:rsidR="000D5048">
        <w:t xml:space="preserve">the department charges </w:t>
      </w:r>
      <w:r>
        <w:t>a lodgement fee of $25 per entry. From there</w:t>
      </w:r>
      <w:r w:rsidR="000D5048">
        <w:t>, it applies</w:t>
      </w:r>
      <w:r>
        <w:t xml:space="preserve"> the normal entry management processing fees</w:t>
      </w:r>
      <w:r w:rsidRPr="000D5048">
        <w:t>.</w:t>
      </w:r>
      <w:r w:rsidRPr="000D5048">
        <w:rPr>
          <w:rFonts w:eastAsia="Times New Roman" w:cs="Calibri"/>
          <w:color w:val="000000"/>
        </w:rPr>
        <w:t xml:space="preserve"> </w:t>
      </w:r>
      <w:r w:rsidR="005B16F3">
        <w:rPr>
          <w:rFonts w:eastAsia="Times New Roman" w:cs="Calibri"/>
          <w:color w:val="000000"/>
        </w:rPr>
        <w:t>For</w:t>
      </w:r>
      <w:r w:rsidR="005B16F3" w:rsidRPr="000D5048">
        <w:rPr>
          <w:rFonts w:eastAsia="Times New Roman" w:cs="Calibri"/>
          <w:color w:val="000000"/>
        </w:rPr>
        <w:t xml:space="preserve"> </w:t>
      </w:r>
      <w:r w:rsidRPr="000D5048">
        <w:rPr>
          <w:rFonts w:eastAsia="Times New Roman" w:cs="Calibri"/>
          <w:color w:val="000000"/>
        </w:rPr>
        <w:t>initial processing</w:t>
      </w:r>
      <w:r w:rsidR="005B16F3">
        <w:rPr>
          <w:rFonts w:eastAsia="Times New Roman" w:cs="Calibri"/>
          <w:color w:val="000000"/>
        </w:rPr>
        <w:t>, the department charges</w:t>
      </w:r>
      <w:r w:rsidRPr="000D5048">
        <w:rPr>
          <w:rFonts w:eastAsia="Times New Roman" w:cs="Calibri"/>
          <w:color w:val="000000"/>
        </w:rPr>
        <w:t xml:space="preserve"> a time based fee</w:t>
      </w:r>
      <w:r w:rsidR="00287042">
        <w:rPr>
          <w:rFonts w:eastAsia="Times New Roman" w:cs="Calibri"/>
          <w:color w:val="000000"/>
        </w:rPr>
        <w:t xml:space="preserve">, </w:t>
      </w:r>
      <w:r w:rsidRPr="000D5048">
        <w:rPr>
          <w:rFonts w:eastAsia="Times New Roman" w:cs="Calibri"/>
          <w:color w:val="000000"/>
        </w:rPr>
        <w:t>with $40 covering the first half hour of processing. For complex entries</w:t>
      </w:r>
      <w:r w:rsidR="005B16F3">
        <w:rPr>
          <w:rFonts w:eastAsia="Times New Roman" w:cs="Calibri"/>
          <w:color w:val="000000"/>
        </w:rPr>
        <w:t>,</w:t>
      </w:r>
      <w:r w:rsidRPr="000D5048">
        <w:rPr>
          <w:rFonts w:eastAsia="Times New Roman" w:cs="Calibri"/>
          <w:color w:val="000000"/>
        </w:rPr>
        <w:t xml:space="preserve"> where initial processing takes more than half an hour, </w:t>
      </w:r>
      <w:r w:rsidR="005B16F3">
        <w:rPr>
          <w:rFonts w:eastAsia="Times New Roman" w:cs="Calibri"/>
          <w:color w:val="000000"/>
        </w:rPr>
        <w:t xml:space="preserve">it charges an </w:t>
      </w:r>
      <w:r w:rsidRPr="000D5048">
        <w:rPr>
          <w:rFonts w:eastAsia="Times New Roman" w:cs="Calibri"/>
          <w:color w:val="000000"/>
        </w:rPr>
        <w:t>additional $40 per quarter hour.</w:t>
      </w:r>
    </w:p>
    <w:p w:rsidR="002D22B5" w:rsidRPr="005B16F3" w:rsidRDefault="002D22B5" w:rsidP="002D22B5">
      <w:pPr>
        <w:pStyle w:val="FindingsNormalNumbering"/>
        <w:ind w:left="0" w:firstLine="0"/>
      </w:pPr>
      <w:r w:rsidRPr="005B16F3">
        <w:rPr>
          <w:rFonts w:eastAsia="Times New Roman" w:cs="Calibri"/>
          <w:color w:val="000000"/>
        </w:rPr>
        <w:lastRenderedPageBreak/>
        <w:t xml:space="preserve">Where </w:t>
      </w:r>
      <w:r w:rsidR="005B16F3" w:rsidRPr="005B16F3">
        <w:rPr>
          <w:rFonts w:eastAsia="Times New Roman" w:cs="Calibri"/>
          <w:color w:val="000000"/>
        </w:rPr>
        <w:t xml:space="preserve">the department requires </w:t>
      </w:r>
      <w:r w:rsidRPr="005B16F3">
        <w:rPr>
          <w:rFonts w:eastAsia="Times New Roman" w:cs="Calibri"/>
          <w:color w:val="000000"/>
        </w:rPr>
        <w:t xml:space="preserve">additional information to complete an entry, </w:t>
      </w:r>
      <w:r w:rsidR="005B16F3">
        <w:rPr>
          <w:rFonts w:eastAsia="Times New Roman" w:cs="Calibri"/>
          <w:color w:val="000000"/>
        </w:rPr>
        <w:t xml:space="preserve">it charges </w:t>
      </w:r>
      <w:r w:rsidRPr="005B16F3">
        <w:rPr>
          <w:rFonts w:eastAsia="Times New Roman" w:cs="Calibri"/>
          <w:color w:val="000000"/>
        </w:rPr>
        <w:t xml:space="preserve">an additional $40 per entry. </w:t>
      </w:r>
      <w:r w:rsidR="00231E28">
        <w:rPr>
          <w:rFonts w:eastAsia="Times New Roman" w:cs="Calibri"/>
          <w:color w:val="000000"/>
        </w:rPr>
        <w:t>It also</w:t>
      </w:r>
      <w:r w:rsidR="005B16F3">
        <w:rPr>
          <w:rFonts w:eastAsia="Times New Roman" w:cs="Calibri"/>
          <w:color w:val="000000"/>
        </w:rPr>
        <w:t xml:space="preserve"> applies </w:t>
      </w:r>
      <w:r w:rsidRPr="005B16F3">
        <w:rPr>
          <w:rFonts w:eastAsia="Times New Roman" w:cs="Calibri"/>
          <w:color w:val="000000"/>
        </w:rPr>
        <w:t xml:space="preserve">the time based fee </w:t>
      </w:r>
      <w:r w:rsidR="005B16F3">
        <w:rPr>
          <w:rFonts w:eastAsia="Times New Roman" w:cs="Calibri"/>
          <w:color w:val="000000"/>
        </w:rPr>
        <w:t xml:space="preserve">to </w:t>
      </w:r>
      <w:r w:rsidRPr="005B16F3">
        <w:rPr>
          <w:rFonts w:eastAsia="Times New Roman" w:cs="Calibri"/>
          <w:color w:val="000000"/>
        </w:rPr>
        <w:t>every quarter hour of assessment</w:t>
      </w:r>
      <w:r w:rsidR="00CF12F9" w:rsidRPr="005B16F3">
        <w:rPr>
          <w:rFonts w:eastAsia="Times New Roman" w:cs="Calibri"/>
          <w:color w:val="000000"/>
        </w:rPr>
        <w:t xml:space="preserve">. </w:t>
      </w:r>
      <w:r w:rsidRPr="005B16F3">
        <w:rPr>
          <w:rFonts w:eastAsia="Times New Roman" w:cs="Calibri"/>
          <w:color w:val="000000"/>
        </w:rPr>
        <w:t xml:space="preserve">The additional information fee is chargeable </w:t>
      </w:r>
      <w:r w:rsidR="005B16F3">
        <w:rPr>
          <w:rFonts w:eastAsia="Times New Roman" w:cs="Calibri"/>
          <w:color w:val="000000"/>
        </w:rPr>
        <w:t xml:space="preserve">only </w:t>
      </w:r>
      <w:r w:rsidRPr="005B16F3">
        <w:rPr>
          <w:rFonts w:eastAsia="Times New Roman" w:cs="Calibri"/>
          <w:color w:val="000000"/>
        </w:rPr>
        <w:t>once</w:t>
      </w:r>
      <w:r w:rsidR="005B16F3">
        <w:rPr>
          <w:rFonts w:eastAsia="Times New Roman" w:cs="Calibri"/>
          <w:color w:val="000000"/>
        </w:rPr>
        <w:t>,</w:t>
      </w:r>
      <w:r w:rsidRPr="005B16F3">
        <w:rPr>
          <w:rFonts w:eastAsia="Times New Roman" w:cs="Calibri"/>
          <w:color w:val="000000"/>
        </w:rPr>
        <w:t xml:space="preserve"> regardless of how many time</w:t>
      </w:r>
      <w:r w:rsidR="005B16F3">
        <w:rPr>
          <w:rFonts w:eastAsia="Times New Roman" w:cs="Calibri"/>
          <w:color w:val="000000"/>
        </w:rPr>
        <w:t>s the department requests</w:t>
      </w:r>
      <w:r w:rsidRPr="005B16F3">
        <w:rPr>
          <w:rFonts w:eastAsia="Times New Roman" w:cs="Calibri"/>
          <w:color w:val="000000"/>
        </w:rPr>
        <w:t xml:space="preserve"> further information for that entry.</w:t>
      </w:r>
    </w:p>
    <w:p w:rsidR="004C346A" w:rsidRPr="0001395C" w:rsidRDefault="00453C2B" w:rsidP="00E80EFA">
      <w:pPr>
        <w:pStyle w:val="Heading1"/>
      </w:pPr>
      <w:r>
        <w:br w:type="page"/>
      </w:r>
      <w:bookmarkStart w:id="44" w:name="_Toc375315640"/>
      <w:bookmarkStart w:id="45" w:name="_Toc376871902"/>
      <w:bookmarkStart w:id="46" w:name="_Toc413220607"/>
      <w:r w:rsidR="00E92AD2">
        <w:lastRenderedPageBreak/>
        <w:t xml:space="preserve">Appendix </w:t>
      </w:r>
      <w:r w:rsidR="00B427E9">
        <w:t>A</w:t>
      </w:r>
      <w:r w:rsidR="00612EDD">
        <w:t>:</w:t>
      </w:r>
      <w:r w:rsidR="00B427E9">
        <w:t xml:space="preserve"> </w:t>
      </w:r>
      <w:r w:rsidR="00432811">
        <w:t xml:space="preserve">Department </w:t>
      </w:r>
      <w:r w:rsidR="00B427E9">
        <w:t>r</w:t>
      </w:r>
      <w:r w:rsidR="004C346A">
        <w:t>esponse</w:t>
      </w:r>
      <w:bookmarkEnd w:id="44"/>
      <w:bookmarkEnd w:id="45"/>
      <w:bookmarkEnd w:id="46"/>
    </w:p>
    <w:p w:rsidR="00CF2312" w:rsidRDefault="00CD7034" w:rsidP="00030373">
      <w:pPr>
        <w:pStyle w:val="Heading1"/>
      </w:pPr>
      <w:r>
        <w:rPr>
          <w:b w:val="0"/>
          <w:bCs w:val="0"/>
          <w:noProof/>
        </w:rPr>
        <w:drawing>
          <wp:inline distT="0" distB="0" distL="0" distR="0">
            <wp:extent cx="5730617" cy="8149046"/>
            <wp:effectExtent l="19050" t="0" r="3433"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731260" cy="8149961"/>
                    </a:xfrm>
                    <a:prstGeom prst="rect">
                      <a:avLst/>
                    </a:prstGeom>
                    <a:noFill/>
                    <a:ln w="9525">
                      <a:noFill/>
                      <a:miter lim="800000"/>
                      <a:headEnd/>
                      <a:tailEnd/>
                    </a:ln>
                  </pic:spPr>
                </pic:pic>
              </a:graphicData>
            </a:graphic>
          </wp:inline>
        </w:drawing>
      </w:r>
    </w:p>
    <w:p w:rsidR="008B0921" w:rsidRDefault="00CD7034">
      <w:pPr>
        <w:rPr>
          <w:rFonts w:ascii="Cambria" w:eastAsia="Times New Roman" w:hAnsi="Cambria"/>
          <w:sz w:val="32"/>
          <w:szCs w:val="40"/>
        </w:rPr>
      </w:pPr>
      <w:r>
        <w:rPr>
          <w:noProof/>
        </w:rPr>
        <w:lastRenderedPageBreak/>
        <w:drawing>
          <wp:inline distT="0" distB="0" distL="0" distR="0">
            <wp:extent cx="6129655" cy="8671560"/>
            <wp:effectExtent l="1905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6129655" cy="8671560"/>
                    </a:xfrm>
                    <a:prstGeom prst="rect">
                      <a:avLst/>
                    </a:prstGeom>
                    <a:noFill/>
                    <a:ln w="9525">
                      <a:noFill/>
                      <a:miter lim="800000"/>
                      <a:headEnd/>
                      <a:tailEnd/>
                    </a:ln>
                  </pic:spPr>
                </pic:pic>
              </a:graphicData>
            </a:graphic>
          </wp:inline>
        </w:drawing>
      </w:r>
      <w:r w:rsidR="00CF2312">
        <w:t xml:space="preserve"> </w:t>
      </w:r>
      <w:r>
        <w:rPr>
          <w:noProof/>
        </w:rPr>
        <w:lastRenderedPageBreak/>
        <w:drawing>
          <wp:inline distT="0" distB="0" distL="0" distR="0">
            <wp:extent cx="6119495" cy="869188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6119495" cy="8691880"/>
                    </a:xfrm>
                    <a:prstGeom prst="rect">
                      <a:avLst/>
                    </a:prstGeom>
                    <a:noFill/>
                    <a:ln w="9525">
                      <a:noFill/>
                      <a:miter lim="800000"/>
                      <a:headEnd/>
                      <a:tailEnd/>
                    </a:ln>
                  </pic:spPr>
                </pic:pic>
              </a:graphicData>
            </a:graphic>
          </wp:inline>
        </w:drawing>
      </w:r>
      <w:r w:rsidR="00CF2312">
        <w:t xml:space="preserve"> </w:t>
      </w:r>
      <w:r>
        <w:rPr>
          <w:noProof/>
        </w:rPr>
        <w:lastRenderedPageBreak/>
        <w:drawing>
          <wp:inline distT="0" distB="0" distL="0" distR="0">
            <wp:extent cx="6129655" cy="8671560"/>
            <wp:effectExtent l="1905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6129655" cy="8671560"/>
                    </a:xfrm>
                    <a:prstGeom prst="rect">
                      <a:avLst/>
                    </a:prstGeom>
                    <a:noFill/>
                    <a:ln w="9525">
                      <a:noFill/>
                      <a:miter lim="800000"/>
                      <a:headEnd/>
                      <a:tailEnd/>
                    </a:ln>
                  </pic:spPr>
                </pic:pic>
              </a:graphicData>
            </a:graphic>
          </wp:inline>
        </w:drawing>
      </w:r>
    </w:p>
    <w:p w:rsidR="00B00E96" w:rsidRPr="008025A9" w:rsidRDefault="00CF2312" w:rsidP="00030373">
      <w:pPr>
        <w:pStyle w:val="Heading1"/>
      </w:pPr>
      <w:r>
        <w:lastRenderedPageBreak/>
        <w:t xml:space="preserve"> </w:t>
      </w:r>
      <w:bookmarkStart w:id="47" w:name="_Toc375315641"/>
      <w:bookmarkStart w:id="48" w:name="_Toc376871903"/>
      <w:bookmarkStart w:id="49" w:name="_Toc413220608"/>
      <w:r w:rsidR="00E92AD2">
        <w:t xml:space="preserve">Appendix </w:t>
      </w:r>
      <w:r w:rsidR="00B427E9">
        <w:t>B</w:t>
      </w:r>
      <w:r w:rsidR="00612EDD">
        <w:t>:</w:t>
      </w:r>
      <w:r w:rsidR="00B427E9">
        <w:t xml:space="preserve"> Conduct of the </w:t>
      </w:r>
      <w:bookmarkEnd w:id="47"/>
      <w:bookmarkEnd w:id="48"/>
      <w:r w:rsidR="008025A9">
        <w:t>audit</w:t>
      </w:r>
      <w:bookmarkEnd w:id="49"/>
    </w:p>
    <w:p w:rsidR="00822335" w:rsidRPr="00916845" w:rsidRDefault="00822335" w:rsidP="00D872E1">
      <w:pPr>
        <w:spacing w:before="360" w:after="120"/>
        <w:rPr>
          <w:b/>
        </w:rPr>
      </w:pPr>
      <w:bookmarkStart w:id="50" w:name="_Toc323308094"/>
      <w:bookmarkStart w:id="51" w:name="_Toc323309415"/>
      <w:bookmarkStart w:id="52" w:name="_Toc325097382"/>
      <w:bookmarkStart w:id="53" w:name="_Toc325374932"/>
      <w:bookmarkStart w:id="54" w:name="_Toc330475844"/>
      <w:r w:rsidRPr="00916845">
        <w:rPr>
          <w:b/>
        </w:rPr>
        <w:t xml:space="preserve">Role of the </w:t>
      </w:r>
      <w:bookmarkEnd w:id="50"/>
      <w:bookmarkEnd w:id="51"/>
      <w:bookmarkEnd w:id="52"/>
      <w:bookmarkEnd w:id="53"/>
      <w:bookmarkEnd w:id="54"/>
      <w:r w:rsidR="00E92AD2" w:rsidRPr="00916845">
        <w:rPr>
          <w:b/>
        </w:rPr>
        <w:t>Interim Inspector-General of Biosecurity</w:t>
      </w:r>
    </w:p>
    <w:p w:rsidR="00822335" w:rsidRPr="00822335" w:rsidRDefault="00822335" w:rsidP="00916845">
      <w:pPr>
        <w:spacing w:after="120"/>
      </w:pPr>
      <w:r w:rsidRPr="00822335">
        <w:t>As part of its preliminary response to the 2008 revie</w:t>
      </w:r>
      <w:r>
        <w:t xml:space="preserve">w of Australia’s quarantine and </w:t>
      </w:r>
      <w:r w:rsidRPr="00822335">
        <w:t>biose</w:t>
      </w:r>
      <w:r w:rsidR="00E92AD2">
        <w:t>curity arrangements (the Beale r</w:t>
      </w:r>
      <w:r w:rsidRPr="00822335">
        <w:t xml:space="preserve">eview), the Australian Government agreed to establish </w:t>
      </w:r>
      <w:r w:rsidR="00BE3D0E">
        <w:t>a statutory office of Inspector</w:t>
      </w:r>
      <w:r w:rsidR="00A07DA1">
        <w:t>-</w:t>
      </w:r>
      <w:r w:rsidRPr="00822335">
        <w:t xml:space="preserve">General of Biosecurity. The role </w:t>
      </w:r>
      <w:r w:rsidR="00E92AD2">
        <w:t>would</w:t>
      </w:r>
      <w:r w:rsidRPr="00822335">
        <w:t xml:space="preserve"> be established under new biosecurity legislation currently being developed. In advance of this enabling legislation, interim administrative arrangements are in place.</w:t>
      </w:r>
    </w:p>
    <w:p w:rsidR="00822335" w:rsidRPr="00A55791" w:rsidRDefault="00822335" w:rsidP="00916845">
      <w:pPr>
        <w:spacing w:after="120"/>
      </w:pPr>
      <w:r w:rsidRPr="00A55791">
        <w:t>On 1 July 2009 the government</w:t>
      </w:r>
      <w:r w:rsidR="00A07DA1">
        <w:t xml:space="preserve"> appointed an Interim Inspector-</w:t>
      </w:r>
      <w:r w:rsidRPr="00A55791">
        <w:t>General of Biosecurity</w:t>
      </w:r>
      <w:r w:rsidR="00E92AD2">
        <w:t xml:space="preserve"> (IIGB). </w:t>
      </w:r>
      <w:r w:rsidRPr="00A55791">
        <w:t xml:space="preserve">The scope of the role covers those systems and their risk management measures for which </w:t>
      </w:r>
      <w:r w:rsidR="00975325">
        <w:t>the Department of Agriculture</w:t>
      </w:r>
      <w:r w:rsidRPr="00A55791">
        <w:t xml:space="preserve"> is responsible.</w:t>
      </w:r>
    </w:p>
    <w:p w:rsidR="00822335" w:rsidRPr="00A55791" w:rsidRDefault="00822335" w:rsidP="00916845">
      <w:pPr>
        <w:spacing w:after="120"/>
      </w:pPr>
      <w:r w:rsidRPr="00A55791">
        <w:t xml:space="preserve">The role also includes biosecurity measures relating to human health and environmental responsibilities undertaken by </w:t>
      </w:r>
      <w:r w:rsidR="002C5023">
        <w:t>the department</w:t>
      </w:r>
      <w:r w:rsidRPr="00A55791">
        <w:t xml:space="preserve"> on behalf of the Department of Health and the Department of </w:t>
      </w:r>
      <w:r w:rsidR="002C5023">
        <w:t xml:space="preserve">the </w:t>
      </w:r>
      <w:r w:rsidRPr="00A55791">
        <w:t>Environment.</w:t>
      </w:r>
    </w:p>
    <w:p w:rsidR="00822335" w:rsidRPr="00A55791" w:rsidRDefault="00822335" w:rsidP="00916845">
      <w:pPr>
        <w:spacing w:after="120"/>
      </w:pPr>
      <w:r w:rsidRPr="00A55791">
        <w:t>The IIGB works cooperative</w:t>
      </w:r>
      <w:r w:rsidR="00E92AD2">
        <w:t>ly</w:t>
      </w:r>
      <w:r w:rsidRPr="00A55791">
        <w:t xml:space="preserve"> with </w:t>
      </w:r>
      <w:r w:rsidR="002C5023">
        <w:t>the department</w:t>
      </w:r>
      <w:r w:rsidRPr="00A55791">
        <w:t xml:space="preserve">, </w:t>
      </w:r>
      <w:r w:rsidR="00E92AD2">
        <w:t xml:space="preserve">other </w:t>
      </w:r>
      <w:r w:rsidRPr="00A55791">
        <w:t>relevant Australian Government departments, competent authorities and organisations/companies involved in the biosecurity continuum.</w:t>
      </w:r>
    </w:p>
    <w:p w:rsidR="00822335" w:rsidRPr="00A55791" w:rsidRDefault="00822335" w:rsidP="00916845">
      <w:pPr>
        <w:spacing w:after="120"/>
      </w:pPr>
      <w:r w:rsidRPr="00A55791">
        <w:t xml:space="preserve">The IIGB is independent from the organisational and functional arrangements of </w:t>
      </w:r>
      <w:r w:rsidR="002C5023">
        <w:t>the department’s</w:t>
      </w:r>
      <w:r w:rsidR="00E92AD2">
        <w:t xml:space="preserve"> b</w:t>
      </w:r>
      <w:r w:rsidRPr="00A55791">
        <w:t xml:space="preserve">iosecurity-related divisions and reports to </w:t>
      </w:r>
      <w:r w:rsidRPr="004A4205">
        <w:t>the Australian Government Minister for Agriculture</w:t>
      </w:r>
      <w:r w:rsidR="002C5023" w:rsidRPr="004A4205">
        <w:t>.</w:t>
      </w:r>
    </w:p>
    <w:p w:rsidR="00822335" w:rsidRPr="00A55791" w:rsidRDefault="00822335" w:rsidP="00916845">
      <w:pPr>
        <w:spacing w:after="120"/>
      </w:pPr>
      <w:r w:rsidRPr="00A55791">
        <w:t>IIGB reports are publicly available unless they contain confidential</w:t>
      </w:r>
      <w:r w:rsidR="00C941F2">
        <w:t xml:space="preserve"> or sensitive </w:t>
      </w:r>
      <w:r w:rsidR="00C941F2" w:rsidRPr="00A55791">
        <w:t>information</w:t>
      </w:r>
      <w:r w:rsidRPr="00A55791">
        <w:t>.</w:t>
      </w:r>
    </w:p>
    <w:p w:rsidR="00822335" w:rsidRPr="00916845" w:rsidRDefault="00822335" w:rsidP="00916845">
      <w:pPr>
        <w:spacing w:after="120"/>
        <w:rPr>
          <w:b/>
        </w:rPr>
      </w:pPr>
      <w:bookmarkStart w:id="55" w:name="_Toc323308095"/>
      <w:bookmarkStart w:id="56" w:name="_Toc323309416"/>
      <w:bookmarkStart w:id="57" w:name="_Toc325097383"/>
      <w:bookmarkStart w:id="58" w:name="_Toc325374933"/>
      <w:bookmarkStart w:id="59" w:name="_Toc330475845"/>
      <w:r w:rsidRPr="00916845">
        <w:rPr>
          <w:b/>
        </w:rPr>
        <w:t>The</w:t>
      </w:r>
      <w:r w:rsidR="00B01AF4" w:rsidRPr="00B01AF4">
        <w:rPr>
          <w:b/>
        </w:rPr>
        <w:t xml:space="preserve"> </w:t>
      </w:r>
      <w:r w:rsidR="00B01AF4" w:rsidRPr="00916845">
        <w:rPr>
          <w:b/>
        </w:rPr>
        <w:t>Interim</w:t>
      </w:r>
      <w:r w:rsidRPr="00916845">
        <w:rPr>
          <w:b/>
        </w:rPr>
        <w:t xml:space="preserve"> </w:t>
      </w:r>
      <w:r w:rsidR="006E16BC" w:rsidRPr="006E16BC">
        <w:rPr>
          <w:b/>
        </w:rPr>
        <w:t>Inspector-General of Biosecurity</w:t>
      </w:r>
      <w:r w:rsidR="006E16BC">
        <w:rPr>
          <w:b/>
        </w:rPr>
        <w:t>’s</w:t>
      </w:r>
      <w:r w:rsidRPr="00916845">
        <w:rPr>
          <w:b/>
        </w:rPr>
        <w:t xml:space="preserve"> program</w:t>
      </w:r>
      <w:bookmarkEnd w:id="55"/>
      <w:bookmarkEnd w:id="56"/>
      <w:bookmarkEnd w:id="57"/>
      <w:bookmarkEnd w:id="58"/>
      <w:bookmarkEnd w:id="59"/>
    </w:p>
    <w:p w:rsidR="00822335" w:rsidRPr="00A55791" w:rsidRDefault="00822335" w:rsidP="00916845">
      <w:pPr>
        <w:spacing w:after="120"/>
      </w:pPr>
      <w:r w:rsidRPr="00A55791">
        <w:t>The IIGB’s program of activities includes a comprehensive agenda of systems performance audits designed to provide assurance of biosecurity systems and risk management measures across Australia’s biosecurity continuum.</w:t>
      </w:r>
    </w:p>
    <w:p w:rsidR="00822335" w:rsidRPr="00A55791" w:rsidRDefault="00822335" w:rsidP="00916845">
      <w:pPr>
        <w:spacing w:after="120"/>
      </w:pPr>
      <w:r w:rsidRPr="00A55791">
        <w:t xml:space="preserve">To </w:t>
      </w:r>
      <w:r w:rsidR="00481214">
        <w:t>compile</w:t>
      </w:r>
      <w:r w:rsidRPr="00A55791">
        <w:t xml:space="preserve"> the program, the IIGB co</w:t>
      </w:r>
      <w:r w:rsidR="00481214">
        <w:t>nsiders</w:t>
      </w:r>
      <w:r w:rsidRPr="00A55791">
        <w:t xml:space="preserve"> potential audit/review topics from a variety of sources, including:</w:t>
      </w:r>
    </w:p>
    <w:p w:rsidR="00822335" w:rsidRPr="00822335" w:rsidRDefault="00822335" w:rsidP="007C6286">
      <w:pPr>
        <w:pStyle w:val="bulletlevel1"/>
        <w:ind w:left="709" w:hanging="284"/>
      </w:pPr>
      <w:r w:rsidRPr="00822335">
        <w:t xml:space="preserve">consultation with </w:t>
      </w:r>
      <w:r w:rsidR="002C5023">
        <w:t>the department</w:t>
      </w:r>
      <w:r w:rsidRPr="00822335">
        <w:t xml:space="preserve"> and relevant industries</w:t>
      </w:r>
    </w:p>
    <w:p w:rsidR="00822335" w:rsidRPr="00822335" w:rsidRDefault="00822335" w:rsidP="007C6286">
      <w:pPr>
        <w:pStyle w:val="bulletlevel1"/>
        <w:ind w:left="709" w:hanging="284"/>
      </w:pPr>
      <w:r w:rsidRPr="00822335">
        <w:t>outcomes of other relevant reviews/inquiries, such as the Australian Nat</w:t>
      </w:r>
      <w:r w:rsidR="002C5023">
        <w:t>ional Audit Office and internal</w:t>
      </w:r>
      <w:r w:rsidRPr="00822335">
        <w:t xml:space="preserve"> audits</w:t>
      </w:r>
    </w:p>
    <w:p w:rsidR="00822335" w:rsidRPr="00822335" w:rsidRDefault="00822335" w:rsidP="007C6286">
      <w:pPr>
        <w:pStyle w:val="bulletlevel1"/>
        <w:ind w:left="709" w:hanging="284"/>
      </w:pPr>
      <w:r w:rsidRPr="00822335">
        <w:t>observations from previous IIGB audits</w:t>
      </w:r>
    </w:p>
    <w:p w:rsidR="00822335" w:rsidRPr="00822335" w:rsidRDefault="00822335" w:rsidP="007C6286">
      <w:pPr>
        <w:pStyle w:val="bulletlevel1"/>
        <w:ind w:left="709" w:hanging="284"/>
      </w:pPr>
      <w:r w:rsidRPr="00822335">
        <w:t>expert advice</w:t>
      </w:r>
    </w:p>
    <w:p w:rsidR="00822335" w:rsidRPr="00822335" w:rsidRDefault="00822335" w:rsidP="007C6286">
      <w:pPr>
        <w:pStyle w:val="bulletlevel1"/>
        <w:ind w:left="709" w:hanging="284"/>
      </w:pPr>
      <w:proofErr w:type="gramStart"/>
      <w:r w:rsidRPr="00822335">
        <w:t>media</w:t>
      </w:r>
      <w:proofErr w:type="gramEnd"/>
      <w:r w:rsidRPr="00822335">
        <w:t xml:space="preserve"> coverage.</w:t>
      </w:r>
    </w:p>
    <w:p w:rsidR="00822335" w:rsidRPr="00A55791" w:rsidRDefault="00822335" w:rsidP="00916845">
      <w:pPr>
        <w:spacing w:after="120"/>
      </w:pPr>
      <w:r w:rsidRPr="00A55791">
        <w:t xml:space="preserve">The IIGB also considers the </w:t>
      </w:r>
      <w:r>
        <w:t>m</w:t>
      </w:r>
      <w:r w:rsidRPr="00A55791">
        <w:t xml:space="preserve">inister’s requests to undertake specified audits or reviews </w:t>
      </w:r>
      <w:r>
        <w:t>of</w:t>
      </w:r>
      <w:r w:rsidRPr="00A55791">
        <w:t xml:space="preserve"> the biosecurity system.</w:t>
      </w:r>
    </w:p>
    <w:p w:rsidR="00822335" w:rsidRPr="00A55791" w:rsidRDefault="00822335" w:rsidP="00916845">
      <w:pPr>
        <w:spacing w:after="120"/>
      </w:pPr>
      <w:r w:rsidRPr="00A55791">
        <w:t>The IIGB prioritises audit/review topics. This includes</w:t>
      </w:r>
      <w:r w:rsidR="00E92AD2">
        <w:t xml:space="preserve"> an indicative qualitative risk </w:t>
      </w:r>
      <w:r w:rsidRPr="00A55791">
        <w:t>assessment to assess the effects and likelihood of breakdowns in the bio</w:t>
      </w:r>
      <w:r w:rsidR="00E92AD2">
        <w:t>security systems being audited.</w:t>
      </w:r>
    </w:p>
    <w:p w:rsidR="00822335" w:rsidRPr="00A55791" w:rsidRDefault="00822335" w:rsidP="00916845">
      <w:pPr>
        <w:spacing w:after="120"/>
      </w:pPr>
      <w:r w:rsidRPr="00A55791">
        <w:lastRenderedPageBreak/>
        <w:t>The IIGB also:</w:t>
      </w:r>
    </w:p>
    <w:p w:rsidR="00822335" w:rsidRPr="00562474" w:rsidRDefault="00822335" w:rsidP="007C6286">
      <w:pPr>
        <w:pStyle w:val="bulletlevel1"/>
        <w:ind w:left="709" w:hanging="284"/>
      </w:pPr>
      <w:r w:rsidRPr="00562474">
        <w:t>avoids duplication with other biosecurity-related assurance/audit activities</w:t>
      </w:r>
    </w:p>
    <w:p w:rsidR="00822335" w:rsidRPr="00562474" w:rsidRDefault="00822335" w:rsidP="007C6286">
      <w:pPr>
        <w:pStyle w:val="bulletlevel1"/>
        <w:ind w:left="709" w:hanging="284"/>
      </w:pPr>
      <w:r w:rsidRPr="00562474">
        <w:t xml:space="preserve">balances effort and coverage </w:t>
      </w:r>
      <w:r w:rsidR="00276BB6">
        <w:t>across</w:t>
      </w:r>
      <w:r w:rsidR="00276BB6" w:rsidRPr="00562474">
        <w:t xml:space="preserve"> </w:t>
      </w:r>
      <w:r w:rsidRPr="00562474">
        <w:t>the biosecurity continuum and sectors</w:t>
      </w:r>
    </w:p>
    <w:p w:rsidR="00822335" w:rsidRDefault="00822335" w:rsidP="007C6286">
      <w:pPr>
        <w:pStyle w:val="bulletlevel1"/>
        <w:ind w:left="709" w:hanging="284"/>
      </w:pPr>
      <w:proofErr w:type="gramStart"/>
      <w:r w:rsidRPr="00562474">
        <w:t>balances</w:t>
      </w:r>
      <w:proofErr w:type="gramEnd"/>
      <w:r w:rsidRPr="00562474">
        <w:t xml:space="preserve"> effort and coverage of the elements of the risk management processes outlined in the ISO 31000:2009 standard.</w:t>
      </w:r>
    </w:p>
    <w:p w:rsidR="003263AC" w:rsidRDefault="003263AC" w:rsidP="003263AC">
      <w:pPr>
        <w:spacing w:after="120"/>
        <w:rPr>
          <w:b/>
        </w:rPr>
      </w:pPr>
      <w:r w:rsidRPr="00677BD9">
        <w:rPr>
          <w:b/>
        </w:rPr>
        <w:t xml:space="preserve">The </w:t>
      </w:r>
      <w:r w:rsidR="00975325" w:rsidRPr="00677BD9">
        <w:rPr>
          <w:b/>
        </w:rPr>
        <w:t>audit t</w:t>
      </w:r>
      <w:r w:rsidRPr="00677BD9">
        <w:rPr>
          <w:b/>
        </w:rPr>
        <w:t>eam</w:t>
      </w:r>
    </w:p>
    <w:p w:rsidR="00191D67" w:rsidRDefault="00716219" w:rsidP="00716219">
      <w:pPr>
        <w:spacing w:after="120"/>
      </w:pPr>
      <w:r>
        <w:t xml:space="preserve">Auditors Ajay Singh and Cassandra Valentine </w:t>
      </w:r>
      <w:r w:rsidR="00C71587">
        <w:t>assisted</w:t>
      </w:r>
      <w:r w:rsidR="00C71587" w:rsidRPr="00C71587">
        <w:t xml:space="preserve"> the IIGB </w:t>
      </w:r>
      <w:r>
        <w:t>to</w:t>
      </w:r>
      <w:r w:rsidR="00C71587">
        <w:t xml:space="preserve"> </w:t>
      </w:r>
      <w:r w:rsidR="00C71587" w:rsidRPr="00C71587">
        <w:t xml:space="preserve">undertake this </w:t>
      </w:r>
      <w:r w:rsidR="008025A9">
        <w:t>audit</w:t>
      </w:r>
      <w:r>
        <w:t>.</w:t>
      </w:r>
      <w:r w:rsidR="00796274">
        <w:t xml:space="preserve"> </w:t>
      </w:r>
      <w:r w:rsidR="0021082F">
        <w:t xml:space="preserve">Updates to the </w:t>
      </w:r>
      <w:r w:rsidR="0059041A">
        <w:t>f</w:t>
      </w:r>
      <w:r w:rsidR="00796274">
        <w:t xml:space="preserve">inal report </w:t>
      </w:r>
      <w:r w:rsidR="0021082F">
        <w:t>were prepared</w:t>
      </w:r>
      <w:r w:rsidR="00796274">
        <w:t xml:space="preserve"> by Jonathan Muller.</w:t>
      </w:r>
    </w:p>
    <w:p w:rsidR="00D9142F" w:rsidRPr="00F37E7C" w:rsidRDefault="00030373" w:rsidP="00030373">
      <w:pPr>
        <w:pStyle w:val="Heading1"/>
        <w:rPr>
          <w:rFonts w:ascii="Calibri" w:eastAsia="PMingLiU" w:hAnsi="Calibri"/>
          <w:sz w:val="22"/>
          <w:szCs w:val="22"/>
        </w:rPr>
      </w:pPr>
      <w:r>
        <w:br w:type="page"/>
      </w:r>
      <w:bookmarkStart w:id="60" w:name="_Toc327960964"/>
      <w:bookmarkStart w:id="61" w:name="_Toc331763876"/>
      <w:bookmarkStart w:id="62" w:name="_Toc334446951"/>
      <w:bookmarkStart w:id="63" w:name="_Toc375315645"/>
      <w:bookmarkStart w:id="64" w:name="_Toc376871907"/>
      <w:bookmarkStart w:id="65" w:name="_Toc413220609"/>
      <w:r w:rsidR="00E92AD2" w:rsidRPr="00F9418C">
        <w:lastRenderedPageBreak/>
        <w:t>Appendix</w:t>
      </w:r>
      <w:r w:rsidR="008B5E89">
        <w:t xml:space="preserve"> C</w:t>
      </w:r>
      <w:r w:rsidR="00744220">
        <w:t>:</w:t>
      </w:r>
      <w:r>
        <w:t xml:space="preserve"> </w:t>
      </w:r>
      <w:r w:rsidR="00F9418C">
        <w:t>A</w:t>
      </w:r>
      <w:r w:rsidR="000B5CE6">
        <w:t xml:space="preserve">gencies, </w:t>
      </w:r>
      <w:r w:rsidR="00D9142F" w:rsidRPr="00F9418C">
        <w:t>groups</w:t>
      </w:r>
      <w:r w:rsidR="000B5CE6">
        <w:t xml:space="preserve"> and individuals</w:t>
      </w:r>
      <w:r w:rsidR="00D9142F" w:rsidRPr="00F9418C">
        <w:t xml:space="preserve"> consulted by </w:t>
      </w:r>
      <w:bookmarkEnd w:id="60"/>
      <w:bookmarkEnd w:id="61"/>
      <w:r w:rsidR="00D9142F" w:rsidRPr="00F9418C">
        <w:t xml:space="preserve">the </w:t>
      </w:r>
      <w:bookmarkEnd w:id="62"/>
      <w:r w:rsidR="00F37E7C">
        <w:t>Interim Inspector-General of Biosecurity</w:t>
      </w:r>
      <w:bookmarkEnd w:id="63"/>
      <w:bookmarkEnd w:id="64"/>
      <w:bookmarkEnd w:id="65"/>
    </w:p>
    <w:p w:rsidR="00F9418C" w:rsidRDefault="00F9418C" w:rsidP="00D872E1">
      <w:pPr>
        <w:spacing w:before="360" w:after="120"/>
      </w:pPr>
      <w:r>
        <w:t xml:space="preserve">The </w:t>
      </w:r>
      <w:r w:rsidR="002E00CE">
        <w:t>Interim Inspector-General of Biosecurity</w:t>
      </w:r>
      <w:r>
        <w:t xml:space="preserve"> consulted</w:t>
      </w:r>
      <w:r w:rsidR="00E276B7">
        <w:t xml:space="preserve"> and acknowledges the </w:t>
      </w:r>
      <w:r w:rsidR="00253044">
        <w:t xml:space="preserve">valuable </w:t>
      </w:r>
      <w:r w:rsidR="00E276B7">
        <w:t xml:space="preserve">assistance </w:t>
      </w:r>
      <w:r w:rsidR="00253044">
        <w:t>provided by</w:t>
      </w:r>
      <w:r>
        <w:t xml:space="preserve"> </w:t>
      </w:r>
      <w:r w:rsidR="00916845">
        <w:t>the</w:t>
      </w:r>
      <w:r w:rsidR="00DB6A3E">
        <w:t>se</w:t>
      </w:r>
      <w:r>
        <w:t xml:space="preserve"> agencies</w:t>
      </w:r>
      <w:r w:rsidR="00253044">
        <w:t>,</w:t>
      </w:r>
      <w:r>
        <w:t xml:space="preserve"> groups</w:t>
      </w:r>
      <w:r w:rsidR="00253044">
        <w:t xml:space="preserve"> and individuals</w:t>
      </w:r>
      <w:r>
        <w:t>:</w:t>
      </w:r>
    </w:p>
    <w:p w:rsidR="00DE4208" w:rsidRDefault="00AF6947">
      <w:pPr>
        <w:pStyle w:val="ListParagraph"/>
        <w:numPr>
          <w:ilvl w:val="0"/>
          <w:numId w:val="6"/>
        </w:numPr>
        <w:spacing w:before="120" w:after="120" w:line="360" w:lineRule="auto"/>
      </w:pPr>
      <w:r>
        <w:t xml:space="preserve">Pathway Compliance Branch (previously the Passenger </w:t>
      </w:r>
      <w:r w:rsidR="00DB6A3E">
        <w:t xml:space="preserve">and </w:t>
      </w:r>
      <w:r>
        <w:t xml:space="preserve">Mail Branch and the Cargo </w:t>
      </w:r>
      <w:r w:rsidR="00DB6A3E">
        <w:t>and</w:t>
      </w:r>
      <w:r>
        <w:t xml:space="preserve"> Shipping Branch)</w:t>
      </w:r>
      <w:r w:rsidR="00DB6A3E">
        <w:t>, Compliance Division, Department of Agriculture—</w:t>
      </w:r>
      <w:r w:rsidR="006D211E" w:rsidRPr="006D211E">
        <w:t>responsible for developing operational policy to enable the effective biosecurity clearance by service delivery staff of inbound international mail and cargo using a range of assessment, screening and inspection methods</w:t>
      </w:r>
    </w:p>
    <w:p w:rsidR="00F9418C" w:rsidRDefault="007E1682" w:rsidP="003B5958">
      <w:pPr>
        <w:pStyle w:val="ListParagraph"/>
        <w:numPr>
          <w:ilvl w:val="0"/>
          <w:numId w:val="6"/>
        </w:numPr>
        <w:spacing w:before="120" w:after="120" w:line="360" w:lineRule="auto"/>
      </w:pPr>
      <w:r>
        <w:t>Brisbane, Melbourne, Perth and Sydney</w:t>
      </w:r>
      <w:r w:rsidR="00391644">
        <w:t xml:space="preserve"> </w:t>
      </w:r>
      <w:r w:rsidR="006D3D3F">
        <w:t>office</w:t>
      </w:r>
      <w:r w:rsidR="00C3741F">
        <w:t>s</w:t>
      </w:r>
      <w:r w:rsidR="00391644">
        <w:t>,</w:t>
      </w:r>
      <w:r w:rsidR="00F9418C" w:rsidRPr="00D418E5">
        <w:t xml:space="preserve"> </w:t>
      </w:r>
      <w:r w:rsidR="00391644">
        <w:t>Department of Agriculture—</w:t>
      </w:r>
      <w:r w:rsidR="006D3D3F" w:rsidRPr="00D418E5">
        <w:t>provides</w:t>
      </w:r>
      <w:r w:rsidR="00F9418C" w:rsidRPr="00D418E5">
        <w:t xml:space="preserve"> quarantine </w:t>
      </w:r>
      <w:r w:rsidR="009029E8">
        <w:t xml:space="preserve">and biosecurity </w:t>
      </w:r>
      <w:r w:rsidR="00F9418C" w:rsidRPr="00D418E5">
        <w:t xml:space="preserve">services for clearance of </w:t>
      </w:r>
      <w:r w:rsidR="00323976">
        <w:t>international mail and cargo</w:t>
      </w:r>
      <w:r w:rsidR="00F9418C" w:rsidRPr="00D418E5">
        <w:t xml:space="preserve"> at the Australian border</w:t>
      </w:r>
    </w:p>
    <w:p w:rsidR="007E1682" w:rsidRDefault="007E1682" w:rsidP="003B5958">
      <w:pPr>
        <w:pStyle w:val="ListParagraph"/>
        <w:numPr>
          <w:ilvl w:val="0"/>
          <w:numId w:val="6"/>
        </w:numPr>
        <w:spacing w:before="120" w:after="120" w:line="360" w:lineRule="auto"/>
      </w:pPr>
      <w:r>
        <w:t>Australia Post International Gateway Facilities in Brisbane, Melbourne, Perth and Sydney</w:t>
      </w:r>
    </w:p>
    <w:p w:rsidR="007E1682" w:rsidRDefault="007E1682" w:rsidP="003B5958">
      <w:pPr>
        <w:pStyle w:val="ListParagraph"/>
        <w:numPr>
          <w:ilvl w:val="0"/>
          <w:numId w:val="6"/>
        </w:numPr>
        <w:spacing w:before="120" w:after="120" w:line="360" w:lineRule="auto"/>
      </w:pPr>
      <w:r>
        <w:t>CAPEC and non-CAPEC premises in</w:t>
      </w:r>
      <w:r w:rsidRPr="007E1682">
        <w:t xml:space="preserve"> </w:t>
      </w:r>
      <w:r>
        <w:t>Brisbane, Melbourne, Perth and Sydney</w:t>
      </w:r>
    </w:p>
    <w:p w:rsidR="00323976" w:rsidRDefault="00323976" w:rsidP="00323976">
      <w:pPr>
        <w:pStyle w:val="ListParagraph"/>
        <w:numPr>
          <w:ilvl w:val="0"/>
          <w:numId w:val="6"/>
        </w:numPr>
        <w:spacing w:before="120" w:after="120" w:line="360" w:lineRule="auto"/>
      </w:pPr>
      <w:r>
        <w:t>Industry stakeholders.</w:t>
      </w:r>
    </w:p>
    <w:p w:rsidR="00C90F71" w:rsidRPr="0001395C" w:rsidRDefault="009458BE" w:rsidP="00030373">
      <w:pPr>
        <w:pStyle w:val="Heading1"/>
      </w:pPr>
      <w:r>
        <w:br w:type="page"/>
      </w:r>
      <w:bookmarkStart w:id="66" w:name="_Toc375315646"/>
      <w:bookmarkStart w:id="67" w:name="_Toc376871908"/>
      <w:bookmarkStart w:id="68" w:name="_Toc413220610"/>
      <w:r w:rsidR="00B00E96">
        <w:lastRenderedPageBreak/>
        <w:t>References</w:t>
      </w:r>
      <w:bookmarkEnd w:id="66"/>
      <w:bookmarkEnd w:id="67"/>
      <w:bookmarkEnd w:id="68"/>
    </w:p>
    <w:p w:rsidR="00396D43" w:rsidRDefault="00396D43" w:rsidP="00D872E1">
      <w:pPr>
        <w:spacing w:before="360"/>
      </w:pPr>
      <w:proofErr w:type="gramStart"/>
      <w:r>
        <w:t xml:space="preserve">ABS 2014, </w:t>
      </w:r>
      <w:r w:rsidR="0088289F">
        <w:rPr>
          <w:i/>
        </w:rPr>
        <w:t>Household use of information t</w:t>
      </w:r>
      <w:r w:rsidRPr="00396D43">
        <w:rPr>
          <w:i/>
        </w:rPr>
        <w:t>echnology, Australia 2012-13</w:t>
      </w:r>
      <w:r>
        <w:t>, cat</w:t>
      </w:r>
      <w:r w:rsidR="00674839">
        <w:t>.</w:t>
      </w:r>
      <w:proofErr w:type="gramEnd"/>
      <w:r>
        <w:t xml:space="preserve"> </w:t>
      </w:r>
      <w:proofErr w:type="gramStart"/>
      <w:r>
        <w:t xml:space="preserve">no.8146.0, Australia Bureau of Statistics, Canberra, </w:t>
      </w:r>
      <w:r w:rsidR="00674839">
        <w:t xml:space="preserve">available at </w:t>
      </w:r>
      <w:hyperlink r:id="rId25" w:history="1">
        <w:r w:rsidR="00A35A89" w:rsidRPr="00446B25">
          <w:rPr>
            <w:rStyle w:val="Hyperlink"/>
          </w:rPr>
          <w:t>abs.gov.au/ausstats/abs@.nsf/mf/</w:t>
        </w:r>
        <w:r w:rsidR="00A35A89" w:rsidRPr="00446B25">
          <w:rPr>
            <w:rStyle w:val="Hyperlink"/>
          </w:rPr>
          <w:br/>
          <w:t>8146.0</w:t>
        </w:r>
      </w:hyperlink>
      <w:r w:rsidR="00674839">
        <w:t>.</w:t>
      </w:r>
      <w:proofErr w:type="gramEnd"/>
    </w:p>
    <w:p w:rsidR="00323976" w:rsidRDefault="00323976" w:rsidP="00FF401D">
      <w:r>
        <w:t xml:space="preserve">ACMA 2010, </w:t>
      </w:r>
      <w:r>
        <w:rPr>
          <w:i/>
        </w:rPr>
        <w:t xml:space="preserve">Australia in the digital economy: </w:t>
      </w:r>
      <w:r w:rsidR="00A35A89">
        <w:rPr>
          <w:i/>
        </w:rPr>
        <w:t>c</w:t>
      </w:r>
      <w:r>
        <w:rPr>
          <w:i/>
        </w:rPr>
        <w:t>onsumer engagement in e-commerce</w:t>
      </w:r>
      <w:r>
        <w:t xml:space="preserve">, Australian Communications and Media Authority, Melbourne, </w:t>
      </w:r>
      <w:r w:rsidR="00A35A89">
        <w:t xml:space="preserve">available at </w:t>
      </w:r>
      <w:hyperlink r:id="rId26" w:history="1">
        <w:r w:rsidR="00A35A89" w:rsidRPr="00FA4A6F">
          <w:rPr>
            <w:rStyle w:val="Hyperlink"/>
          </w:rPr>
          <w:t>acma.gov.au/</w:t>
        </w:r>
        <w:r w:rsidR="00FA4A6F">
          <w:rPr>
            <w:rStyle w:val="Hyperlink"/>
          </w:rPr>
          <w:br/>
        </w:r>
        <w:r w:rsidR="00A35A89" w:rsidRPr="00FA4A6F">
          <w:rPr>
            <w:rStyle w:val="Hyperlink"/>
          </w:rPr>
          <w:t>theACMA/research-report-australia-in-the-digital-economy-consumer-engagement-in-ecommerce</w:t>
        </w:r>
      </w:hyperlink>
      <w:r w:rsidR="00396D43">
        <w:t>.</w:t>
      </w:r>
    </w:p>
    <w:p w:rsidR="00BE14D0" w:rsidRPr="00BE14D0" w:rsidRDefault="00BE14D0" w:rsidP="00FF401D">
      <w:r>
        <w:t xml:space="preserve">ANAO 2014, </w:t>
      </w:r>
      <w:r>
        <w:rPr>
          <w:i/>
        </w:rPr>
        <w:t>Screening of International Mail</w:t>
      </w:r>
      <w:r>
        <w:t xml:space="preserve">, Report no. 42, Australian National Audit Office, Canberra, available at </w:t>
      </w:r>
      <w:hyperlink r:id="rId27" w:history="1">
        <w:r w:rsidRPr="00DE7365">
          <w:rPr>
            <w:rStyle w:val="Hyperlink"/>
          </w:rPr>
          <w:t>anao.gov.au/Publications/Audit-Reports/2013-2014/Screening-of-International-Mail</w:t>
        </w:r>
      </w:hyperlink>
      <w:r>
        <w:t>.</w:t>
      </w:r>
    </w:p>
    <w:p w:rsidR="008F7969" w:rsidRDefault="00BC0137" w:rsidP="00CC26D6">
      <w:proofErr w:type="gramStart"/>
      <w:r>
        <w:t>DAFF 2012</w:t>
      </w:r>
      <w:r w:rsidR="006E183F">
        <w:t xml:space="preserve">, </w:t>
      </w:r>
      <w:r w:rsidR="006E183F">
        <w:rPr>
          <w:i/>
        </w:rPr>
        <w:t>Minimum document requirement</w:t>
      </w:r>
      <w:r w:rsidR="000A72E3">
        <w:rPr>
          <w:i/>
        </w:rPr>
        <w:t>s</w:t>
      </w:r>
      <w:r w:rsidR="006E183F">
        <w:rPr>
          <w:i/>
        </w:rPr>
        <w:t xml:space="preserve"> policy</w:t>
      </w:r>
      <w:r w:rsidR="006E183F">
        <w:t>, version 1.6</w:t>
      </w:r>
      <w:r w:rsidR="00E33D96">
        <w:t>,</w:t>
      </w:r>
      <w:r w:rsidR="006E183F">
        <w:t xml:space="preserve"> Department of Agriculture, Fisheries and Forestry, Canberra, </w:t>
      </w:r>
      <w:r w:rsidR="00E33D96">
        <w:t xml:space="preserve">available at </w:t>
      </w:r>
      <w:hyperlink r:id="rId28" w:history="1">
        <w:r w:rsidR="008773DE">
          <w:rPr>
            <w:rStyle w:val="Hyperlink"/>
          </w:rPr>
          <w:t>http://www.agriculture.gov.au/biosecurity/import/general-info/documentary-requirements/minimum-document-requirements-policy</w:t>
        </w:r>
      </w:hyperlink>
      <w:r w:rsidR="00E33D96">
        <w:t>.</w:t>
      </w:r>
      <w:proofErr w:type="gramEnd"/>
    </w:p>
    <w:p w:rsidR="008F7969" w:rsidRDefault="00E7587B" w:rsidP="00CC26D6">
      <w:proofErr w:type="gramStart"/>
      <w:r>
        <w:t>IPPC.</w:t>
      </w:r>
      <w:proofErr w:type="gramEnd"/>
      <w:r>
        <w:t xml:space="preserve"> 2012</w:t>
      </w:r>
      <w:r w:rsidR="008F7969" w:rsidRPr="008F7969">
        <w:t>. The Internet trade</w:t>
      </w:r>
      <w:r w:rsidR="008F7969">
        <w:t xml:space="preserve"> </w:t>
      </w:r>
      <w:r w:rsidR="008F7969" w:rsidRPr="008F7969">
        <w:t>(e-Commerce)</w:t>
      </w:r>
      <w:r w:rsidR="008F7969">
        <w:t xml:space="preserve"> </w:t>
      </w:r>
      <w:r w:rsidR="008F7969" w:rsidRPr="008F7969">
        <w:t>in Plants:</w:t>
      </w:r>
      <w:r w:rsidR="008F7969">
        <w:t xml:space="preserve"> </w:t>
      </w:r>
      <w:r w:rsidR="008F7969" w:rsidRPr="008F7969">
        <w:t xml:space="preserve">Potential Phytosanitary Risks. </w:t>
      </w:r>
      <w:proofErr w:type="gramStart"/>
      <w:r w:rsidR="008F7969">
        <w:t>a</w:t>
      </w:r>
      <w:r w:rsidR="008F7969" w:rsidRPr="008F7969">
        <w:t>vailable</w:t>
      </w:r>
      <w:proofErr w:type="gramEnd"/>
      <w:r w:rsidR="008F7969" w:rsidRPr="008F7969">
        <w:t xml:space="preserve"> at: https://www.ippc.int/largefiles/2013/Internet_trade_of_plants.pdf. </w:t>
      </w:r>
    </w:p>
    <w:p w:rsidR="00E7587B" w:rsidRDefault="00E7587B" w:rsidP="007F0269">
      <w:proofErr w:type="gramStart"/>
      <w:r>
        <w:t>Kaminski  K</w:t>
      </w:r>
      <w:proofErr w:type="gramEnd"/>
      <w:r>
        <w:t xml:space="preserve">, Beckers F &amp; Unger J. 2012. </w:t>
      </w:r>
      <w:proofErr w:type="gramStart"/>
      <w:r>
        <w:t>Global internet trade of plants – legality and risks.</w:t>
      </w:r>
      <w:proofErr w:type="gramEnd"/>
      <w:r>
        <w:t xml:space="preserve"> </w:t>
      </w:r>
      <w:r>
        <w:rPr>
          <w:rStyle w:val="Emphasis"/>
        </w:rPr>
        <w:t>EPPO Bulletin</w:t>
      </w:r>
      <w:r>
        <w:t>, 42 (2), 171-175.</w:t>
      </w:r>
    </w:p>
    <w:p w:rsidR="007F0269" w:rsidRPr="00FD4C93" w:rsidRDefault="007F0269" w:rsidP="007F0269">
      <w:r>
        <w:t xml:space="preserve">Koch, D. 2014 ‘UPU technology ushers in a new era of Customs Co-operation’, Union Postale: 03/2014 viewed 15/12/2014 URL, available at: </w:t>
      </w:r>
      <w:r w:rsidRPr="00AF5CB4">
        <w:t>http://news.upu.int/uploads/media/union_postale_3_2014_en.pdf</w:t>
      </w:r>
    </w:p>
    <w:p w:rsidR="00CC26D6" w:rsidRDefault="00323976" w:rsidP="00CC26D6">
      <w:r>
        <w:t xml:space="preserve">PC 2011, </w:t>
      </w:r>
      <w:r w:rsidR="0088289F">
        <w:rPr>
          <w:i/>
        </w:rPr>
        <w:t>Economic structure and performance of the Australian retail industry</w:t>
      </w:r>
      <w:r w:rsidRPr="00E33D96">
        <w:t>,</w:t>
      </w:r>
      <w:r w:rsidR="00396D43">
        <w:t xml:space="preserve"> </w:t>
      </w:r>
      <w:r w:rsidR="00E33D96">
        <w:t>Report n</w:t>
      </w:r>
      <w:r w:rsidR="00396D43">
        <w:t>o.56,</w:t>
      </w:r>
      <w:r>
        <w:t xml:space="preserve"> Productivity Commission, </w:t>
      </w:r>
      <w:r w:rsidR="00396D43">
        <w:t xml:space="preserve">Canberra, </w:t>
      </w:r>
      <w:r w:rsidR="00E33D96">
        <w:t xml:space="preserve">available at </w:t>
      </w:r>
      <w:hyperlink r:id="rId29" w:history="1">
        <w:r w:rsidR="00E33D96" w:rsidRPr="00E33D96">
          <w:rPr>
            <w:rStyle w:val="Hyperlink"/>
          </w:rPr>
          <w:t>pc.gov.au/projects/inquiry/retail-industry/report</w:t>
        </w:r>
      </w:hyperlink>
      <w:r w:rsidR="00396D43">
        <w:t>.</w:t>
      </w:r>
    </w:p>
    <w:p w:rsidR="008F7969" w:rsidRDefault="008F7969" w:rsidP="00CC26D6">
      <w:proofErr w:type="gramStart"/>
      <w:r>
        <w:t>Pearson,</w:t>
      </w:r>
      <w:r w:rsidR="00114001">
        <w:t xml:space="preserve"> H. </w:t>
      </w:r>
      <w:r w:rsidR="00E7587B">
        <w:t>&amp;</w:t>
      </w:r>
      <w:r w:rsidR="00114001">
        <w:t xml:space="preserve"> Hill, R. 2014.</w:t>
      </w:r>
      <w:proofErr w:type="gramEnd"/>
      <w:r w:rsidR="00114001">
        <w:t xml:space="preserve"> </w:t>
      </w:r>
      <w:proofErr w:type="gramStart"/>
      <w:r w:rsidR="00114001">
        <w:t>‘Risks for New Zealand’s biosecurity from internet trading of plants’.</w:t>
      </w:r>
      <w:proofErr w:type="gramEnd"/>
      <w:r w:rsidR="00114001">
        <w:t xml:space="preserve"> </w:t>
      </w:r>
      <w:proofErr w:type="gramStart"/>
      <w:r w:rsidR="00114001">
        <w:t>available</w:t>
      </w:r>
      <w:proofErr w:type="gramEnd"/>
      <w:r w:rsidR="00114001">
        <w:t xml:space="preserve"> at: </w:t>
      </w:r>
      <w:hyperlink r:id="rId30" w:history="1">
        <w:r w:rsidR="00114001">
          <w:rPr>
            <w:rStyle w:val="Hyperlink"/>
          </w:rPr>
          <w:t>http://www.caws.org.au/awc/2014/awc201411821.pdf</w:t>
        </w:r>
      </w:hyperlink>
      <w:r w:rsidR="00114001">
        <w:t xml:space="preserve">. </w:t>
      </w:r>
    </w:p>
    <w:p w:rsidR="00FD4C93" w:rsidRDefault="009152EE" w:rsidP="00CC26D6">
      <w:proofErr w:type="gramStart"/>
      <w:r>
        <w:t>Treasury</w:t>
      </w:r>
      <w:r w:rsidR="00FD4C93">
        <w:t xml:space="preserve"> 2012, </w:t>
      </w:r>
      <w:r w:rsidR="00FD4C93">
        <w:rPr>
          <w:i/>
        </w:rPr>
        <w:t xml:space="preserve">Low </w:t>
      </w:r>
      <w:r w:rsidR="001E6DE9">
        <w:rPr>
          <w:i/>
        </w:rPr>
        <w:t>V</w:t>
      </w:r>
      <w:r w:rsidR="00FD4C93">
        <w:rPr>
          <w:i/>
        </w:rPr>
        <w:t>alu</w:t>
      </w:r>
      <w:r w:rsidR="0088289F">
        <w:rPr>
          <w:i/>
        </w:rPr>
        <w:t xml:space="preserve">e </w:t>
      </w:r>
      <w:r w:rsidR="001E6DE9">
        <w:rPr>
          <w:i/>
        </w:rPr>
        <w:t>P</w:t>
      </w:r>
      <w:r w:rsidR="0088289F">
        <w:rPr>
          <w:i/>
        </w:rPr>
        <w:t xml:space="preserve">arcel </w:t>
      </w:r>
      <w:r w:rsidR="001E6DE9">
        <w:rPr>
          <w:i/>
        </w:rPr>
        <w:t>P</w:t>
      </w:r>
      <w:r w:rsidR="0088289F">
        <w:rPr>
          <w:i/>
        </w:rPr>
        <w:t xml:space="preserve">rocessing </w:t>
      </w:r>
      <w:r w:rsidR="001E6DE9">
        <w:rPr>
          <w:i/>
        </w:rPr>
        <w:t>T</w:t>
      </w:r>
      <w:r w:rsidR="0088289F">
        <w:rPr>
          <w:i/>
        </w:rPr>
        <w:t>askforce f</w:t>
      </w:r>
      <w:r w:rsidR="00FD4C93">
        <w:rPr>
          <w:i/>
        </w:rPr>
        <w:t>inal report</w:t>
      </w:r>
      <w:r w:rsidR="00FD4C93">
        <w:t xml:space="preserve">, Low Value Parcel Processing Taskforce, Canberra, </w:t>
      </w:r>
      <w:r w:rsidR="00AF6190">
        <w:t xml:space="preserve">available at </w:t>
      </w:r>
      <w:hyperlink r:id="rId31" w:history="1">
        <w:r w:rsidRPr="009152EE">
          <w:rPr>
            <w:rStyle w:val="Hyperlink"/>
          </w:rPr>
          <w:t>treasury.gov.au/PublicationsAndMedia/</w:t>
        </w:r>
        <w:r>
          <w:rPr>
            <w:rStyle w:val="Hyperlink"/>
          </w:rPr>
          <w:br/>
        </w:r>
        <w:r w:rsidRPr="009152EE">
          <w:rPr>
            <w:rStyle w:val="Hyperlink"/>
          </w:rPr>
          <w:t>Publications/2012/Low-Value-Parcel-Processing</w:t>
        </w:r>
      </w:hyperlink>
      <w:r w:rsidR="00FD4C93">
        <w:t>.</w:t>
      </w:r>
      <w:proofErr w:type="gramEnd"/>
    </w:p>
    <w:p w:rsidR="005B32EF" w:rsidRPr="00FD4C93" w:rsidRDefault="005B32EF" w:rsidP="007F0269"/>
    <w:sectPr w:rsidR="005B32EF" w:rsidRPr="00FD4C93" w:rsidSect="00ED63A7">
      <w:headerReference w:type="even" r:id="rId32"/>
      <w:headerReference w:type="default" r:id="rId33"/>
      <w:headerReference w:type="first" r:id="rId34"/>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D87" w:rsidRDefault="00E53D87" w:rsidP="00AD1560">
      <w:r>
        <w:separator/>
      </w:r>
    </w:p>
    <w:p w:rsidR="00E53D87" w:rsidRDefault="00E53D87" w:rsidP="00AD1560"/>
    <w:p w:rsidR="00E53D87" w:rsidRDefault="00E53D87" w:rsidP="00AD1560"/>
    <w:p w:rsidR="00E53D87" w:rsidRDefault="00E53D87" w:rsidP="00AD1560"/>
    <w:p w:rsidR="00E53D87" w:rsidRDefault="00E53D87"/>
    <w:p w:rsidR="00E53D87" w:rsidRDefault="00E53D87"/>
    <w:p w:rsidR="00E53D87" w:rsidRDefault="00E53D87"/>
  </w:endnote>
  <w:endnote w:type="continuationSeparator" w:id="0">
    <w:p w:rsidR="00E53D87" w:rsidRDefault="00E53D87" w:rsidP="00AD1560">
      <w:r>
        <w:continuationSeparator/>
      </w:r>
    </w:p>
    <w:p w:rsidR="00E53D87" w:rsidRDefault="00E53D87" w:rsidP="00AD1560"/>
    <w:p w:rsidR="00E53D87" w:rsidRDefault="00E53D87" w:rsidP="00AD1560"/>
    <w:p w:rsidR="00E53D87" w:rsidRDefault="00E53D87" w:rsidP="00AD1560"/>
    <w:p w:rsidR="00E53D87" w:rsidRDefault="00E53D87"/>
    <w:p w:rsidR="00E53D87" w:rsidRDefault="00E53D87"/>
    <w:p w:rsidR="00E53D87" w:rsidRDefault="00E53D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540B8C" w:rsidRDefault="00E53D87" w:rsidP="00540B8C">
    <w:pPr>
      <w:pStyle w:val="Footer"/>
      <w:jc w:val="right"/>
      <w:rPr>
        <w:sz w:val="18"/>
        <w:szCs w:val="18"/>
      </w:rPr>
    </w:pPr>
    <w:r w:rsidRPr="00540B8C">
      <w:rPr>
        <w:sz w:val="18"/>
        <w:szCs w:val="18"/>
      </w:rPr>
      <w:t xml:space="preserve">Page </w:t>
    </w:r>
    <w:r w:rsidRPr="00540B8C">
      <w:rPr>
        <w:sz w:val="18"/>
        <w:szCs w:val="18"/>
      </w:rPr>
      <w:fldChar w:fldCharType="begin"/>
    </w:r>
    <w:r w:rsidRPr="00540B8C">
      <w:rPr>
        <w:sz w:val="18"/>
        <w:szCs w:val="18"/>
      </w:rPr>
      <w:instrText xml:space="preserve"> PAGE </w:instrText>
    </w:r>
    <w:r w:rsidRPr="00540B8C">
      <w:rPr>
        <w:sz w:val="18"/>
        <w:szCs w:val="18"/>
      </w:rPr>
      <w:fldChar w:fldCharType="separate"/>
    </w:r>
    <w:r>
      <w:rPr>
        <w:noProof/>
        <w:sz w:val="18"/>
        <w:szCs w:val="18"/>
      </w:rPr>
      <w:t>2</w:t>
    </w:r>
    <w:r w:rsidRPr="00540B8C">
      <w:rPr>
        <w:sz w:val="18"/>
        <w:szCs w:val="18"/>
      </w:rPr>
      <w:fldChar w:fldCharType="end"/>
    </w:r>
    <w:r w:rsidRPr="00540B8C">
      <w:rPr>
        <w:sz w:val="18"/>
        <w:szCs w:val="18"/>
      </w:rPr>
      <w:t xml:space="preserve"> of </w:t>
    </w:r>
    <w:r w:rsidRPr="00540B8C">
      <w:rPr>
        <w:sz w:val="18"/>
        <w:szCs w:val="18"/>
      </w:rPr>
      <w:fldChar w:fldCharType="begin"/>
    </w:r>
    <w:r w:rsidRPr="00540B8C">
      <w:rPr>
        <w:sz w:val="18"/>
        <w:szCs w:val="18"/>
      </w:rPr>
      <w:instrText xml:space="preserve"> NUMPAGES  </w:instrText>
    </w:r>
    <w:r w:rsidRPr="00540B8C">
      <w:rPr>
        <w:sz w:val="18"/>
        <w:szCs w:val="18"/>
      </w:rPr>
      <w:fldChar w:fldCharType="separate"/>
    </w:r>
    <w:r w:rsidR="00AC1767">
      <w:rPr>
        <w:noProof/>
        <w:sz w:val="18"/>
        <w:szCs w:val="18"/>
      </w:rPr>
      <w:t>40</w:t>
    </w:r>
    <w:r w:rsidRPr="00540B8C">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6E5BC7" w:rsidRDefault="00E53D87" w:rsidP="006E5BC7">
    <w:pPr>
      <w:pStyle w:val="Footer"/>
      <w:jc w:val="righ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7C1318" w:rsidRDefault="00E53D87" w:rsidP="007C1318">
    <w:pPr>
      <w:pStyle w:val="Footer"/>
      <w:jc w:val="right"/>
    </w:pPr>
    <w:fldSimple w:instr=" PAGE   \* MERGEFORMAT ">
      <w:r w:rsidR="00AC1767">
        <w:rPr>
          <w:noProof/>
        </w:rPr>
        <w:t>40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7C1318" w:rsidRDefault="00E53D87" w:rsidP="007C1318">
    <w:pPr>
      <w:pStyle w:val="Footer"/>
      <w:jc w:val="right"/>
    </w:pPr>
    <w:fldSimple w:instr=" PAGE   \* MERGEFORMAT ">
      <w:r w:rsidR="00AC1767">
        <w:rPr>
          <w:noProof/>
        </w:rPr>
        <w:t>ii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D87" w:rsidRDefault="00E53D87" w:rsidP="00AD1560">
      <w:r>
        <w:separator/>
      </w:r>
    </w:p>
  </w:footnote>
  <w:footnote w:type="continuationSeparator" w:id="0">
    <w:p w:rsidR="00E53D87" w:rsidRDefault="00E53D87" w:rsidP="00AD1560">
      <w:r>
        <w:continuationSeparator/>
      </w:r>
    </w:p>
    <w:p w:rsidR="00E53D87" w:rsidRDefault="00E53D87" w:rsidP="00AD1560"/>
    <w:p w:rsidR="00E53D87" w:rsidRDefault="00E53D87" w:rsidP="00AD1560"/>
    <w:p w:rsidR="00E53D87" w:rsidRDefault="00E53D87" w:rsidP="00AD1560"/>
    <w:p w:rsidR="00E53D87" w:rsidRDefault="00E53D87"/>
    <w:p w:rsidR="00E53D87" w:rsidRDefault="00E53D87"/>
    <w:p w:rsidR="00E53D87" w:rsidRDefault="00E53D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ED31D3" w:rsidRDefault="00E53D87" w:rsidP="00ED31D3">
    <w:pPr>
      <w:pStyle w:val="Header"/>
      <w:rPr>
        <w:szCs w:val="20"/>
      </w:rPr>
    </w:pPr>
    <w:r>
      <w:rPr>
        <w:szCs w:val="20"/>
      </w:rPr>
      <w:pict>
        <v:shapetype id="_x0000_t32" coordsize="21600,21600" o:spt="32" o:oned="t" path="m,l21600,21600e" filled="f">
          <v:path arrowok="t" fillok="f" o:connecttype="none"/>
          <o:lock v:ext="edit" shapetype="t"/>
        </v:shapetype>
        <v:shape id="_x0000_s2081" type="#_x0000_t32" style="position:absolute;margin-left:-.05pt;margin-top:20.05pt;width:416.35pt;height:0;z-index:251657216" o:connectortype="straight" strokecolor="#bfbfbf"/>
      </w:pict>
    </w:r>
    <w:r w:rsidRPr="00ED31D3">
      <w:rPr>
        <w:szCs w:val="20"/>
      </w:rPr>
      <w:t xml:space="preserve">IIGB </w:t>
    </w:r>
    <w:r>
      <w:rPr>
        <w:szCs w:val="20"/>
      </w:rPr>
      <w:t>audit</w:t>
    </w:r>
    <w:r w:rsidRPr="00ED31D3">
      <w:rPr>
        <w:szCs w:val="20"/>
      </w:rPr>
      <w:t xml:space="preserve"> report</w:t>
    </w:r>
    <w:r>
      <w:rPr>
        <w:szCs w:val="20"/>
      </w:rPr>
      <w:t>: M</w:t>
    </w:r>
    <w:r w:rsidRPr="00ED31D3">
      <w:rPr>
        <w:szCs w:val="20"/>
      </w:rPr>
      <w:t>anaging biosecurity risks associated with international online purchases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D276A9" w:rsidRDefault="00E53D87" w:rsidP="00D276A9">
    <w:pPr>
      <w:pStyle w:val="Header"/>
      <w:spacing w:before="720"/>
      <w:jc w:val="right"/>
      <w:rPr>
        <w:rFonts w:ascii="Cambria" w:hAnsi="Cambria"/>
        <w:b/>
      </w:rPr>
    </w:pPr>
    <w:r>
      <w:rPr>
        <w:rFonts w:ascii="Cambria" w:hAnsi="Cambria"/>
        <w:b/>
        <w:noProof/>
      </w:rPr>
      <w:drawing>
        <wp:anchor distT="0" distB="0" distL="114300" distR="114300" simplePos="0" relativeHeight="251656192" behindDoc="0" locked="0" layoutInCell="1" allowOverlap="1">
          <wp:simplePos x="0" y="0"/>
          <wp:positionH relativeFrom="column">
            <wp:posOffset>165735</wp:posOffset>
          </wp:positionH>
          <wp:positionV relativeFrom="paragraph">
            <wp:posOffset>-321945</wp:posOffset>
          </wp:positionV>
          <wp:extent cx="1889760" cy="1243965"/>
          <wp:effectExtent l="19050" t="0" r="0" b="0"/>
          <wp:wrapSquare wrapText="bothSides"/>
          <wp:docPr id="52" name="Picture 7" descr="Master Brandmark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ter Brandmark Stacked"/>
                  <pic:cNvPicPr>
                    <a:picLocks noChangeAspect="1" noChangeArrowheads="1"/>
                  </pic:cNvPicPr>
                </pic:nvPicPr>
                <pic:blipFill>
                  <a:blip r:embed="rId1"/>
                  <a:srcRect b="14532"/>
                  <a:stretch>
                    <a:fillRect/>
                  </a:stretch>
                </pic:blipFill>
                <pic:spPr bwMode="auto">
                  <a:xfrm>
                    <a:off x="0" y="0"/>
                    <a:ext cx="1889760" cy="1243965"/>
                  </a:xfrm>
                  <a:prstGeom prst="rect">
                    <a:avLst/>
                  </a:prstGeom>
                  <a:noFill/>
                  <a:ln w="9525">
                    <a:noFill/>
                    <a:miter lim="800000"/>
                    <a:headEnd/>
                    <a:tailEnd/>
                  </a:ln>
                </pic:spPr>
              </pic:pic>
            </a:graphicData>
          </a:graphic>
        </wp:anchor>
      </w:drawing>
    </w:r>
    <w:r w:rsidRPr="00FB6017">
      <w:rPr>
        <w:rFonts w:ascii="Cambria" w:hAnsi="Cambria"/>
        <w:b/>
      </w:rPr>
      <w:t>INTERIM I</w:t>
    </w:r>
    <w:r>
      <w:rPr>
        <w:rFonts w:ascii="Cambria" w:hAnsi="Cambria"/>
        <w:b/>
      </w:rPr>
      <w:t>NSPECTOR-GENERAL OF BIOSECURITY</w:t>
    </w:r>
    <w:r>
      <w:rPr>
        <w:rFonts w:ascii="Cambria" w:hAnsi="Cambria"/>
        <w:b/>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Default="00E53D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835D56" w:rsidRDefault="00E53D87">
    <w:pPr>
      <w:pStyle w:val="Header"/>
      <w:rPr>
        <w:szCs w:val="20"/>
      </w:rPr>
    </w:pPr>
    <w:r>
      <w:rPr>
        <w:szCs w:val="20"/>
      </w:rPr>
      <w:pict>
        <v:shapetype id="_x0000_t32" coordsize="21600,21600" o:spt="32" o:oned="t" path="m,l21600,21600e" filled="f">
          <v:path arrowok="t" fillok="f" o:connecttype="none"/>
          <o:lock v:ext="edit" shapetype="t"/>
        </v:shapetype>
        <v:shape id="_x0000_s2097" type="#_x0000_t32" style="position:absolute;margin-left:-.05pt;margin-top:20.05pt;width:416.35pt;height:0;z-index:251659264" o:connectortype="straight" strokecolor="#bfbfbf"/>
      </w:pict>
    </w:r>
    <w:r w:rsidRPr="00ED31D3">
      <w:rPr>
        <w:szCs w:val="20"/>
      </w:rPr>
      <w:t xml:space="preserve">IIGB </w:t>
    </w:r>
    <w:r>
      <w:rPr>
        <w:szCs w:val="20"/>
      </w:rPr>
      <w:t>audit</w:t>
    </w:r>
    <w:r w:rsidRPr="00ED31D3">
      <w:rPr>
        <w:szCs w:val="20"/>
      </w:rPr>
      <w:t xml:space="preserve"> report</w:t>
    </w:r>
    <w:r>
      <w:rPr>
        <w:szCs w:val="20"/>
      </w:rPr>
      <w:t>: M</w:t>
    </w:r>
    <w:r w:rsidRPr="00ED31D3">
      <w:rPr>
        <w:szCs w:val="20"/>
      </w:rPr>
      <w:t>anaging biosecurity risks associated with</w:t>
    </w:r>
    <w:r>
      <w:rPr>
        <w:szCs w:val="20"/>
      </w:rPr>
      <w:t xml:space="preserve"> international online purchases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ED31D3" w:rsidRDefault="00E53D87" w:rsidP="006E5BC7">
    <w:pPr>
      <w:pStyle w:val="Header"/>
      <w:rPr>
        <w:szCs w:val="20"/>
      </w:rPr>
    </w:pPr>
    <w:r>
      <w:rPr>
        <w:szCs w:val="20"/>
      </w:rPr>
      <w:pict>
        <v:shapetype id="_x0000_t32" coordsize="21600,21600" o:spt="32" o:oned="t" path="m,l21600,21600e" filled="f">
          <v:path arrowok="t" fillok="f" o:connecttype="none"/>
          <o:lock v:ext="edit" shapetype="t"/>
        </v:shapetype>
        <v:shape id="_x0000_s2073" type="#_x0000_t32" style="position:absolute;margin-left:-.05pt;margin-top:20.05pt;width:416.35pt;height:0;z-index:251655168" o:connectortype="straight" strokecolor="#bfbfbf"/>
      </w:pict>
    </w:r>
    <w:r w:rsidRPr="00ED31D3">
      <w:rPr>
        <w:szCs w:val="20"/>
      </w:rPr>
      <w:t xml:space="preserve">IIGB </w:t>
    </w:r>
    <w:r>
      <w:rPr>
        <w:szCs w:val="20"/>
      </w:rPr>
      <w:t>audit</w:t>
    </w:r>
    <w:r w:rsidRPr="00ED31D3">
      <w:rPr>
        <w:szCs w:val="20"/>
      </w:rPr>
      <w:t xml:space="preserve"> report</w:t>
    </w:r>
    <w:r>
      <w:rPr>
        <w:szCs w:val="20"/>
      </w:rPr>
      <w:t>: M</w:t>
    </w:r>
    <w:r w:rsidRPr="00ED31D3">
      <w:rPr>
        <w:szCs w:val="20"/>
      </w:rPr>
      <w:t>anaging biosecurity risks associated with international online purchases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Default="00E53D8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835D56" w:rsidRDefault="00E53D87">
    <w:pPr>
      <w:pStyle w:val="Header"/>
      <w:rPr>
        <w:szCs w:val="20"/>
      </w:rPr>
    </w:pPr>
    <w:r>
      <w:rPr>
        <w:szCs w:val="20"/>
      </w:rPr>
      <w:pict>
        <v:shapetype id="_x0000_t32" coordsize="21600,21600" o:spt="32" o:oned="t" path="m,l21600,21600e" filled="f">
          <v:path arrowok="t" fillok="f" o:connecttype="none"/>
          <o:lock v:ext="edit" shapetype="t"/>
        </v:shapetype>
        <v:shape id="_x0000_s2099" type="#_x0000_t32" style="position:absolute;margin-left:-.05pt;margin-top:20.05pt;width:416.35pt;height:0;z-index:251660288" o:connectortype="straight" strokecolor="#bfbfbf"/>
      </w:pict>
    </w:r>
    <w:r w:rsidRPr="00ED31D3">
      <w:rPr>
        <w:szCs w:val="20"/>
      </w:rPr>
      <w:t xml:space="preserve">IIGB </w:t>
    </w:r>
    <w:r>
      <w:rPr>
        <w:szCs w:val="20"/>
      </w:rPr>
      <w:t>audit</w:t>
    </w:r>
    <w:r w:rsidRPr="00ED31D3">
      <w:rPr>
        <w:szCs w:val="20"/>
      </w:rPr>
      <w:t xml:space="preserve"> report</w:t>
    </w:r>
    <w:r>
      <w:rPr>
        <w:szCs w:val="20"/>
      </w:rPr>
      <w:t>: M</w:t>
    </w:r>
    <w:r w:rsidRPr="00ED31D3">
      <w:rPr>
        <w:szCs w:val="20"/>
      </w:rPr>
      <w:t>anaging biosecurity risks associated with</w:t>
    </w:r>
    <w:r>
      <w:rPr>
        <w:szCs w:val="20"/>
      </w:rPr>
      <w:t xml:space="preserve"> international online purchases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87" w:rsidRPr="00ED31D3" w:rsidRDefault="00E53D87" w:rsidP="00ED31D3">
    <w:pPr>
      <w:pStyle w:val="Header"/>
      <w:rPr>
        <w:szCs w:val="20"/>
      </w:rPr>
    </w:pPr>
    <w:r>
      <w:rPr>
        <w:szCs w:val="20"/>
      </w:rPr>
      <w:pict>
        <v:shapetype id="_x0000_t32" coordsize="21600,21600" o:spt="32" o:oned="t" path="m,l21600,21600e" filled="f">
          <v:path arrowok="t" fillok="f" o:connecttype="none"/>
          <o:lock v:ext="edit" shapetype="t"/>
        </v:shapetype>
        <v:shape id="_x0000_s2086" type="#_x0000_t32" style="position:absolute;margin-left:-.05pt;margin-top:20.05pt;width:416.35pt;height:0;z-index:251658240" o:connectortype="straight" strokecolor="#bfbfbf"/>
      </w:pict>
    </w:r>
    <w:r w:rsidRPr="00ED31D3">
      <w:rPr>
        <w:szCs w:val="20"/>
      </w:rPr>
      <w:t xml:space="preserve">IIGB </w:t>
    </w:r>
    <w:r>
      <w:rPr>
        <w:szCs w:val="20"/>
      </w:rPr>
      <w:t>audit</w:t>
    </w:r>
    <w:r w:rsidRPr="00ED31D3">
      <w:rPr>
        <w:szCs w:val="20"/>
      </w:rPr>
      <w:t xml:space="preserve"> report</w:t>
    </w:r>
    <w:r>
      <w:rPr>
        <w:szCs w:val="20"/>
      </w:rPr>
      <w:t>: M</w:t>
    </w:r>
    <w:r w:rsidRPr="00ED31D3">
      <w:rPr>
        <w:szCs w:val="20"/>
      </w:rPr>
      <w:t>anaging biosecurity risks associated with international online purchases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D0AED"/>
    <w:multiLevelType w:val="multilevel"/>
    <w:tmpl w:val="71C03C8A"/>
    <w:lvl w:ilvl="0">
      <w:start w:val="1"/>
      <w:numFmt w:val="decimal"/>
      <w:pStyle w:val="NumberedHeading2"/>
      <w:lvlText w:val="%1."/>
      <w:lvlJc w:val="left"/>
      <w:pPr>
        <w:ind w:left="720" w:hanging="360"/>
      </w:pPr>
      <w:rPr>
        <w:rFonts w:hint="default"/>
      </w:rPr>
    </w:lvl>
    <w:lvl w:ilvl="1">
      <w:start w:val="1"/>
      <w:numFmt w:val="decimal"/>
      <w:pStyle w:val="FindingsNormalNumbering"/>
      <w:isLgl/>
      <w:lvlText w:val="%1.%2"/>
      <w:lvlJc w:val="left"/>
      <w:pPr>
        <w:ind w:left="689" w:hanging="405"/>
      </w:pPr>
      <w:rPr>
        <w:rFonts w:ascii="Calibri" w:hAnsi="Calibri" w:cs="Calibri" w:hint="default"/>
        <w:b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18D1151"/>
    <w:multiLevelType w:val="hybridMultilevel"/>
    <w:tmpl w:val="5E066432"/>
    <w:lvl w:ilvl="0" w:tplc="225EB660">
      <w:start w:val="1"/>
      <w:numFmt w:val="bullet"/>
      <w:pStyle w:val="bulletlevel1"/>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vertAlign w:val="baseline"/>
        <w:em w:val="none"/>
      </w:rPr>
    </w:lvl>
    <w:lvl w:ilvl="1" w:tplc="5C98CCAC">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30E29C5"/>
    <w:multiLevelType w:val="hybridMultilevel"/>
    <w:tmpl w:val="BA92E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7C16D0C"/>
    <w:multiLevelType w:val="hybridMultilevel"/>
    <w:tmpl w:val="49B06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DE7E7D"/>
    <w:multiLevelType w:val="hybridMultilevel"/>
    <w:tmpl w:val="9760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0F7A24"/>
    <w:multiLevelType w:val="hybridMultilevel"/>
    <w:tmpl w:val="C2246118"/>
    <w:lvl w:ilvl="0" w:tplc="F82E9186">
      <w:start w:val="1"/>
      <w:numFmt w:val="decimal"/>
      <w:pStyle w:val="NormalNumbering"/>
      <w:lvlText w:val="%1."/>
      <w:lvlJc w:val="lef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6">
    <w:nsid w:val="78BB7C8B"/>
    <w:multiLevelType w:val="hybridMultilevel"/>
    <w:tmpl w:val="7B12DE74"/>
    <w:lvl w:ilvl="0" w:tplc="07B4FEB2">
      <w:start w:val="1"/>
      <w:numFmt w:val="bullet"/>
      <w:pStyle w:val="bulletlevel2"/>
      <w:lvlText w:val=""/>
      <w:lvlJc w:val="left"/>
      <w:pPr>
        <w:ind w:left="1146" w:hanging="360"/>
      </w:pPr>
      <w:rPr>
        <w:rFonts w:ascii="Symbol" w:hAnsi="Symbol" w:hint="default"/>
      </w:rPr>
    </w:lvl>
    <w:lvl w:ilvl="1" w:tplc="90E2AD94" w:tentative="1">
      <w:start w:val="1"/>
      <w:numFmt w:val="bullet"/>
      <w:lvlText w:val="o"/>
      <w:lvlJc w:val="left"/>
      <w:pPr>
        <w:ind w:left="1440" w:hanging="360"/>
      </w:pPr>
      <w:rPr>
        <w:rFonts w:ascii="Courier New" w:hAnsi="Courier New" w:cs="Courier New" w:hint="default"/>
      </w:rPr>
    </w:lvl>
    <w:lvl w:ilvl="2" w:tplc="A630FE12" w:tentative="1">
      <w:start w:val="1"/>
      <w:numFmt w:val="bullet"/>
      <w:lvlText w:val=""/>
      <w:lvlJc w:val="left"/>
      <w:pPr>
        <w:ind w:left="2160" w:hanging="360"/>
      </w:pPr>
      <w:rPr>
        <w:rFonts w:ascii="Wingdings" w:hAnsi="Wingdings" w:hint="default"/>
      </w:rPr>
    </w:lvl>
    <w:lvl w:ilvl="3" w:tplc="B21206EC" w:tentative="1">
      <w:start w:val="1"/>
      <w:numFmt w:val="bullet"/>
      <w:lvlText w:val=""/>
      <w:lvlJc w:val="left"/>
      <w:pPr>
        <w:ind w:left="2880" w:hanging="360"/>
      </w:pPr>
      <w:rPr>
        <w:rFonts w:ascii="Symbol" w:hAnsi="Symbol" w:hint="default"/>
      </w:rPr>
    </w:lvl>
    <w:lvl w:ilvl="4" w:tplc="D1703C26" w:tentative="1">
      <w:start w:val="1"/>
      <w:numFmt w:val="bullet"/>
      <w:lvlText w:val="o"/>
      <w:lvlJc w:val="left"/>
      <w:pPr>
        <w:ind w:left="3600" w:hanging="360"/>
      </w:pPr>
      <w:rPr>
        <w:rFonts w:ascii="Courier New" w:hAnsi="Courier New" w:cs="Courier New" w:hint="default"/>
      </w:rPr>
    </w:lvl>
    <w:lvl w:ilvl="5" w:tplc="09A2DC88" w:tentative="1">
      <w:start w:val="1"/>
      <w:numFmt w:val="bullet"/>
      <w:lvlText w:val=""/>
      <w:lvlJc w:val="left"/>
      <w:pPr>
        <w:ind w:left="4320" w:hanging="360"/>
      </w:pPr>
      <w:rPr>
        <w:rFonts w:ascii="Wingdings" w:hAnsi="Wingdings" w:hint="default"/>
      </w:rPr>
    </w:lvl>
    <w:lvl w:ilvl="6" w:tplc="F9E67814" w:tentative="1">
      <w:start w:val="1"/>
      <w:numFmt w:val="bullet"/>
      <w:lvlText w:val=""/>
      <w:lvlJc w:val="left"/>
      <w:pPr>
        <w:ind w:left="5040" w:hanging="360"/>
      </w:pPr>
      <w:rPr>
        <w:rFonts w:ascii="Symbol" w:hAnsi="Symbol" w:hint="default"/>
      </w:rPr>
    </w:lvl>
    <w:lvl w:ilvl="7" w:tplc="FA260C38" w:tentative="1">
      <w:start w:val="1"/>
      <w:numFmt w:val="bullet"/>
      <w:lvlText w:val="o"/>
      <w:lvlJc w:val="left"/>
      <w:pPr>
        <w:ind w:left="5760" w:hanging="360"/>
      </w:pPr>
      <w:rPr>
        <w:rFonts w:ascii="Courier New" w:hAnsi="Courier New" w:cs="Courier New" w:hint="default"/>
      </w:rPr>
    </w:lvl>
    <w:lvl w:ilvl="8" w:tplc="11C29ECC"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5"/>
    <w:lvlOverride w:ilvl="0">
      <w:startOverride w:val="1"/>
    </w:lvlOverride>
  </w:num>
  <w:num w:numId="5">
    <w:abstractNumId w:val="6"/>
  </w:num>
  <w:num w:numId="6">
    <w:abstractNumId w:val="3"/>
  </w:num>
  <w:num w:numId="7">
    <w:abstractNumId w:val="4"/>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num>
  <w:num w:numId="14">
    <w:abstractNumId w:val="1"/>
  </w:num>
  <w:num w:numId="15">
    <w:abstractNumId w:val="1"/>
  </w:num>
  <w:num w:numId="16">
    <w:abstractNumId w:val="0"/>
  </w:num>
  <w:num w:numId="17">
    <w:abstractNumId w:val="5"/>
  </w:num>
  <w:num w:numId="18">
    <w:abstractNumId w:val="0"/>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008"/>
  <w:stylePaneSortMethod w:val="0000"/>
  <w:defaultTabStop w:val="720"/>
  <w:drawingGridHorizontalSpacing w:val="110"/>
  <w:displayHorizontalDrawingGridEvery w:val="2"/>
  <w:characterSpacingControl w:val="doNotCompress"/>
  <w:hdrShapeDefaults>
    <o:shapedefaults v:ext="edit" spidmax="2100">
      <o:colormenu v:ext="edit" strokecolor="none [2412]"/>
    </o:shapedefaults>
    <o:shapelayout v:ext="edit">
      <o:idmap v:ext="edit" data="2"/>
      <o:rules v:ext="edit">
        <o:r id="V:Rule6" type="connector" idref="#_x0000_s2081"/>
        <o:r id="V:Rule7" type="connector" idref="#_x0000_s2097"/>
        <o:r id="V:Rule8" type="connector" idref="#_x0000_s2073"/>
        <o:r id="V:Rule9" type="connector" idref="#_x0000_s2086"/>
        <o:r id="V:Rule10" type="connector" idref="#_x0000_s2099"/>
      </o:rules>
    </o:shapelayout>
  </w:hdrShapeDefaults>
  <w:footnotePr>
    <w:footnote w:id="-1"/>
    <w:footnote w:id="0"/>
  </w:footnotePr>
  <w:endnotePr>
    <w:endnote w:id="-1"/>
    <w:endnote w:id="0"/>
  </w:endnotePr>
  <w:compat/>
  <w:rsids>
    <w:rsidRoot w:val="0001395C"/>
    <w:rsid w:val="0000011A"/>
    <w:rsid w:val="000001BA"/>
    <w:rsid w:val="00000CB2"/>
    <w:rsid w:val="00000EB4"/>
    <w:rsid w:val="0000124C"/>
    <w:rsid w:val="00002056"/>
    <w:rsid w:val="00002647"/>
    <w:rsid w:val="00002752"/>
    <w:rsid w:val="00003B84"/>
    <w:rsid w:val="00003CE7"/>
    <w:rsid w:val="00003D38"/>
    <w:rsid w:val="000041E3"/>
    <w:rsid w:val="00004998"/>
    <w:rsid w:val="00005BC0"/>
    <w:rsid w:val="00005C46"/>
    <w:rsid w:val="0000633A"/>
    <w:rsid w:val="000067F8"/>
    <w:rsid w:val="00006EC8"/>
    <w:rsid w:val="00006FF8"/>
    <w:rsid w:val="00007138"/>
    <w:rsid w:val="00007197"/>
    <w:rsid w:val="00010AB0"/>
    <w:rsid w:val="00011B1D"/>
    <w:rsid w:val="00011CA5"/>
    <w:rsid w:val="00011E62"/>
    <w:rsid w:val="00012E91"/>
    <w:rsid w:val="0001395C"/>
    <w:rsid w:val="0001444B"/>
    <w:rsid w:val="000148EB"/>
    <w:rsid w:val="00015964"/>
    <w:rsid w:val="00015A1A"/>
    <w:rsid w:val="000163E8"/>
    <w:rsid w:val="000164C6"/>
    <w:rsid w:val="000167A6"/>
    <w:rsid w:val="00017646"/>
    <w:rsid w:val="000179D0"/>
    <w:rsid w:val="00020F0D"/>
    <w:rsid w:val="000215F5"/>
    <w:rsid w:val="00022324"/>
    <w:rsid w:val="00022DB4"/>
    <w:rsid w:val="00023197"/>
    <w:rsid w:val="00023244"/>
    <w:rsid w:val="0002449F"/>
    <w:rsid w:val="00025437"/>
    <w:rsid w:val="00026173"/>
    <w:rsid w:val="000268B5"/>
    <w:rsid w:val="00030373"/>
    <w:rsid w:val="00031753"/>
    <w:rsid w:val="00031A13"/>
    <w:rsid w:val="000326D2"/>
    <w:rsid w:val="00034363"/>
    <w:rsid w:val="00034798"/>
    <w:rsid w:val="00034DED"/>
    <w:rsid w:val="0003534D"/>
    <w:rsid w:val="00035C74"/>
    <w:rsid w:val="000360A4"/>
    <w:rsid w:val="00036907"/>
    <w:rsid w:val="000375A3"/>
    <w:rsid w:val="00037F39"/>
    <w:rsid w:val="00040EC7"/>
    <w:rsid w:val="000410EC"/>
    <w:rsid w:val="000423A1"/>
    <w:rsid w:val="000424E5"/>
    <w:rsid w:val="0004397D"/>
    <w:rsid w:val="0004468C"/>
    <w:rsid w:val="000467B5"/>
    <w:rsid w:val="0004682C"/>
    <w:rsid w:val="00046B91"/>
    <w:rsid w:val="00046DD9"/>
    <w:rsid w:val="00046F6E"/>
    <w:rsid w:val="0004702B"/>
    <w:rsid w:val="00047F72"/>
    <w:rsid w:val="000504CB"/>
    <w:rsid w:val="0005055E"/>
    <w:rsid w:val="00050A4C"/>
    <w:rsid w:val="0005104D"/>
    <w:rsid w:val="00051240"/>
    <w:rsid w:val="00051C1C"/>
    <w:rsid w:val="00052677"/>
    <w:rsid w:val="00052C01"/>
    <w:rsid w:val="00053390"/>
    <w:rsid w:val="00053983"/>
    <w:rsid w:val="0005474F"/>
    <w:rsid w:val="0006114C"/>
    <w:rsid w:val="00063453"/>
    <w:rsid w:val="00064FC2"/>
    <w:rsid w:val="00065B63"/>
    <w:rsid w:val="0006630F"/>
    <w:rsid w:val="00066477"/>
    <w:rsid w:val="000670A9"/>
    <w:rsid w:val="00067B7A"/>
    <w:rsid w:val="000703BF"/>
    <w:rsid w:val="0007046A"/>
    <w:rsid w:val="00070A40"/>
    <w:rsid w:val="000715B6"/>
    <w:rsid w:val="00073B34"/>
    <w:rsid w:val="00075773"/>
    <w:rsid w:val="00075D9B"/>
    <w:rsid w:val="00075ED0"/>
    <w:rsid w:val="0007662C"/>
    <w:rsid w:val="000802F9"/>
    <w:rsid w:val="00080836"/>
    <w:rsid w:val="00080B69"/>
    <w:rsid w:val="00080D4A"/>
    <w:rsid w:val="00083D58"/>
    <w:rsid w:val="00084FDB"/>
    <w:rsid w:val="000850A4"/>
    <w:rsid w:val="00085E91"/>
    <w:rsid w:val="00085FE0"/>
    <w:rsid w:val="00086CB5"/>
    <w:rsid w:val="00086EAC"/>
    <w:rsid w:val="00087206"/>
    <w:rsid w:val="000876EF"/>
    <w:rsid w:val="00087E5D"/>
    <w:rsid w:val="000906D6"/>
    <w:rsid w:val="000908F5"/>
    <w:rsid w:val="0009383E"/>
    <w:rsid w:val="0009464B"/>
    <w:rsid w:val="0009493B"/>
    <w:rsid w:val="00094C30"/>
    <w:rsid w:val="000960C7"/>
    <w:rsid w:val="00096823"/>
    <w:rsid w:val="00096865"/>
    <w:rsid w:val="000968D7"/>
    <w:rsid w:val="000978D9"/>
    <w:rsid w:val="000A0016"/>
    <w:rsid w:val="000A04E8"/>
    <w:rsid w:val="000A0D19"/>
    <w:rsid w:val="000A12BB"/>
    <w:rsid w:val="000A2263"/>
    <w:rsid w:val="000A237A"/>
    <w:rsid w:val="000A43E6"/>
    <w:rsid w:val="000A4CC7"/>
    <w:rsid w:val="000A5F8C"/>
    <w:rsid w:val="000A60A6"/>
    <w:rsid w:val="000A6B03"/>
    <w:rsid w:val="000A6C2C"/>
    <w:rsid w:val="000A6D1B"/>
    <w:rsid w:val="000A6E8B"/>
    <w:rsid w:val="000A72E3"/>
    <w:rsid w:val="000B07A2"/>
    <w:rsid w:val="000B0E55"/>
    <w:rsid w:val="000B0EDA"/>
    <w:rsid w:val="000B2E40"/>
    <w:rsid w:val="000B2F9E"/>
    <w:rsid w:val="000B31B4"/>
    <w:rsid w:val="000B31C8"/>
    <w:rsid w:val="000B4BD4"/>
    <w:rsid w:val="000B5CE6"/>
    <w:rsid w:val="000C0079"/>
    <w:rsid w:val="000C0840"/>
    <w:rsid w:val="000C27A7"/>
    <w:rsid w:val="000C39BE"/>
    <w:rsid w:val="000C3A58"/>
    <w:rsid w:val="000C4147"/>
    <w:rsid w:val="000C4645"/>
    <w:rsid w:val="000C4E89"/>
    <w:rsid w:val="000C6036"/>
    <w:rsid w:val="000C620B"/>
    <w:rsid w:val="000C7548"/>
    <w:rsid w:val="000C7A05"/>
    <w:rsid w:val="000C7F0D"/>
    <w:rsid w:val="000D07B4"/>
    <w:rsid w:val="000D176E"/>
    <w:rsid w:val="000D32A8"/>
    <w:rsid w:val="000D37E3"/>
    <w:rsid w:val="000D4600"/>
    <w:rsid w:val="000D49BF"/>
    <w:rsid w:val="000D5048"/>
    <w:rsid w:val="000D5358"/>
    <w:rsid w:val="000D574D"/>
    <w:rsid w:val="000D574F"/>
    <w:rsid w:val="000D5AFB"/>
    <w:rsid w:val="000D66B1"/>
    <w:rsid w:val="000D7B5F"/>
    <w:rsid w:val="000D7E64"/>
    <w:rsid w:val="000E6E49"/>
    <w:rsid w:val="000F040F"/>
    <w:rsid w:val="000F0F70"/>
    <w:rsid w:val="000F1751"/>
    <w:rsid w:val="000F2568"/>
    <w:rsid w:val="000F294B"/>
    <w:rsid w:val="000F307F"/>
    <w:rsid w:val="000F32FD"/>
    <w:rsid w:val="000F5131"/>
    <w:rsid w:val="000F5134"/>
    <w:rsid w:val="000F5938"/>
    <w:rsid w:val="000F6C3A"/>
    <w:rsid w:val="000F6CD7"/>
    <w:rsid w:val="000F71B8"/>
    <w:rsid w:val="000F74EF"/>
    <w:rsid w:val="000F77CF"/>
    <w:rsid w:val="000F79B4"/>
    <w:rsid w:val="0010028D"/>
    <w:rsid w:val="001036B3"/>
    <w:rsid w:val="001042D9"/>
    <w:rsid w:val="001043BB"/>
    <w:rsid w:val="001047D3"/>
    <w:rsid w:val="00105DE3"/>
    <w:rsid w:val="00106658"/>
    <w:rsid w:val="00106869"/>
    <w:rsid w:val="00106DD5"/>
    <w:rsid w:val="0010732F"/>
    <w:rsid w:val="00107384"/>
    <w:rsid w:val="001101C3"/>
    <w:rsid w:val="00111339"/>
    <w:rsid w:val="00111612"/>
    <w:rsid w:val="001120E0"/>
    <w:rsid w:val="0011252A"/>
    <w:rsid w:val="00112ABA"/>
    <w:rsid w:val="0011384E"/>
    <w:rsid w:val="0011390E"/>
    <w:rsid w:val="00114001"/>
    <w:rsid w:val="00114907"/>
    <w:rsid w:val="001154A8"/>
    <w:rsid w:val="00115539"/>
    <w:rsid w:val="0011649A"/>
    <w:rsid w:val="00116DCC"/>
    <w:rsid w:val="0011779C"/>
    <w:rsid w:val="00120975"/>
    <w:rsid w:val="0012103A"/>
    <w:rsid w:val="00121751"/>
    <w:rsid w:val="0012181C"/>
    <w:rsid w:val="00121F7A"/>
    <w:rsid w:val="0012268D"/>
    <w:rsid w:val="00123623"/>
    <w:rsid w:val="0012423E"/>
    <w:rsid w:val="00125AEF"/>
    <w:rsid w:val="00130E28"/>
    <w:rsid w:val="0013196E"/>
    <w:rsid w:val="001324BE"/>
    <w:rsid w:val="00133488"/>
    <w:rsid w:val="00133FE2"/>
    <w:rsid w:val="0013451C"/>
    <w:rsid w:val="00135BB3"/>
    <w:rsid w:val="001367E4"/>
    <w:rsid w:val="0013742F"/>
    <w:rsid w:val="00137705"/>
    <w:rsid w:val="00140284"/>
    <w:rsid w:val="001409CB"/>
    <w:rsid w:val="00140FDE"/>
    <w:rsid w:val="0014186B"/>
    <w:rsid w:val="00142270"/>
    <w:rsid w:val="00142476"/>
    <w:rsid w:val="00142DB5"/>
    <w:rsid w:val="0014326C"/>
    <w:rsid w:val="001434AC"/>
    <w:rsid w:val="00143AB7"/>
    <w:rsid w:val="00143B54"/>
    <w:rsid w:val="00144DC9"/>
    <w:rsid w:val="00146134"/>
    <w:rsid w:val="0014755D"/>
    <w:rsid w:val="0014755E"/>
    <w:rsid w:val="001507EF"/>
    <w:rsid w:val="00151ED8"/>
    <w:rsid w:val="001543D5"/>
    <w:rsid w:val="001553FC"/>
    <w:rsid w:val="001555B3"/>
    <w:rsid w:val="00156100"/>
    <w:rsid w:val="00157C84"/>
    <w:rsid w:val="00157EFF"/>
    <w:rsid w:val="0016061B"/>
    <w:rsid w:val="001606C6"/>
    <w:rsid w:val="001609F9"/>
    <w:rsid w:val="00161D4B"/>
    <w:rsid w:val="00163C50"/>
    <w:rsid w:val="00163D72"/>
    <w:rsid w:val="00163F3E"/>
    <w:rsid w:val="001641F7"/>
    <w:rsid w:val="0016442E"/>
    <w:rsid w:val="00170C09"/>
    <w:rsid w:val="00170DAF"/>
    <w:rsid w:val="00172CE4"/>
    <w:rsid w:val="00173598"/>
    <w:rsid w:val="001739B4"/>
    <w:rsid w:val="00174991"/>
    <w:rsid w:val="00175A73"/>
    <w:rsid w:val="00175AB5"/>
    <w:rsid w:val="00175EC1"/>
    <w:rsid w:val="0017663E"/>
    <w:rsid w:val="0017675F"/>
    <w:rsid w:val="00177579"/>
    <w:rsid w:val="0017772D"/>
    <w:rsid w:val="001777A1"/>
    <w:rsid w:val="0018037C"/>
    <w:rsid w:val="001809F6"/>
    <w:rsid w:val="00180A1C"/>
    <w:rsid w:val="00180CB0"/>
    <w:rsid w:val="001810AA"/>
    <w:rsid w:val="00181942"/>
    <w:rsid w:val="00182B01"/>
    <w:rsid w:val="00182B52"/>
    <w:rsid w:val="00183159"/>
    <w:rsid w:val="00183191"/>
    <w:rsid w:val="00184CB1"/>
    <w:rsid w:val="00184E91"/>
    <w:rsid w:val="001858A0"/>
    <w:rsid w:val="00186667"/>
    <w:rsid w:val="001867FE"/>
    <w:rsid w:val="0018766F"/>
    <w:rsid w:val="00187B59"/>
    <w:rsid w:val="00187D25"/>
    <w:rsid w:val="00187FF0"/>
    <w:rsid w:val="001915DC"/>
    <w:rsid w:val="001915E8"/>
    <w:rsid w:val="00191D67"/>
    <w:rsid w:val="0019206B"/>
    <w:rsid w:val="00192592"/>
    <w:rsid w:val="00192DFB"/>
    <w:rsid w:val="001932AF"/>
    <w:rsid w:val="00193CEA"/>
    <w:rsid w:val="001A00FD"/>
    <w:rsid w:val="001A04D3"/>
    <w:rsid w:val="001A22C7"/>
    <w:rsid w:val="001A25BD"/>
    <w:rsid w:val="001A2AFD"/>
    <w:rsid w:val="001A337B"/>
    <w:rsid w:val="001A3FD4"/>
    <w:rsid w:val="001A42E5"/>
    <w:rsid w:val="001A4B1B"/>
    <w:rsid w:val="001A4FC5"/>
    <w:rsid w:val="001A5E77"/>
    <w:rsid w:val="001A6715"/>
    <w:rsid w:val="001A6AF7"/>
    <w:rsid w:val="001A7786"/>
    <w:rsid w:val="001B0B7D"/>
    <w:rsid w:val="001B1812"/>
    <w:rsid w:val="001B1CE7"/>
    <w:rsid w:val="001B2B81"/>
    <w:rsid w:val="001B30CC"/>
    <w:rsid w:val="001B3AFC"/>
    <w:rsid w:val="001B3DF2"/>
    <w:rsid w:val="001B45AD"/>
    <w:rsid w:val="001B5AAA"/>
    <w:rsid w:val="001B5D9D"/>
    <w:rsid w:val="001B5DED"/>
    <w:rsid w:val="001B62CC"/>
    <w:rsid w:val="001B643B"/>
    <w:rsid w:val="001B72DD"/>
    <w:rsid w:val="001C2084"/>
    <w:rsid w:val="001C2CF9"/>
    <w:rsid w:val="001C30A8"/>
    <w:rsid w:val="001C32DA"/>
    <w:rsid w:val="001C430B"/>
    <w:rsid w:val="001C46F7"/>
    <w:rsid w:val="001C5538"/>
    <w:rsid w:val="001C7542"/>
    <w:rsid w:val="001C7A78"/>
    <w:rsid w:val="001C7B80"/>
    <w:rsid w:val="001C7C82"/>
    <w:rsid w:val="001D03FC"/>
    <w:rsid w:val="001D0A8B"/>
    <w:rsid w:val="001D0C1E"/>
    <w:rsid w:val="001D0C92"/>
    <w:rsid w:val="001D2716"/>
    <w:rsid w:val="001D2DF4"/>
    <w:rsid w:val="001D3ACA"/>
    <w:rsid w:val="001D3FE2"/>
    <w:rsid w:val="001D50BE"/>
    <w:rsid w:val="001D5205"/>
    <w:rsid w:val="001D5D6F"/>
    <w:rsid w:val="001D6414"/>
    <w:rsid w:val="001D6D9B"/>
    <w:rsid w:val="001D7BED"/>
    <w:rsid w:val="001E0FF8"/>
    <w:rsid w:val="001E28E7"/>
    <w:rsid w:val="001E2939"/>
    <w:rsid w:val="001E2F01"/>
    <w:rsid w:val="001E3C55"/>
    <w:rsid w:val="001E4EA4"/>
    <w:rsid w:val="001E5DBD"/>
    <w:rsid w:val="001E6DE9"/>
    <w:rsid w:val="001E708E"/>
    <w:rsid w:val="001E79BF"/>
    <w:rsid w:val="001F0793"/>
    <w:rsid w:val="001F081D"/>
    <w:rsid w:val="001F22D0"/>
    <w:rsid w:val="001F2A0F"/>
    <w:rsid w:val="001F4844"/>
    <w:rsid w:val="001F48AC"/>
    <w:rsid w:val="001F527D"/>
    <w:rsid w:val="001F5F04"/>
    <w:rsid w:val="001F6A46"/>
    <w:rsid w:val="00200048"/>
    <w:rsid w:val="002018AB"/>
    <w:rsid w:val="00202473"/>
    <w:rsid w:val="00202809"/>
    <w:rsid w:val="00202D00"/>
    <w:rsid w:val="002035E6"/>
    <w:rsid w:val="00203D85"/>
    <w:rsid w:val="002043CC"/>
    <w:rsid w:val="00205F1C"/>
    <w:rsid w:val="002077D6"/>
    <w:rsid w:val="00210106"/>
    <w:rsid w:val="0021082F"/>
    <w:rsid w:val="0021171E"/>
    <w:rsid w:val="00211CC6"/>
    <w:rsid w:val="00211F8B"/>
    <w:rsid w:val="0021248E"/>
    <w:rsid w:val="002126AD"/>
    <w:rsid w:val="00213AD4"/>
    <w:rsid w:val="00214A4E"/>
    <w:rsid w:val="00214DB9"/>
    <w:rsid w:val="00216FDB"/>
    <w:rsid w:val="00217314"/>
    <w:rsid w:val="0021766C"/>
    <w:rsid w:val="00220288"/>
    <w:rsid w:val="00221F64"/>
    <w:rsid w:val="00222293"/>
    <w:rsid w:val="00224956"/>
    <w:rsid w:val="00225878"/>
    <w:rsid w:val="00225FE4"/>
    <w:rsid w:val="0022700D"/>
    <w:rsid w:val="002305C9"/>
    <w:rsid w:val="002309A6"/>
    <w:rsid w:val="00230FD9"/>
    <w:rsid w:val="0023164E"/>
    <w:rsid w:val="0023184E"/>
    <w:rsid w:val="00231E28"/>
    <w:rsid w:val="0023241B"/>
    <w:rsid w:val="00233252"/>
    <w:rsid w:val="00233645"/>
    <w:rsid w:val="00233A7F"/>
    <w:rsid w:val="0023428C"/>
    <w:rsid w:val="0023446D"/>
    <w:rsid w:val="002350F5"/>
    <w:rsid w:val="00236019"/>
    <w:rsid w:val="0023653A"/>
    <w:rsid w:val="00237369"/>
    <w:rsid w:val="002378DE"/>
    <w:rsid w:val="00237DB1"/>
    <w:rsid w:val="00240158"/>
    <w:rsid w:val="00240EC0"/>
    <w:rsid w:val="002410BF"/>
    <w:rsid w:val="002431FC"/>
    <w:rsid w:val="0024371E"/>
    <w:rsid w:val="00243F21"/>
    <w:rsid w:val="002446FA"/>
    <w:rsid w:val="00246B68"/>
    <w:rsid w:val="00246D7D"/>
    <w:rsid w:val="002471DE"/>
    <w:rsid w:val="00250088"/>
    <w:rsid w:val="00250397"/>
    <w:rsid w:val="002506C0"/>
    <w:rsid w:val="00252271"/>
    <w:rsid w:val="00252CB7"/>
    <w:rsid w:val="00253044"/>
    <w:rsid w:val="00253401"/>
    <w:rsid w:val="002553AD"/>
    <w:rsid w:val="00255E8F"/>
    <w:rsid w:val="002571E7"/>
    <w:rsid w:val="00257E67"/>
    <w:rsid w:val="002604B5"/>
    <w:rsid w:val="00260E40"/>
    <w:rsid w:val="00261570"/>
    <w:rsid w:val="00261B31"/>
    <w:rsid w:val="00261FB9"/>
    <w:rsid w:val="002620C8"/>
    <w:rsid w:val="00262F57"/>
    <w:rsid w:val="00265255"/>
    <w:rsid w:val="0027068F"/>
    <w:rsid w:val="002709D0"/>
    <w:rsid w:val="00271059"/>
    <w:rsid w:val="00271BE1"/>
    <w:rsid w:val="00271DF8"/>
    <w:rsid w:val="00272651"/>
    <w:rsid w:val="00272AB6"/>
    <w:rsid w:val="0027429E"/>
    <w:rsid w:val="00274B0C"/>
    <w:rsid w:val="00274C63"/>
    <w:rsid w:val="00274DBE"/>
    <w:rsid w:val="00274FFF"/>
    <w:rsid w:val="002751A9"/>
    <w:rsid w:val="00276BB6"/>
    <w:rsid w:val="002775F5"/>
    <w:rsid w:val="0027765D"/>
    <w:rsid w:val="00280111"/>
    <w:rsid w:val="00280FFC"/>
    <w:rsid w:val="00281093"/>
    <w:rsid w:val="0028201D"/>
    <w:rsid w:val="00283053"/>
    <w:rsid w:val="0028328C"/>
    <w:rsid w:val="002847C9"/>
    <w:rsid w:val="002856BB"/>
    <w:rsid w:val="0028579A"/>
    <w:rsid w:val="00286027"/>
    <w:rsid w:val="0028649F"/>
    <w:rsid w:val="00286BA4"/>
    <w:rsid w:val="00287042"/>
    <w:rsid w:val="002874A0"/>
    <w:rsid w:val="00287614"/>
    <w:rsid w:val="00287EEE"/>
    <w:rsid w:val="0029110F"/>
    <w:rsid w:val="00291BB2"/>
    <w:rsid w:val="00292D0D"/>
    <w:rsid w:val="0029391B"/>
    <w:rsid w:val="00294798"/>
    <w:rsid w:val="00295B58"/>
    <w:rsid w:val="00295C06"/>
    <w:rsid w:val="002A10B9"/>
    <w:rsid w:val="002A16F9"/>
    <w:rsid w:val="002A3851"/>
    <w:rsid w:val="002A3CAE"/>
    <w:rsid w:val="002A3CC2"/>
    <w:rsid w:val="002A4073"/>
    <w:rsid w:val="002A4C35"/>
    <w:rsid w:val="002A4FAA"/>
    <w:rsid w:val="002A5423"/>
    <w:rsid w:val="002A7ACE"/>
    <w:rsid w:val="002B0491"/>
    <w:rsid w:val="002B07D4"/>
    <w:rsid w:val="002B1D6E"/>
    <w:rsid w:val="002B28D9"/>
    <w:rsid w:val="002B2A00"/>
    <w:rsid w:val="002B4226"/>
    <w:rsid w:val="002B597D"/>
    <w:rsid w:val="002B6900"/>
    <w:rsid w:val="002C0823"/>
    <w:rsid w:val="002C1002"/>
    <w:rsid w:val="002C1CD4"/>
    <w:rsid w:val="002C343C"/>
    <w:rsid w:val="002C36D6"/>
    <w:rsid w:val="002C3DEE"/>
    <w:rsid w:val="002C46E1"/>
    <w:rsid w:val="002C4813"/>
    <w:rsid w:val="002C48AC"/>
    <w:rsid w:val="002C5023"/>
    <w:rsid w:val="002C5092"/>
    <w:rsid w:val="002C5675"/>
    <w:rsid w:val="002C602F"/>
    <w:rsid w:val="002C79D9"/>
    <w:rsid w:val="002C7C0F"/>
    <w:rsid w:val="002D10C5"/>
    <w:rsid w:val="002D22B5"/>
    <w:rsid w:val="002D2816"/>
    <w:rsid w:val="002D4939"/>
    <w:rsid w:val="002D4EA1"/>
    <w:rsid w:val="002D5B4D"/>
    <w:rsid w:val="002D7035"/>
    <w:rsid w:val="002D71D7"/>
    <w:rsid w:val="002D7EFE"/>
    <w:rsid w:val="002E00CE"/>
    <w:rsid w:val="002E0484"/>
    <w:rsid w:val="002E0A89"/>
    <w:rsid w:val="002E2926"/>
    <w:rsid w:val="002E2A7E"/>
    <w:rsid w:val="002E3CA4"/>
    <w:rsid w:val="002E3F89"/>
    <w:rsid w:val="002E60C2"/>
    <w:rsid w:val="002E652A"/>
    <w:rsid w:val="002F03E1"/>
    <w:rsid w:val="002F10C1"/>
    <w:rsid w:val="002F1805"/>
    <w:rsid w:val="002F3B2A"/>
    <w:rsid w:val="002F41DA"/>
    <w:rsid w:val="002F470D"/>
    <w:rsid w:val="002F4747"/>
    <w:rsid w:val="002F5A39"/>
    <w:rsid w:val="002F5A64"/>
    <w:rsid w:val="002F5AD5"/>
    <w:rsid w:val="00300C36"/>
    <w:rsid w:val="00301839"/>
    <w:rsid w:val="00302815"/>
    <w:rsid w:val="003031B8"/>
    <w:rsid w:val="00304B57"/>
    <w:rsid w:val="00304E1B"/>
    <w:rsid w:val="003068F9"/>
    <w:rsid w:val="00307CDF"/>
    <w:rsid w:val="00312B23"/>
    <w:rsid w:val="00312F5F"/>
    <w:rsid w:val="00313315"/>
    <w:rsid w:val="003134C7"/>
    <w:rsid w:val="00314847"/>
    <w:rsid w:val="00315098"/>
    <w:rsid w:val="0031531B"/>
    <w:rsid w:val="003156F8"/>
    <w:rsid w:val="0031693A"/>
    <w:rsid w:val="0031750A"/>
    <w:rsid w:val="00317C79"/>
    <w:rsid w:val="003222E7"/>
    <w:rsid w:val="00323976"/>
    <w:rsid w:val="003263AC"/>
    <w:rsid w:val="00326A93"/>
    <w:rsid w:val="00326C0E"/>
    <w:rsid w:val="00326EF4"/>
    <w:rsid w:val="0032711F"/>
    <w:rsid w:val="003274BB"/>
    <w:rsid w:val="00327BF8"/>
    <w:rsid w:val="00331ADB"/>
    <w:rsid w:val="00332116"/>
    <w:rsid w:val="0033298B"/>
    <w:rsid w:val="00334500"/>
    <w:rsid w:val="00334A4C"/>
    <w:rsid w:val="00334DED"/>
    <w:rsid w:val="00335E54"/>
    <w:rsid w:val="00335EA5"/>
    <w:rsid w:val="00336134"/>
    <w:rsid w:val="00336C2E"/>
    <w:rsid w:val="00336D00"/>
    <w:rsid w:val="003375A8"/>
    <w:rsid w:val="00341EE2"/>
    <w:rsid w:val="003425A3"/>
    <w:rsid w:val="00343643"/>
    <w:rsid w:val="003442ED"/>
    <w:rsid w:val="00344501"/>
    <w:rsid w:val="0034504C"/>
    <w:rsid w:val="00345720"/>
    <w:rsid w:val="0034574A"/>
    <w:rsid w:val="003470A1"/>
    <w:rsid w:val="0034732C"/>
    <w:rsid w:val="003477EB"/>
    <w:rsid w:val="0035068E"/>
    <w:rsid w:val="003508A9"/>
    <w:rsid w:val="00350917"/>
    <w:rsid w:val="0035143E"/>
    <w:rsid w:val="00351913"/>
    <w:rsid w:val="00351F6E"/>
    <w:rsid w:val="003525CF"/>
    <w:rsid w:val="00352685"/>
    <w:rsid w:val="0035276E"/>
    <w:rsid w:val="003531B8"/>
    <w:rsid w:val="00353F92"/>
    <w:rsid w:val="00354320"/>
    <w:rsid w:val="0035619C"/>
    <w:rsid w:val="00356719"/>
    <w:rsid w:val="00357000"/>
    <w:rsid w:val="003577D1"/>
    <w:rsid w:val="0036074F"/>
    <w:rsid w:val="00360FF9"/>
    <w:rsid w:val="00361DE5"/>
    <w:rsid w:val="003620C0"/>
    <w:rsid w:val="003622D3"/>
    <w:rsid w:val="00363783"/>
    <w:rsid w:val="00364A7C"/>
    <w:rsid w:val="00365A23"/>
    <w:rsid w:val="00366E64"/>
    <w:rsid w:val="003678D4"/>
    <w:rsid w:val="003700CC"/>
    <w:rsid w:val="00371EE1"/>
    <w:rsid w:val="0037366E"/>
    <w:rsid w:val="003736F0"/>
    <w:rsid w:val="00373A79"/>
    <w:rsid w:val="003742F6"/>
    <w:rsid w:val="00374FF5"/>
    <w:rsid w:val="003753CF"/>
    <w:rsid w:val="00377629"/>
    <w:rsid w:val="00380008"/>
    <w:rsid w:val="00380A7E"/>
    <w:rsid w:val="00382018"/>
    <w:rsid w:val="0038219C"/>
    <w:rsid w:val="0038258D"/>
    <w:rsid w:val="00382F0C"/>
    <w:rsid w:val="00383B0F"/>
    <w:rsid w:val="0038467D"/>
    <w:rsid w:val="00384A23"/>
    <w:rsid w:val="00384A84"/>
    <w:rsid w:val="0038539B"/>
    <w:rsid w:val="00385910"/>
    <w:rsid w:val="0038604E"/>
    <w:rsid w:val="00386545"/>
    <w:rsid w:val="00386750"/>
    <w:rsid w:val="003870DB"/>
    <w:rsid w:val="003872E7"/>
    <w:rsid w:val="00387E07"/>
    <w:rsid w:val="00387F23"/>
    <w:rsid w:val="00390378"/>
    <w:rsid w:val="00390585"/>
    <w:rsid w:val="00390648"/>
    <w:rsid w:val="00391644"/>
    <w:rsid w:val="00392082"/>
    <w:rsid w:val="003926E2"/>
    <w:rsid w:val="00393649"/>
    <w:rsid w:val="00393651"/>
    <w:rsid w:val="00393973"/>
    <w:rsid w:val="00393B3D"/>
    <w:rsid w:val="00393B70"/>
    <w:rsid w:val="003940CF"/>
    <w:rsid w:val="00395323"/>
    <w:rsid w:val="00395BAB"/>
    <w:rsid w:val="00396D43"/>
    <w:rsid w:val="00397DD0"/>
    <w:rsid w:val="003A1582"/>
    <w:rsid w:val="003A34BC"/>
    <w:rsid w:val="003A3A77"/>
    <w:rsid w:val="003A40E9"/>
    <w:rsid w:val="003A4470"/>
    <w:rsid w:val="003A4474"/>
    <w:rsid w:val="003A496E"/>
    <w:rsid w:val="003A4B34"/>
    <w:rsid w:val="003A6878"/>
    <w:rsid w:val="003A6935"/>
    <w:rsid w:val="003B0DD2"/>
    <w:rsid w:val="003B10B4"/>
    <w:rsid w:val="003B13AD"/>
    <w:rsid w:val="003B140F"/>
    <w:rsid w:val="003B18D6"/>
    <w:rsid w:val="003B2042"/>
    <w:rsid w:val="003B2559"/>
    <w:rsid w:val="003B29F9"/>
    <w:rsid w:val="003B2B02"/>
    <w:rsid w:val="003B3386"/>
    <w:rsid w:val="003B36B9"/>
    <w:rsid w:val="003B39C0"/>
    <w:rsid w:val="003B4652"/>
    <w:rsid w:val="003B4BBF"/>
    <w:rsid w:val="003B4F47"/>
    <w:rsid w:val="003B55F9"/>
    <w:rsid w:val="003B5958"/>
    <w:rsid w:val="003B680C"/>
    <w:rsid w:val="003B736F"/>
    <w:rsid w:val="003C1678"/>
    <w:rsid w:val="003C186E"/>
    <w:rsid w:val="003C1EB9"/>
    <w:rsid w:val="003C1F00"/>
    <w:rsid w:val="003C2BA7"/>
    <w:rsid w:val="003C2FE7"/>
    <w:rsid w:val="003C48C5"/>
    <w:rsid w:val="003C5D72"/>
    <w:rsid w:val="003D1FC3"/>
    <w:rsid w:val="003D277C"/>
    <w:rsid w:val="003D34AE"/>
    <w:rsid w:val="003D366C"/>
    <w:rsid w:val="003D3ABE"/>
    <w:rsid w:val="003D3D2A"/>
    <w:rsid w:val="003D3DEC"/>
    <w:rsid w:val="003D49D2"/>
    <w:rsid w:val="003D67D8"/>
    <w:rsid w:val="003D6CE5"/>
    <w:rsid w:val="003D6DEA"/>
    <w:rsid w:val="003D7051"/>
    <w:rsid w:val="003D74A1"/>
    <w:rsid w:val="003D76C4"/>
    <w:rsid w:val="003D7B1A"/>
    <w:rsid w:val="003D7F8C"/>
    <w:rsid w:val="003E2BBC"/>
    <w:rsid w:val="003E3F03"/>
    <w:rsid w:val="003E410E"/>
    <w:rsid w:val="003E48A5"/>
    <w:rsid w:val="003E4DA1"/>
    <w:rsid w:val="003E536F"/>
    <w:rsid w:val="003E5815"/>
    <w:rsid w:val="003E6445"/>
    <w:rsid w:val="003E6F02"/>
    <w:rsid w:val="003F0606"/>
    <w:rsid w:val="003F2CD7"/>
    <w:rsid w:val="003F35A2"/>
    <w:rsid w:val="003F399D"/>
    <w:rsid w:val="003F487A"/>
    <w:rsid w:val="003F49A3"/>
    <w:rsid w:val="003F5422"/>
    <w:rsid w:val="003F758D"/>
    <w:rsid w:val="003F77DC"/>
    <w:rsid w:val="003F7ECB"/>
    <w:rsid w:val="00400972"/>
    <w:rsid w:val="0040262A"/>
    <w:rsid w:val="00403F4C"/>
    <w:rsid w:val="004050BA"/>
    <w:rsid w:val="00406714"/>
    <w:rsid w:val="00407CAC"/>
    <w:rsid w:val="00407F54"/>
    <w:rsid w:val="004118F4"/>
    <w:rsid w:val="00411D5A"/>
    <w:rsid w:val="004132E6"/>
    <w:rsid w:val="004140F6"/>
    <w:rsid w:val="004142B5"/>
    <w:rsid w:val="00414500"/>
    <w:rsid w:val="00415691"/>
    <w:rsid w:val="00415B24"/>
    <w:rsid w:val="00415DF9"/>
    <w:rsid w:val="00416ECF"/>
    <w:rsid w:val="00417333"/>
    <w:rsid w:val="0042078A"/>
    <w:rsid w:val="004210E1"/>
    <w:rsid w:val="004213E1"/>
    <w:rsid w:val="00421F18"/>
    <w:rsid w:val="00422079"/>
    <w:rsid w:val="0042257E"/>
    <w:rsid w:val="0042269C"/>
    <w:rsid w:val="0042272B"/>
    <w:rsid w:val="004229B2"/>
    <w:rsid w:val="00422BBB"/>
    <w:rsid w:val="00422DF4"/>
    <w:rsid w:val="004231F1"/>
    <w:rsid w:val="0042377F"/>
    <w:rsid w:val="0042576E"/>
    <w:rsid w:val="00426DF2"/>
    <w:rsid w:val="0043080C"/>
    <w:rsid w:val="004315F2"/>
    <w:rsid w:val="00432811"/>
    <w:rsid w:val="00432AA1"/>
    <w:rsid w:val="00434793"/>
    <w:rsid w:val="00435122"/>
    <w:rsid w:val="00435B15"/>
    <w:rsid w:val="00435CEC"/>
    <w:rsid w:val="00436245"/>
    <w:rsid w:val="00436CBB"/>
    <w:rsid w:val="004370B3"/>
    <w:rsid w:val="00437332"/>
    <w:rsid w:val="00440AA4"/>
    <w:rsid w:val="00440F15"/>
    <w:rsid w:val="00442E8E"/>
    <w:rsid w:val="0044326A"/>
    <w:rsid w:val="00444772"/>
    <w:rsid w:val="00444C65"/>
    <w:rsid w:val="00445176"/>
    <w:rsid w:val="00445912"/>
    <w:rsid w:val="00446DBD"/>
    <w:rsid w:val="00447747"/>
    <w:rsid w:val="00447CA0"/>
    <w:rsid w:val="00450D3A"/>
    <w:rsid w:val="004513AA"/>
    <w:rsid w:val="00451597"/>
    <w:rsid w:val="00452EB2"/>
    <w:rsid w:val="00452F43"/>
    <w:rsid w:val="0045308C"/>
    <w:rsid w:val="00453C2B"/>
    <w:rsid w:val="00453CD6"/>
    <w:rsid w:val="00454CD8"/>
    <w:rsid w:val="00454D5D"/>
    <w:rsid w:val="004560E4"/>
    <w:rsid w:val="0045639A"/>
    <w:rsid w:val="00457AC3"/>
    <w:rsid w:val="00460999"/>
    <w:rsid w:val="0046155C"/>
    <w:rsid w:val="00461737"/>
    <w:rsid w:val="00461D88"/>
    <w:rsid w:val="00463A80"/>
    <w:rsid w:val="00464683"/>
    <w:rsid w:val="004648FC"/>
    <w:rsid w:val="00465CD7"/>
    <w:rsid w:val="0046612A"/>
    <w:rsid w:val="00466E11"/>
    <w:rsid w:val="00466FB4"/>
    <w:rsid w:val="004670EC"/>
    <w:rsid w:val="004671AE"/>
    <w:rsid w:val="00467BA7"/>
    <w:rsid w:val="00470157"/>
    <w:rsid w:val="00470F5D"/>
    <w:rsid w:val="00471634"/>
    <w:rsid w:val="004722E3"/>
    <w:rsid w:val="00473ABF"/>
    <w:rsid w:val="004740A8"/>
    <w:rsid w:val="00474521"/>
    <w:rsid w:val="004748E2"/>
    <w:rsid w:val="004754CC"/>
    <w:rsid w:val="0047642D"/>
    <w:rsid w:val="00476804"/>
    <w:rsid w:val="004774EE"/>
    <w:rsid w:val="004776CF"/>
    <w:rsid w:val="00481214"/>
    <w:rsid w:val="00481AE1"/>
    <w:rsid w:val="00481C71"/>
    <w:rsid w:val="00481E58"/>
    <w:rsid w:val="00482ADB"/>
    <w:rsid w:val="004842C8"/>
    <w:rsid w:val="00484693"/>
    <w:rsid w:val="00484743"/>
    <w:rsid w:val="00484817"/>
    <w:rsid w:val="00485A0D"/>
    <w:rsid w:val="00485A2A"/>
    <w:rsid w:val="00485BDB"/>
    <w:rsid w:val="00486916"/>
    <w:rsid w:val="004875A2"/>
    <w:rsid w:val="00487687"/>
    <w:rsid w:val="004926CB"/>
    <w:rsid w:val="00492C04"/>
    <w:rsid w:val="004931AB"/>
    <w:rsid w:val="0049734D"/>
    <w:rsid w:val="004975A9"/>
    <w:rsid w:val="004977AA"/>
    <w:rsid w:val="004A038B"/>
    <w:rsid w:val="004A4205"/>
    <w:rsid w:val="004A5A84"/>
    <w:rsid w:val="004A6141"/>
    <w:rsid w:val="004A6C53"/>
    <w:rsid w:val="004A7248"/>
    <w:rsid w:val="004A775C"/>
    <w:rsid w:val="004B03FF"/>
    <w:rsid w:val="004B0C7B"/>
    <w:rsid w:val="004B4BDA"/>
    <w:rsid w:val="004B64BA"/>
    <w:rsid w:val="004B69B6"/>
    <w:rsid w:val="004B6E12"/>
    <w:rsid w:val="004C06AA"/>
    <w:rsid w:val="004C07F4"/>
    <w:rsid w:val="004C0AD2"/>
    <w:rsid w:val="004C346A"/>
    <w:rsid w:val="004C3562"/>
    <w:rsid w:val="004C40E0"/>
    <w:rsid w:val="004C5EA0"/>
    <w:rsid w:val="004C7AE4"/>
    <w:rsid w:val="004D4627"/>
    <w:rsid w:val="004D5675"/>
    <w:rsid w:val="004D5C92"/>
    <w:rsid w:val="004E02E7"/>
    <w:rsid w:val="004E0C81"/>
    <w:rsid w:val="004E2538"/>
    <w:rsid w:val="004E2D74"/>
    <w:rsid w:val="004E3969"/>
    <w:rsid w:val="004E429F"/>
    <w:rsid w:val="004E4C69"/>
    <w:rsid w:val="004E5A4C"/>
    <w:rsid w:val="004E5CDD"/>
    <w:rsid w:val="004E5EC2"/>
    <w:rsid w:val="004E6BB7"/>
    <w:rsid w:val="004E6FF0"/>
    <w:rsid w:val="004E7D58"/>
    <w:rsid w:val="004F007E"/>
    <w:rsid w:val="004F00AB"/>
    <w:rsid w:val="004F029E"/>
    <w:rsid w:val="004F187B"/>
    <w:rsid w:val="004F18DE"/>
    <w:rsid w:val="004F1A29"/>
    <w:rsid w:val="004F1BEB"/>
    <w:rsid w:val="004F4DAE"/>
    <w:rsid w:val="004F670A"/>
    <w:rsid w:val="004F6917"/>
    <w:rsid w:val="004F6A20"/>
    <w:rsid w:val="005003D8"/>
    <w:rsid w:val="00501058"/>
    <w:rsid w:val="005017CD"/>
    <w:rsid w:val="00501D52"/>
    <w:rsid w:val="00502156"/>
    <w:rsid w:val="00502E10"/>
    <w:rsid w:val="0050302C"/>
    <w:rsid w:val="00503266"/>
    <w:rsid w:val="00504CA2"/>
    <w:rsid w:val="005059B3"/>
    <w:rsid w:val="0050699C"/>
    <w:rsid w:val="00506AB3"/>
    <w:rsid w:val="0050720F"/>
    <w:rsid w:val="00507822"/>
    <w:rsid w:val="005079A9"/>
    <w:rsid w:val="00510AD1"/>
    <w:rsid w:val="0051179F"/>
    <w:rsid w:val="0051311D"/>
    <w:rsid w:val="00513B0D"/>
    <w:rsid w:val="00514504"/>
    <w:rsid w:val="00516475"/>
    <w:rsid w:val="005164C9"/>
    <w:rsid w:val="0051737C"/>
    <w:rsid w:val="005178BF"/>
    <w:rsid w:val="0052017E"/>
    <w:rsid w:val="00521A06"/>
    <w:rsid w:val="00521F27"/>
    <w:rsid w:val="00522021"/>
    <w:rsid w:val="00522C9D"/>
    <w:rsid w:val="00522F73"/>
    <w:rsid w:val="00523218"/>
    <w:rsid w:val="00523E37"/>
    <w:rsid w:val="00524A85"/>
    <w:rsid w:val="00525366"/>
    <w:rsid w:val="00525996"/>
    <w:rsid w:val="0053036D"/>
    <w:rsid w:val="005306EA"/>
    <w:rsid w:val="0053114A"/>
    <w:rsid w:val="005320CC"/>
    <w:rsid w:val="005322B0"/>
    <w:rsid w:val="00534492"/>
    <w:rsid w:val="0053458F"/>
    <w:rsid w:val="00534AC4"/>
    <w:rsid w:val="00534CB8"/>
    <w:rsid w:val="005352BE"/>
    <w:rsid w:val="00535538"/>
    <w:rsid w:val="00535A17"/>
    <w:rsid w:val="005367C3"/>
    <w:rsid w:val="00536D7D"/>
    <w:rsid w:val="005405F2"/>
    <w:rsid w:val="00540721"/>
    <w:rsid w:val="00540B8C"/>
    <w:rsid w:val="0054159B"/>
    <w:rsid w:val="00541D33"/>
    <w:rsid w:val="00541DCF"/>
    <w:rsid w:val="00542547"/>
    <w:rsid w:val="00542A9C"/>
    <w:rsid w:val="0054498A"/>
    <w:rsid w:val="00544EC7"/>
    <w:rsid w:val="005453EA"/>
    <w:rsid w:val="00545C17"/>
    <w:rsid w:val="00546A22"/>
    <w:rsid w:val="00546E00"/>
    <w:rsid w:val="00546FBA"/>
    <w:rsid w:val="005472AB"/>
    <w:rsid w:val="0054776C"/>
    <w:rsid w:val="00550760"/>
    <w:rsid w:val="00550A80"/>
    <w:rsid w:val="005511A7"/>
    <w:rsid w:val="0055217A"/>
    <w:rsid w:val="00552183"/>
    <w:rsid w:val="0055290D"/>
    <w:rsid w:val="00552B2F"/>
    <w:rsid w:val="005545FD"/>
    <w:rsid w:val="00554B9B"/>
    <w:rsid w:val="00554EBD"/>
    <w:rsid w:val="0056029B"/>
    <w:rsid w:val="00560D64"/>
    <w:rsid w:val="005622D3"/>
    <w:rsid w:val="00562474"/>
    <w:rsid w:val="00562C3F"/>
    <w:rsid w:val="00564A06"/>
    <w:rsid w:val="00565249"/>
    <w:rsid w:val="00565559"/>
    <w:rsid w:val="00566A09"/>
    <w:rsid w:val="005670AE"/>
    <w:rsid w:val="0057176C"/>
    <w:rsid w:val="0057177C"/>
    <w:rsid w:val="00571CD2"/>
    <w:rsid w:val="00571CE9"/>
    <w:rsid w:val="00572152"/>
    <w:rsid w:val="005729CF"/>
    <w:rsid w:val="00572CDB"/>
    <w:rsid w:val="0057380D"/>
    <w:rsid w:val="005739B3"/>
    <w:rsid w:val="005742E2"/>
    <w:rsid w:val="00574FBC"/>
    <w:rsid w:val="005751F9"/>
    <w:rsid w:val="005762F6"/>
    <w:rsid w:val="0058045F"/>
    <w:rsid w:val="00580640"/>
    <w:rsid w:val="0058156F"/>
    <w:rsid w:val="005821BE"/>
    <w:rsid w:val="00583355"/>
    <w:rsid w:val="005835F8"/>
    <w:rsid w:val="0058490A"/>
    <w:rsid w:val="0058512F"/>
    <w:rsid w:val="00585C67"/>
    <w:rsid w:val="00585CCD"/>
    <w:rsid w:val="00585D1E"/>
    <w:rsid w:val="005863CF"/>
    <w:rsid w:val="0058661F"/>
    <w:rsid w:val="0058669D"/>
    <w:rsid w:val="00587899"/>
    <w:rsid w:val="005878CD"/>
    <w:rsid w:val="0059041A"/>
    <w:rsid w:val="00590945"/>
    <w:rsid w:val="0059178D"/>
    <w:rsid w:val="00591B7E"/>
    <w:rsid w:val="00591BDA"/>
    <w:rsid w:val="005926F4"/>
    <w:rsid w:val="0059337B"/>
    <w:rsid w:val="00594134"/>
    <w:rsid w:val="00594CBD"/>
    <w:rsid w:val="00595468"/>
    <w:rsid w:val="005956BD"/>
    <w:rsid w:val="00596206"/>
    <w:rsid w:val="005966E4"/>
    <w:rsid w:val="005968EE"/>
    <w:rsid w:val="00597568"/>
    <w:rsid w:val="0059763C"/>
    <w:rsid w:val="00597737"/>
    <w:rsid w:val="00597DCC"/>
    <w:rsid w:val="005A03E0"/>
    <w:rsid w:val="005A0B61"/>
    <w:rsid w:val="005A0E6B"/>
    <w:rsid w:val="005A101A"/>
    <w:rsid w:val="005A2B3A"/>
    <w:rsid w:val="005A34AA"/>
    <w:rsid w:val="005A462F"/>
    <w:rsid w:val="005A4840"/>
    <w:rsid w:val="005A6AD5"/>
    <w:rsid w:val="005A6D75"/>
    <w:rsid w:val="005A7642"/>
    <w:rsid w:val="005B020F"/>
    <w:rsid w:val="005B12ED"/>
    <w:rsid w:val="005B1522"/>
    <w:rsid w:val="005B16F3"/>
    <w:rsid w:val="005B1798"/>
    <w:rsid w:val="005B19C8"/>
    <w:rsid w:val="005B1A1E"/>
    <w:rsid w:val="005B32EF"/>
    <w:rsid w:val="005B5C3E"/>
    <w:rsid w:val="005B6C6B"/>
    <w:rsid w:val="005B6DA5"/>
    <w:rsid w:val="005B750B"/>
    <w:rsid w:val="005C12F0"/>
    <w:rsid w:val="005C2013"/>
    <w:rsid w:val="005C271E"/>
    <w:rsid w:val="005C2CB5"/>
    <w:rsid w:val="005C39A3"/>
    <w:rsid w:val="005C3B16"/>
    <w:rsid w:val="005C4F48"/>
    <w:rsid w:val="005C4FF0"/>
    <w:rsid w:val="005C594F"/>
    <w:rsid w:val="005C5A55"/>
    <w:rsid w:val="005C6D48"/>
    <w:rsid w:val="005D010F"/>
    <w:rsid w:val="005D01AF"/>
    <w:rsid w:val="005D1E64"/>
    <w:rsid w:val="005D219F"/>
    <w:rsid w:val="005D31E5"/>
    <w:rsid w:val="005D36CB"/>
    <w:rsid w:val="005D3DC9"/>
    <w:rsid w:val="005D404B"/>
    <w:rsid w:val="005D43CE"/>
    <w:rsid w:val="005D48A4"/>
    <w:rsid w:val="005D492F"/>
    <w:rsid w:val="005D4E09"/>
    <w:rsid w:val="005D62F0"/>
    <w:rsid w:val="005D63F8"/>
    <w:rsid w:val="005D6581"/>
    <w:rsid w:val="005D79CC"/>
    <w:rsid w:val="005D7DD2"/>
    <w:rsid w:val="005E19C0"/>
    <w:rsid w:val="005E20F6"/>
    <w:rsid w:val="005E27D9"/>
    <w:rsid w:val="005E2E81"/>
    <w:rsid w:val="005E3760"/>
    <w:rsid w:val="005E3CB2"/>
    <w:rsid w:val="005E4A6F"/>
    <w:rsid w:val="005E63DD"/>
    <w:rsid w:val="005E6E83"/>
    <w:rsid w:val="005F069C"/>
    <w:rsid w:val="005F121E"/>
    <w:rsid w:val="005F237A"/>
    <w:rsid w:val="005F2A8A"/>
    <w:rsid w:val="005F4059"/>
    <w:rsid w:val="005F43BE"/>
    <w:rsid w:val="005F4B92"/>
    <w:rsid w:val="005F63F5"/>
    <w:rsid w:val="005F6EC7"/>
    <w:rsid w:val="005F73CB"/>
    <w:rsid w:val="005F7776"/>
    <w:rsid w:val="005F7F5D"/>
    <w:rsid w:val="006000B2"/>
    <w:rsid w:val="006007CB"/>
    <w:rsid w:val="0060117B"/>
    <w:rsid w:val="0060349A"/>
    <w:rsid w:val="00605818"/>
    <w:rsid w:val="00605F39"/>
    <w:rsid w:val="00606ABF"/>
    <w:rsid w:val="00606C83"/>
    <w:rsid w:val="006077DC"/>
    <w:rsid w:val="00607F7F"/>
    <w:rsid w:val="00610AD7"/>
    <w:rsid w:val="006119B5"/>
    <w:rsid w:val="00612B0D"/>
    <w:rsid w:val="00612B8B"/>
    <w:rsid w:val="00612EDD"/>
    <w:rsid w:val="0061343C"/>
    <w:rsid w:val="0061489A"/>
    <w:rsid w:val="00614DD4"/>
    <w:rsid w:val="00614EEE"/>
    <w:rsid w:val="00615B4C"/>
    <w:rsid w:val="00615EA1"/>
    <w:rsid w:val="006163D7"/>
    <w:rsid w:val="00616B4A"/>
    <w:rsid w:val="00616FCB"/>
    <w:rsid w:val="0061742D"/>
    <w:rsid w:val="0061792F"/>
    <w:rsid w:val="00617B22"/>
    <w:rsid w:val="00620A4C"/>
    <w:rsid w:val="00621099"/>
    <w:rsid w:val="0062202B"/>
    <w:rsid w:val="00622B72"/>
    <w:rsid w:val="0062399C"/>
    <w:rsid w:val="00623E0C"/>
    <w:rsid w:val="00624ED5"/>
    <w:rsid w:val="006252F1"/>
    <w:rsid w:val="006254ED"/>
    <w:rsid w:val="006259CC"/>
    <w:rsid w:val="00627BD2"/>
    <w:rsid w:val="00630EBB"/>
    <w:rsid w:val="0063135A"/>
    <w:rsid w:val="00634EDA"/>
    <w:rsid w:val="00636D7F"/>
    <w:rsid w:val="006409AF"/>
    <w:rsid w:val="00640B47"/>
    <w:rsid w:val="00640D20"/>
    <w:rsid w:val="006429C7"/>
    <w:rsid w:val="00644571"/>
    <w:rsid w:val="00644A40"/>
    <w:rsid w:val="0064543E"/>
    <w:rsid w:val="00645CEC"/>
    <w:rsid w:val="00646070"/>
    <w:rsid w:val="00650B9E"/>
    <w:rsid w:val="006520BB"/>
    <w:rsid w:val="00653AE8"/>
    <w:rsid w:val="00653CE9"/>
    <w:rsid w:val="00654369"/>
    <w:rsid w:val="006545D8"/>
    <w:rsid w:val="00655C25"/>
    <w:rsid w:val="00655D6D"/>
    <w:rsid w:val="006568EA"/>
    <w:rsid w:val="006579FA"/>
    <w:rsid w:val="0066062A"/>
    <w:rsid w:val="00661749"/>
    <w:rsid w:val="0066176E"/>
    <w:rsid w:val="00661CBA"/>
    <w:rsid w:val="006623A6"/>
    <w:rsid w:val="00662466"/>
    <w:rsid w:val="006627EF"/>
    <w:rsid w:val="00663404"/>
    <w:rsid w:val="006635B4"/>
    <w:rsid w:val="00664D72"/>
    <w:rsid w:val="00664EE4"/>
    <w:rsid w:val="00665BA7"/>
    <w:rsid w:val="00666101"/>
    <w:rsid w:val="006662E5"/>
    <w:rsid w:val="00666468"/>
    <w:rsid w:val="00670637"/>
    <w:rsid w:val="006709DB"/>
    <w:rsid w:val="00673D58"/>
    <w:rsid w:val="0067418C"/>
    <w:rsid w:val="00674360"/>
    <w:rsid w:val="006745D6"/>
    <w:rsid w:val="00674734"/>
    <w:rsid w:val="00674839"/>
    <w:rsid w:val="00675AC2"/>
    <w:rsid w:val="00677BD9"/>
    <w:rsid w:val="006804CB"/>
    <w:rsid w:val="006810D2"/>
    <w:rsid w:val="006819AA"/>
    <w:rsid w:val="00682159"/>
    <w:rsid w:val="006853D3"/>
    <w:rsid w:val="0068582A"/>
    <w:rsid w:val="00686F71"/>
    <w:rsid w:val="00687A54"/>
    <w:rsid w:val="00690061"/>
    <w:rsid w:val="006907DE"/>
    <w:rsid w:val="00691503"/>
    <w:rsid w:val="00691903"/>
    <w:rsid w:val="00691CA9"/>
    <w:rsid w:val="0069204B"/>
    <w:rsid w:val="0069312E"/>
    <w:rsid w:val="006936A7"/>
    <w:rsid w:val="00693AFE"/>
    <w:rsid w:val="00696609"/>
    <w:rsid w:val="006966A3"/>
    <w:rsid w:val="00697B6D"/>
    <w:rsid w:val="00697F57"/>
    <w:rsid w:val="006A074C"/>
    <w:rsid w:val="006A2435"/>
    <w:rsid w:val="006A2EB6"/>
    <w:rsid w:val="006A3785"/>
    <w:rsid w:val="006A513C"/>
    <w:rsid w:val="006A5534"/>
    <w:rsid w:val="006A62CE"/>
    <w:rsid w:val="006A6770"/>
    <w:rsid w:val="006A72B2"/>
    <w:rsid w:val="006A7D31"/>
    <w:rsid w:val="006B0BE3"/>
    <w:rsid w:val="006B2617"/>
    <w:rsid w:val="006B2A4A"/>
    <w:rsid w:val="006B2DFF"/>
    <w:rsid w:val="006B556A"/>
    <w:rsid w:val="006B6D21"/>
    <w:rsid w:val="006B6F30"/>
    <w:rsid w:val="006B72DF"/>
    <w:rsid w:val="006C029A"/>
    <w:rsid w:val="006C054B"/>
    <w:rsid w:val="006C05DE"/>
    <w:rsid w:val="006C06B1"/>
    <w:rsid w:val="006C0B88"/>
    <w:rsid w:val="006C211B"/>
    <w:rsid w:val="006C304D"/>
    <w:rsid w:val="006C41FC"/>
    <w:rsid w:val="006C4F0C"/>
    <w:rsid w:val="006C4FA0"/>
    <w:rsid w:val="006C5A42"/>
    <w:rsid w:val="006C6B48"/>
    <w:rsid w:val="006C6C75"/>
    <w:rsid w:val="006C768C"/>
    <w:rsid w:val="006D0357"/>
    <w:rsid w:val="006D08CB"/>
    <w:rsid w:val="006D1118"/>
    <w:rsid w:val="006D183F"/>
    <w:rsid w:val="006D1889"/>
    <w:rsid w:val="006D18A6"/>
    <w:rsid w:val="006D211E"/>
    <w:rsid w:val="006D24A4"/>
    <w:rsid w:val="006D2584"/>
    <w:rsid w:val="006D3067"/>
    <w:rsid w:val="006D3D3F"/>
    <w:rsid w:val="006D3F5D"/>
    <w:rsid w:val="006D4319"/>
    <w:rsid w:val="006D46B3"/>
    <w:rsid w:val="006D520C"/>
    <w:rsid w:val="006D6281"/>
    <w:rsid w:val="006D68E2"/>
    <w:rsid w:val="006D7B1A"/>
    <w:rsid w:val="006E0421"/>
    <w:rsid w:val="006E0C73"/>
    <w:rsid w:val="006E0F95"/>
    <w:rsid w:val="006E10C3"/>
    <w:rsid w:val="006E16BC"/>
    <w:rsid w:val="006E183F"/>
    <w:rsid w:val="006E1E48"/>
    <w:rsid w:val="006E23B7"/>
    <w:rsid w:val="006E3C21"/>
    <w:rsid w:val="006E490C"/>
    <w:rsid w:val="006E4AAC"/>
    <w:rsid w:val="006E508C"/>
    <w:rsid w:val="006E515B"/>
    <w:rsid w:val="006E5BC7"/>
    <w:rsid w:val="006E5CF8"/>
    <w:rsid w:val="006E7DAE"/>
    <w:rsid w:val="006F01B2"/>
    <w:rsid w:val="006F02E3"/>
    <w:rsid w:val="006F0541"/>
    <w:rsid w:val="006F06E7"/>
    <w:rsid w:val="006F08DD"/>
    <w:rsid w:val="006F3A67"/>
    <w:rsid w:val="006F442E"/>
    <w:rsid w:val="006F463E"/>
    <w:rsid w:val="006F561F"/>
    <w:rsid w:val="006F65A5"/>
    <w:rsid w:val="006F6B6C"/>
    <w:rsid w:val="006F6D19"/>
    <w:rsid w:val="006F6FFB"/>
    <w:rsid w:val="006F74E7"/>
    <w:rsid w:val="006F752C"/>
    <w:rsid w:val="006F7CC2"/>
    <w:rsid w:val="007010FE"/>
    <w:rsid w:val="00701228"/>
    <w:rsid w:val="0070163B"/>
    <w:rsid w:val="00701D97"/>
    <w:rsid w:val="00702837"/>
    <w:rsid w:val="00702E4D"/>
    <w:rsid w:val="00703126"/>
    <w:rsid w:val="0070447A"/>
    <w:rsid w:val="007045F2"/>
    <w:rsid w:val="0070559C"/>
    <w:rsid w:val="00706106"/>
    <w:rsid w:val="00706ED8"/>
    <w:rsid w:val="00707826"/>
    <w:rsid w:val="00707FA2"/>
    <w:rsid w:val="0071086E"/>
    <w:rsid w:val="00710969"/>
    <w:rsid w:val="007109C2"/>
    <w:rsid w:val="00710AAC"/>
    <w:rsid w:val="007113E8"/>
    <w:rsid w:val="0071167B"/>
    <w:rsid w:val="0071358D"/>
    <w:rsid w:val="00713FCF"/>
    <w:rsid w:val="007141B2"/>
    <w:rsid w:val="0071552F"/>
    <w:rsid w:val="007156DA"/>
    <w:rsid w:val="00716219"/>
    <w:rsid w:val="00716976"/>
    <w:rsid w:val="007203D6"/>
    <w:rsid w:val="00721886"/>
    <w:rsid w:val="00721CFF"/>
    <w:rsid w:val="00723283"/>
    <w:rsid w:val="00723C17"/>
    <w:rsid w:val="00724697"/>
    <w:rsid w:val="00727200"/>
    <w:rsid w:val="007277F8"/>
    <w:rsid w:val="00727E93"/>
    <w:rsid w:val="00727FF9"/>
    <w:rsid w:val="0073079C"/>
    <w:rsid w:val="007309B0"/>
    <w:rsid w:val="00730FBA"/>
    <w:rsid w:val="00732488"/>
    <w:rsid w:val="0073263E"/>
    <w:rsid w:val="007329AB"/>
    <w:rsid w:val="00733440"/>
    <w:rsid w:val="00733E0A"/>
    <w:rsid w:val="00734E20"/>
    <w:rsid w:val="007356F3"/>
    <w:rsid w:val="00735E1A"/>
    <w:rsid w:val="00736B4F"/>
    <w:rsid w:val="0074089F"/>
    <w:rsid w:val="0074119D"/>
    <w:rsid w:val="00741EA2"/>
    <w:rsid w:val="0074206D"/>
    <w:rsid w:val="00743522"/>
    <w:rsid w:val="00743BA3"/>
    <w:rsid w:val="00744220"/>
    <w:rsid w:val="007449EC"/>
    <w:rsid w:val="00744EA5"/>
    <w:rsid w:val="0074625D"/>
    <w:rsid w:val="00747419"/>
    <w:rsid w:val="00751895"/>
    <w:rsid w:val="00751C09"/>
    <w:rsid w:val="007520FC"/>
    <w:rsid w:val="00752C68"/>
    <w:rsid w:val="00753113"/>
    <w:rsid w:val="00753D27"/>
    <w:rsid w:val="007543D6"/>
    <w:rsid w:val="00754637"/>
    <w:rsid w:val="0075546D"/>
    <w:rsid w:val="007555B7"/>
    <w:rsid w:val="00755650"/>
    <w:rsid w:val="00756053"/>
    <w:rsid w:val="0076018F"/>
    <w:rsid w:val="007607F3"/>
    <w:rsid w:val="00760818"/>
    <w:rsid w:val="00761186"/>
    <w:rsid w:val="00761A07"/>
    <w:rsid w:val="00762032"/>
    <w:rsid w:val="0076271A"/>
    <w:rsid w:val="00762FAF"/>
    <w:rsid w:val="00763B0B"/>
    <w:rsid w:val="00764383"/>
    <w:rsid w:val="007645E2"/>
    <w:rsid w:val="00765AEE"/>
    <w:rsid w:val="007701A5"/>
    <w:rsid w:val="007702BF"/>
    <w:rsid w:val="00770572"/>
    <w:rsid w:val="007705FC"/>
    <w:rsid w:val="007722D3"/>
    <w:rsid w:val="007723FC"/>
    <w:rsid w:val="00772DD6"/>
    <w:rsid w:val="007732AF"/>
    <w:rsid w:val="007749AC"/>
    <w:rsid w:val="0077515B"/>
    <w:rsid w:val="00777A6A"/>
    <w:rsid w:val="00777AC5"/>
    <w:rsid w:val="00777D66"/>
    <w:rsid w:val="00781B85"/>
    <w:rsid w:val="00781D3B"/>
    <w:rsid w:val="00783184"/>
    <w:rsid w:val="00783635"/>
    <w:rsid w:val="007837B0"/>
    <w:rsid w:val="007839C6"/>
    <w:rsid w:val="00783BDD"/>
    <w:rsid w:val="00783C37"/>
    <w:rsid w:val="00783EA2"/>
    <w:rsid w:val="007841A4"/>
    <w:rsid w:val="007852EA"/>
    <w:rsid w:val="00785B54"/>
    <w:rsid w:val="0078611F"/>
    <w:rsid w:val="007879E3"/>
    <w:rsid w:val="00790FDC"/>
    <w:rsid w:val="00792A5E"/>
    <w:rsid w:val="00794B39"/>
    <w:rsid w:val="007957DD"/>
    <w:rsid w:val="00795BAF"/>
    <w:rsid w:val="00796274"/>
    <w:rsid w:val="00796859"/>
    <w:rsid w:val="00796B97"/>
    <w:rsid w:val="00797528"/>
    <w:rsid w:val="00797D93"/>
    <w:rsid w:val="00797FCF"/>
    <w:rsid w:val="007A1692"/>
    <w:rsid w:val="007A24FF"/>
    <w:rsid w:val="007A2AEE"/>
    <w:rsid w:val="007A3132"/>
    <w:rsid w:val="007A31D6"/>
    <w:rsid w:val="007A72AB"/>
    <w:rsid w:val="007A7470"/>
    <w:rsid w:val="007A7783"/>
    <w:rsid w:val="007B01A3"/>
    <w:rsid w:val="007B0515"/>
    <w:rsid w:val="007B0836"/>
    <w:rsid w:val="007B1C02"/>
    <w:rsid w:val="007B1EBA"/>
    <w:rsid w:val="007B286B"/>
    <w:rsid w:val="007B28FC"/>
    <w:rsid w:val="007B2D93"/>
    <w:rsid w:val="007B38F4"/>
    <w:rsid w:val="007B4DA8"/>
    <w:rsid w:val="007B74F5"/>
    <w:rsid w:val="007C05BA"/>
    <w:rsid w:val="007C1318"/>
    <w:rsid w:val="007C15B9"/>
    <w:rsid w:val="007C4690"/>
    <w:rsid w:val="007C4B0A"/>
    <w:rsid w:val="007C583E"/>
    <w:rsid w:val="007C6071"/>
    <w:rsid w:val="007C6286"/>
    <w:rsid w:val="007C6BA6"/>
    <w:rsid w:val="007C7EAB"/>
    <w:rsid w:val="007D00B9"/>
    <w:rsid w:val="007D0828"/>
    <w:rsid w:val="007D1B44"/>
    <w:rsid w:val="007D2ABB"/>
    <w:rsid w:val="007D2EC5"/>
    <w:rsid w:val="007D3138"/>
    <w:rsid w:val="007D338D"/>
    <w:rsid w:val="007D4363"/>
    <w:rsid w:val="007D4C34"/>
    <w:rsid w:val="007D5882"/>
    <w:rsid w:val="007D59EA"/>
    <w:rsid w:val="007D678E"/>
    <w:rsid w:val="007D6D6D"/>
    <w:rsid w:val="007E05E6"/>
    <w:rsid w:val="007E0D6A"/>
    <w:rsid w:val="007E1682"/>
    <w:rsid w:val="007E1BF4"/>
    <w:rsid w:val="007E220B"/>
    <w:rsid w:val="007E2260"/>
    <w:rsid w:val="007E2339"/>
    <w:rsid w:val="007E2F39"/>
    <w:rsid w:val="007E4C19"/>
    <w:rsid w:val="007E5460"/>
    <w:rsid w:val="007E5AA6"/>
    <w:rsid w:val="007E67FA"/>
    <w:rsid w:val="007E6AA6"/>
    <w:rsid w:val="007E7FFC"/>
    <w:rsid w:val="007F0269"/>
    <w:rsid w:val="007F18C2"/>
    <w:rsid w:val="007F2683"/>
    <w:rsid w:val="007F3372"/>
    <w:rsid w:val="007F5637"/>
    <w:rsid w:val="007F5983"/>
    <w:rsid w:val="007F7782"/>
    <w:rsid w:val="0080016F"/>
    <w:rsid w:val="00800B89"/>
    <w:rsid w:val="00800F03"/>
    <w:rsid w:val="008010ED"/>
    <w:rsid w:val="00801EA9"/>
    <w:rsid w:val="0080228C"/>
    <w:rsid w:val="008025A9"/>
    <w:rsid w:val="00802E03"/>
    <w:rsid w:val="00803ECB"/>
    <w:rsid w:val="00805352"/>
    <w:rsid w:val="008061BF"/>
    <w:rsid w:val="008103DC"/>
    <w:rsid w:val="00810E44"/>
    <w:rsid w:val="0081152F"/>
    <w:rsid w:val="00811A05"/>
    <w:rsid w:val="00811F63"/>
    <w:rsid w:val="00812206"/>
    <w:rsid w:val="00812BB1"/>
    <w:rsid w:val="0081322E"/>
    <w:rsid w:val="00813C70"/>
    <w:rsid w:val="00814911"/>
    <w:rsid w:val="00815084"/>
    <w:rsid w:val="00816B80"/>
    <w:rsid w:val="00817E78"/>
    <w:rsid w:val="0082172D"/>
    <w:rsid w:val="00821E43"/>
    <w:rsid w:val="008220FA"/>
    <w:rsid w:val="00822335"/>
    <w:rsid w:val="008224ED"/>
    <w:rsid w:val="00822F9C"/>
    <w:rsid w:val="008247C7"/>
    <w:rsid w:val="008249C0"/>
    <w:rsid w:val="00824FEF"/>
    <w:rsid w:val="00825D0B"/>
    <w:rsid w:val="008262C4"/>
    <w:rsid w:val="00827E96"/>
    <w:rsid w:val="00830D5E"/>
    <w:rsid w:val="0083126E"/>
    <w:rsid w:val="0083217C"/>
    <w:rsid w:val="008348EB"/>
    <w:rsid w:val="00835D56"/>
    <w:rsid w:val="008367FD"/>
    <w:rsid w:val="008369DD"/>
    <w:rsid w:val="00836A82"/>
    <w:rsid w:val="00836F44"/>
    <w:rsid w:val="00837290"/>
    <w:rsid w:val="00837C05"/>
    <w:rsid w:val="008407E0"/>
    <w:rsid w:val="008414C0"/>
    <w:rsid w:val="008422B3"/>
    <w:rsid w:val="00843897"/>
    <w:rsid w:val="00843975"/>
    <w:rsid w:val="008440B5"/>
    <w:rsid w:val="00846449"/>
    <w:rsid w:val="008469C5"/>
    <w:rsid w:val="008500BD"/>
    <w:rsid w:val="0085095E"/>
    <w:rsid w:val="00852D87"/>
    <w:rsid w:val="0085311B"/>
    <w:rsid w:val="00853B78"/>
    <w:rsid w:val="00853C32"/>
    <w:rsid w:val="00854104"/>
    <w:rsid w:val="00854ACD"/>
    <w:rsid w:val="00856472"/>
    <w:rsid w:val="008573F6"/>
    <w:rsid w:val="00857B8A"/>
    <w:rsid w:val="008600DC"/>
    <w:rsid w:val="0086056D"/>
    <w:rsid w:val="00860A7D"/>
    <w:rsid w:val="00860A8B"/>
    <w:rsid w:val="00861C08"/>
    <w:rsid w:val="00862871"/>
    <w:rsid w:val="00864127"/>
    <w:rsid w:val="00864C15"/>
    <w:rsid w:val="00864CA0"/>
    <w:rsid w:val="00865317"/>
    <w:rsid w:val="00867065"/>
    <w:rsid w:val="00867228"/>
    <w:rsid w:val="0086732F"/>
    <w:rsid w:val="008710D8"/>
    <w:rsid w:val="00872B6A"/>
    <w:rsid w:val="00873025"/>
    <w:rsid w:val="00873692"/>
    <w:rsid w:val="008771DA"/>
    <w:rsid w:val="008773DE"/>
    <w:rsid w:val="008809A1"/>
    <w:rsid w:val="008810A7"/>
    <w:rsid w:val="008824EF"/>
    <w:rsid w:val="0088289F"/>
    <w:rsid w:val="0088376C"/>
    <w:rsid w:val="00883FCA"/>
    <w:rsid w:val="008846E2"/>
    <w:rsid w:val="0088530F"/>
    <w:rsid w:val="00885AD7"/>
    <w:rsid w:val="00886EA9"/>
    <w:rsid w:val="00887D9A"/>
    <w:rsid w:val="0089100E"/>
    <w:rsid w:val="008910C1"/>
    <w:rsid w:val="00891151"/>
    <w:rsid w:val="008918DC"/>
    <w:rsid w:val="00893CD9"/>
    <w:rsid w:val="008949DD"/>
    <w:rsid w:val="00895DD0"/>
    <w:rsid w:val="00896350"/>
    <w:rsid w:val="0089773F"/>
    <w:rsid w:val="00897E2F"/>
    <w:rsid w:val="008A11A9"/>
    <w:rsid w:val="008A43DF"/>
    <w:rsid w:val="008A4E0D"/>
    <w:rsid w:val="008A5486"/>
    <w:rsid w:val="008A5BB3"/>
    <w:rsid w:val="008A644C"/>
    <w:rsid w:val="008A64E6"/>
    <w:rsid w:val="008B0921"/>
    <w:rsid w:val="008B3011"/>
    <w:rsid w:val="008B46E5"/>
    <w:rsid w:val="008B525B"/>
    <w:rsid w:val="008B5E89"/>
    <w:rsid w:val="008B64CC"/>
    <w:rsid w:val="008B721E"/>
    <w:rsid w:val="008B7906"/>
    <w:rsid w:val="008C1017"/>
    <w:rsid w:val="008C16F5"/>
    <w:rsid w:val="008C1973"/>
    <w:rsid w:val="008C38E4"/>
    <w:rsid w:val="008C4426"/>
    <w:rsid w:val="008C4A3B"/>
    <w:rsid w:val="008C710B"/>
    <w:rsid w:val="008D0E7E"/>
    <w:rsid w:val="008D12C4"/>
    <w:rsid w:val="008D16FF"/>
    <w:rsid w:val="008D1EBD"/>
    <w:rsid w:val="008D33C7"/>
    <w:rsid w:val="008D33DA"/>
    <w:rsid w:val="008D5504"/>
    <w:rsid w:val="008D5B9A"/>
    <w:rsid w:val="008D6FAA"/>
    <w:rsid w:val="008D71FE"/>
    <w:rsid w:val="008D736F"/>
    <w:rsid w:val="008D7D02"/>
    <w:rsid w:val="008E054C"/>
    <w:rsid w:val="008E11BE"/>
    <w:rsid w:val="008E1DE8"/>
    <w:rsid w:val="008E3855"/>
    <w:rsid w:val="008E3B0F"/>
    <w:rsid w:val="008E45D2"/>
    <w:rsid w:val="008E4CBB"/>
    <w:rsid w:val="008E5B4A"/>
    <w:rsid w:val="008E69B9"/>
    <w:rsid w:val="008F20EC"/>
    <w:rsid w:val="008F429A"/>
    <w:rsid w:val="008F42CF"/>
    <w:rsid w:val="008F4409"/>
    <w:rsid w:val="008F6625"/>
    <w:rsid w:val="008F6F6F"/>
    <w:rsid w:val="008F7969"/>
    <w:rsid w:val="00901306"/>
    <w:rsid w:val="009029E8"/>
    <w:rsid w:val="009032F7"/>
    <w:rsid w:val="009034F0"/>
    <w:rsid w:val="009042DD"/>
    <w:rsid w:val="00904625"/>
    <w:rsid w:val="00905387"/>
    <w:rsid w:val="00905C5A"/>
    <w:rsid w:val="00906035"/>
    <w:rsid w:val="00906A4F"/>
    <w:rsid w:val="00906B77"/>
    <w:rsid w:val="0091044E"/>
    <w:rsid w:val="00911496"/>
    <w:rsid w:val="009114A1"/>
    <w:rsid w:val="009114F0"/>
    <w:rsid w:val="00911562"/>
    <w:rsid w:val="0091258F"/>
    <w:rsid w:val="0091375D"/>
    <w:rsid w:val="00913940"/>
    <w:rsid w:val="0091434A"/>
    <w:rsid w:val="0091479C"/>
    <w:rsid w:val="00914C74"/>
    <w:rsid w:val="009152EE"/>
    <w:rsid w:val="00915808"/>
    <w:rsid w:val="00916845"/>
    <w:rsid w:val="00917B9A"/>
    <w:rsid w:val="00920541"/>
    <w:rsid w:val="009211D9"/>
    <w:rsid w:val="00921401"/>
    <w:rsid w:val="0092151F"/>
    <w:rsid w:val="009227A0"/>
    <w:rsid w:val="00922E0E"/>
    <w:rsid w:val="00924C29"/>
    <w:rsid w:val="00924E1C"/>
    <w:rsid w:val="009259DF"/>
    <w:rsid w:val="009262AF"/>
    <w:rsid w:val="0092786F"/>
    <w:rsid w:val="0093233D"/>
    <w:rsid w:val="009331E3"/>
    <w:rsid w:val="0093441C"/>
    <w:rsid w:val="00934BA9"/>
    <w:rsid w:val="00934F69"/>
    <w:rsid w:val="00934F6B"/>
    <w:rsid w:val="00935DF3"/>
    <w:rsid w:val="00936693"/>
    <w:rsid w:val="00937C95"/>
    <w:rsid w:val="009405E0"/>
    <w:rsid w:val="009406A7"/>
    <w:rsid w:val="00941C57"/>
    <w:rsid w:val="009420A5"/>
    <w:rsid w:val="00944844"/>
    <w:rsid w:val="009458BE"/>
    <w:rsid w:val="00945C2F"/>
    <w:rsid w:val="00945D76"/>
    <w:rsid w:val="00945EF7"/>
    <w:rsid w:val="00945F79"/>
    <w:rsid w:val="00947170"/>
    <w:rsid w:val="0094734C"/>
    <w:rsid w:val="0095004E"/>
    <w:rsid w:val="00950CAB"/>
    <w:rsid w:val="009515A4"/>
    <w:rsid w:val="00951C0F"/>
    <w:rsid w:val="00952640"/>
    <w:rsid w:val="00952AE4"/>
    <w:rsid w:val="00952B75"/>
    <w:rsid w:val="009531C6"/>
    <w:rsid w:val="00953378"/>
    <w:rsid w:val="00953474"/>
    <w:rsid w:val="00954D62"/>
    <w:rsid w:val="00955194"/>
    <w:rsid w:val="009554DE"/>
    <w:rsid w:val="00956C1F"/>
    <w:rsid w:val="00957542"/>
    <w:rsid w:val="00957794"/>
    <w:rsid w:val="00960AF0"/>
    <w:rsid w:val="00963175"/>
    <w:rsid w:val="009668A1"/>
    <w:rsid w:val="00966D60"/>
    <w:rsid w:val="00967906"/>
    <w:rsid w:val="009679AC"/>
    <w:rsid w:val="009702DE"/>
    <w:rsid w:val="00971626"/>
    <w:rsid w:val="00971D3A"/>
    <w:rsid w:val="009720BA"/>
    <w:rsid w:val="00972321"/>
    <w:rsid w:val="00973205"/>
    <w:rsid w:val="00974A5E"/>
    <w:rsid w:val="009750B4"/>
    <w:rsid w:val="00975325"/>
    <w:rsid w:val="0097788B"/>
    <w:rsid w:val="00977C01"/>
    <w:rsid w:val="009803AD"/>
    <w:rsid w:val="00980412"/>
    <w:rsid w:val="009819C9"/>
    <w:rsid w:val="00981F62"/>
    <w:rsid w:val="00982384"/>
    <w:rsid w:val="009826F8"/>
    <w:rsid w:val="00983728"/>
    <w:rsid w:val="009843D9"/>
    <w:rsid w:val="009845AC"/>
    <w:rsid w:val="00985909"/>
    <w:rsid w:val="00986D54"/>
    <w:rsid w:val="009873D6"/>
    <w:rsid w:val="009876CE"/>
    <w:rsid w:val="00990E67"/>
    <w:rsid w:val="00991E90"/>
    <w:rsid w:val="00993516"/>
    <w:rsid w:val="009935FE"/>
    <w:rsid w:val="00993B80"/>
    <w:rsid w:val="00994793"/>
    <w:rsid w:val="009959E3"/>
    <w:rsid w:val="00995EB9"/>
    <w:rsid w:val="009968B0"/>
    <w:rsid w:val="00997F1D"/>
    <w:rsid w:val="009A2784"/>
    <w:rsid w:val="009A2A45"/>
    <w:rsid w:val="009A54C9"/>
    <w:rsid w:val="009A781C"/>
    <w:rsid w:val="009A7C73"/>
    <w:rsid w:val="009A7D31"/>
    <w:rsid w:val="009B0791"/>
    <w:rsid w:val="009B153E"/>
    <w:rsid w:val="009B16F0"/>
    <w:rsid w:val="009B1CFB"/>
    <w:rsid w:val="009B1DD4"/>
    <w:rsid w:val="009B1E48"/>
    <w:rsid w:val="009B3059"/>
    <w:rsid w:val="009B30E0"/>
    <w:rsid w:val="009B33C0"/>
    <w:rsid w:val="009B3617"/>
    <w:rsid w:val="009B4D5F"/>
    <w:rsid w:val="009B59BC"/>
    <w:rsid w:val="009B62F7"/>
    <w:rsid w:val="009B6D1F"/>
    <w:rsid w:val="009B7AA6"/>
    <w:rsid w:val="009B7F16"/>
    <w:rsid w:val="009C1463"/>
    <w:rsid w:val="009C1967"/>
    <w:rsid w:val="009C2564"/>
    <w:rsid w:val="009C41EA"/>
    <w:rsid w:val="009C5425"/>
    <w:rsid w:val="009C5EEE"/>
    <w:rsid w:val="009C68CB"/>
    <w:rsid w:val="009C6C29"/>
    <w:rsid w:val="009C6E4A"/>
    <w:rsid w:val="009C70D5"/>
    <w:rsid w:val="009C750D"/>
    <w:rsid w:val="009C7F97"/>
    <w:rsid w:val="009D015E"/>
    <w:rsid w:val="009D062D"/>
    <w:rsid w:val="009D1AC2"/>
    <w:rsid w:val="009D2AB2"/>
    <w:rsid w:val="009D2DEA"/>
    <w:rsid w:val="009D3838"/>
    <w:rsid w:val="009D4483"/>
    <w:rsid w:val="009D54B0"/>
    <w:rsid w:val="009D688E"/>
    <w:rsid w:val="009D7B6A"/>
    <w:rsid w:val="009D7DBD"/>
    <w:rsid w:val="009E08D3"/>
    <w:rsid w:val="009E0941"/>
    <w:rsid w:val="009E217A"/>
    <w:rsid w:val="009E2B73"/>
    <w:rsid w:val="009E3CCF"/>
    <w:rsid w:val="009E437C"/>
    <w:rsid w:val="009E4622"/>
    <w:rsid w:val="009E46BF"/>
    <w:rsid w:val="009E4FFB"/>
    <w:rsid w:val="009E5F37"/>
    <w:rsid w:val="009E629F"/>
    <w:rsid w:val="009E6BB6"/>
    <w:rsid w:val="009E6DA2"/>
    <w:rsid w:val="009E6EB3"/>
    <w:rsid w:val="009E7C7F"/>
    <w:rsid w:val="009F064A"/>
    <w:rsid w:val="009F1685"/>
    <w:rsid w:val="009F2011"/>
    <w:rsid w:val="009F345D"/>
    <w:rsid w:val="009F3927"/>
    <w:rsid w:val="009F3AB4"/>
    <w:rsid w:val="009F4382"/>
    <w:rsid w:val="009F72DA"/>
    <w:rsid w:val="009F7A14"/>
    <w:rsid w:val="00A00A38"/>
    <w:rsid w:val="00A00DBE"/>
    <w:rsid w:val="00A00E8B"/>
    <w:rsid w:val="00A01B6A"/>
    <w:rsid w:val="00A020CC"/>
    <w:rsid w:val="00A02328"/>
    <w:rsid w:val="00A02BE0"/>
    <w:rsid w:val="00A0562D"/>
    <w:rsid w:val="00A06109"/>
    <w:rsid w:val="00A06433"/>
    <w:rsid w:val="00A06AEB"/>
    <w:rsid w:val="00A070B6"/>
    <w:rsid w:val="00A07725"/>
    <w:rsid w:val="00A07DA1"/>
    <w:rsid w:val="00A12263"/>
    <w:rsid w:val="00A12467"/>
    <w:rsid w:val="00A13957"/>
    <w:rsid w:val="00A13B60"/>
    <w:rsid w:val="00A13D3F"/>
    <w:rsid w:val="00A14009"/>
    <w:rsid w:val="00A145D0"/>
    <w:rsid w:val="00A1613F"/>
    <w:rsid w:val="00A1639F"/>
    <w:rsid w:val="00A16825"/>
    <w:rsid w:val="00A16C7E"/>
    <w:rsid w:val="00A16EDB"/>
    <w:rsid w:val="00A1707F"/>
    <w:rsid w:val="00A17C7A"/>
    <w:rsid w:val="00A2030D"/>
    <w:rsid w:val="00A2074F"/>
    <w:rsid w:val="00A2137F"/>
    <w:rsid w:val="00A221FC"/>
    <w:rsid w:val="00A223D3"/>
    <w:rsid w:val="00A22B2B"/>
    <w:rsid w:val="00A23B9C"/>
    <w:rsid w:val="00A24037"/>
    <w:rsid w:val="00A24234"/>
    <w:rsid w:val="00A2610C"/>
    <w:rsid w:val="00A265FE"/>
    <w:rsid w:val="00A2703E"/>
    <w:rsid w:val="00A301CD"/>
    <w:rsid w:val="00A30980"/>
    <w:rsid w:val="00A3520C"/>
    <w:rsid w:val="00A35A89"/>
    <w:rsid w:val="00A36E3E"/>
    <w:rsid w:val="00A37327"/>
    <w:rsid w:val="00A37469"/>
    <w:rsid w:val="00A37D38"/>
    <w:rsid w:val="00A43C27"/>
    <w:rsid w:val="00A4438A"/>
    <w:rsid w:val="00A44CA5"/>
    <w:rsid w:val="00A45A7C"/>
    <w:rsid w:val="00A4670E"/>
    <w:rsid w:val="00A46B89"/>
    <w:rsid w:val="00A476B0"/>
    <w:rsid w:val="00A47DBD"/>
    <w:rsid w:val="00A5062E"/>
    <w:rsid w:val="00A50EC2"/>
    <w:rsid w:val="00A51658"/>
    <w:rsid w:val="00A51BAF"/>
    <w:rsid w:val="00A5206D"/>
    <w:rsid w:val="00A52719"/>
    <w:rsid w:val="00A5501D"/>
    <w:rsid w:val="00A55812"/>
    <w:rsid w:val="00A56D90"/>
    <w:rsid w:val="00A577B7"/>
    <w:rsid w:val="00A57F5C"/>
    <w:rsid w:val="00A623C1"/>
    <w:rsid w:val="00A62F79"/>
    <w:rsid w:val="00A64625"/>
    <w:rsid w:val="00A64EBF"/>
    <w:rsid w:val="00A652CE"/>
    <w:rsid w:val="00A654EE"/>
    <w:rsid w:val="00A659F1"/>
    <w:rsid w:val="00A66771"/>
    <w:rsid w:val="00A7110B"/>
    <w:rsid w:val="00A7174A"/>
    <w:rsid w:val="00A72979"/>
    <w:rsid w:val="00A72FEB"/>
    <w:rsid w:val="00A77CC7"/>
    <w:rsid w:val="00A77CED"/>
    <w:rsid w:val="00A806FE"/>
    <w:rsid w:val="00A8084D"/>
    <w:rsid w:val="00A80864"/>
    <w:rsid w:val="00A82A2D"/>
    <w:rsid w:val="00A82AC6"/>
    <w:rsid w:val="00A83684"/>
    <w:rsid w:val="00A837AF"/>
    <w:rsid w:val="00A84ADD"/>
    <w:rsid w:val="00A85FC1"/>
    <w:rsid w:val="00A86100"/>
    <w:rsid w:val="00A871D1"/>
    <w:rsid w:val="00A872E0"/>
    <w:rsid w:val="00A876B3"/>
    <w:rsid w:val="00A879D2"/>
    <w:rsid w:val="00A87E8C"/>
    <w:rsid w:val="00A87F6F"/>
    <w:rsid w:val="00A91DCC"/>
    <w:rsid w:val="00A92234"/>
    <w:rsid w:val="00A9294F"/>
    <w:rsid w:val="00A92F02"/>
    <w:rsid w:val="00A93159"/>
    <w:rsid w:val="00A933A2"/>
    <w:rsid w:val="00A93B32"/>
    <w:rsid w:val="00A93F0A"/>
    <w:rsid w:val="00A942C0"/>
    <w:rsid w:val="00A942E2"/>
    <w:rsid w:val="00A94AED"/>
    <w:rsid w:val="00A94C65"/>
    <w:rsid w:val="00A9650D"/>
    <w:rsid w:val="00A9654D"/>
    <w:rsid w:val="00A96CE6"/>
    <w:rsid w:val="00AA033C"/>
    <w:rsid w:val="00AA08D3"/>
    <w:rsid w:val="00AA1806"/>
    <w:rsid w:val="00AA3A17"/>
    <w:rsid w:val="00AA3CCB"/>
    <w:rsid w:val="00AA3D9D"/>
    <w:rsid w:val="00AA4C66"/>
    <w:rsid w:val="00AA4EF3"/>
    <w:rsid w:val="00AA65DD"/>
    <w:rsid w:val="00AA695C"/>
    <w:rsid w:val="00AA6B69"/>
    <w:rsid w:val="00AA786B"/>
    <w:rsid w:val="00AA7FF1"/>
    <w:rsid w:val="00AB3117"/>
    <w:rsid w:val="00AB5495"/>
    <w:rsid w:val="00AB57A5"/>
    <w:rsid w:val="00AB5F68"/>
    <w:rsid w:val="00AB7272"/>
    <w:rsid w:val="00AB7543"/>
    <w:rsid w:val="00AC0159"/>
    <w:rsid w:val="00AC0ABB"/>
    <w:rsid w:val="00AC0BDC"/>
    <w:rsid w:val="00AC1767"/>
    <w:rsid w:val="00AC3554"/>
    <w:rsid w:val="00AC41CE"/>
    <w:rsid w:val="00AC4515"/>
    <w:rsid w:val="00AC5023"/>
    <w:rsid w:val="00AC5200"/>
    <w:rsid w:val="00AC6096"/>
    <w:rsid w:val="00AC6CDA"/>
    <w:rsid w:val="00AC734F"/>
    <w:rsid w:val="00AD0792"/>
    <w:rsid w:val="00AD090E"/>
    <w:rsid w:val="00AD0CEE"/>
    <w:rsid w:val="00AD0D32"/>
    <w:rsid w:val="00AD10CB"/>
    <w:rsid w:val="00AD1560"/>
    <w:rsid w:val="00AD46A8"/>
    <w:rsid w:val="00AD4B57"/>
    <w:rsid w:val="00AD54B0"/>
    <w:rsid w:val="00AD67E8"/>
    <w:rsid w:val="00AD7F42"/>
    <w:rsid w:val="00AE1B30"/>
    <w:rsid w:val="00AE1B32"/>
    <w:rsid w:val="00AE21C4"/>
    <w:rsid w:val="00AE27B7"/>
    <w:rsid w:val="00AE2B0A"/>
    <w:rsid w:val="00AE2E26"/>
    <w:rsid w:val="00AE56CB"/>
    <w:rsid w:val="00AE7282"/>
    <w:rsid w:val="00AF0233"/>
    <w:rsid w:val="00AF17BF"/>
    <w:rsid w:val="00AF1A16"/>
    <w:rsid w:val="00AF1D53"/>
    <w:rsid w:val="00AF2092"/>
    <w:rsid w:val="00AF2E63"/>
    <w:rsid w:val="00AF315B"/>
    <w:rsid w:val="00AF3B24"/>
    <w:rsid w:val="00AF44D5"/>
    <w:rsid w:val="00AF44E8"/>
    <w:rsid w:val="00AF4A6B"/>
    <w:rsid w:val="00AF5CB4"/>
    <w:rsid w:val="00AF5EAC"/>
    <w:rsid w:val="00AF6190"/>
    <w:rsid w:val="00AF61F2"/>
    <w:rsid w:val="00AF6947"/>
    <w:rsid w:val="00AF6AF7"/>
    <w:rsid w:val="00AF6B96"/>
    <w:rsid w:val="00AF735D"/>
    <w:rsid w:val="00AF7B77"/>
    <w:rsid w:val="00B0021B"/>
    <w:rsid w:val="00B00E96"/>
    <w:rsid w:val="00B01AF4"/>
    <w:rsid w:val="00B01EAF"/>
    <w:rsid w:val="00B023CB"/>
    <w:rsid w:val="00B0257E"/>
    <w:rsid w:val="00B02A91"/>
    <w:rsid w:val="00B02CBE"/>
    <w:rsid w:val="00B04009"/>
    <w:rsid w:val="00B05067"/>
    <w:rsid w:val="00B0551D"/>
    <w:rsid w:val="00B0663C"/>
    <w:rsid w:val="00B06DBF"/>
    <w:rsid w:val="00B1047B"/>
    <w:rsid w:val="00B10747"/>
    <w:rsid w:val="00B10899"/>
    <w:rsid w:val="00B113A5"/>
    <w:rsid w:val="00B12744"/>
    <w:rsid w:val="00B15CDC"/>
    <w:rsid w:val="00B1687F"/>
    <w:rsid w:val="00B16900"/>
    <w:rsid w:val="00B17EC8"/>
    <w:rsid w:val="00B21141"/>
    <w:rsid w:val="00B2119A"/>
    <w:rsid w:val="00B222A5"/>
    <w:rsid w:val="00B231E0"/>
    <w:rsid w:val="00B240D0"/>
    <w:rsid w:val="00B25CA0"/>
    <w:rsid w:val="00B26750"/>
    <w:rsid w:val="00B26AB3"/>
    <w:rsid w:val="00B26C76"/>
    <w:rsid w:val="00B26FCA"/>
    <w:rsid w:val="00B27196"/>
    <w:rsid w:val="00B275AD"/>
    <w:rsid w:val="00B2761A"/>
    <w:rsid w:val="00B305CE"/>
    <w:rsid w:val="00B31CF0"/>
    <w:rsid w:val="00B32298"/>
    <w:rsid w:val="00B32468"/>
    <w:rsid w:val="00B33BBA"/>
    <w:rsid w:val="00B35D54"/>
    <w:rsid w:val="00B40526"/>
    <w:rsid w:val="00B40F89"/>
    <w:rsid w:val="00B41518"/>
    <w:rsid w:val="00B415A9"/>
    <w:rsid w:val="00B426A9"/>
    <w:rsid w:val="00B427E9"/>
    <w:rsid w:val="00B4285C"/>
    <w:rsid w:val="00B43BAE"/>
    <w:rsid w:val="00B44997"/>
    <w:rsid w:val="00B449DB"/>
    <w:rsid w:val="00B4523B"/>
    <w:rsid w:val="00B45DF7"/>
    <w:rsid w:val="00B46B36"/>
    <w:rsid w:val="00B46E93"/>
    <w:rsid w:val="00B471E8"/>
    <w:rsid w:val="00B503D4"/>
    <w:rsid w:val="00B53239"/>
    <w:rsid w:val="00B53902"/>
    <w:rsid w:val="00B53A84"/>
    <w:rsid w:val="00B579B4"/>
    <w:rsid w:val="00B57E61"/>
    <w:rsid w:val="00B60697"/>
    <w:rsid w:val="00B60AE5"/>
    <w:rsid w:val="00B610AB"/>
    <w:rsid w:val="00B61457"/>
    <w:rsid w:val="00B64D85"/>
    <w:rsid w:val="00B651FF"/>
    <w:rsid w:val="00B668E4"/>
    <w:rsid w:val="00B66ED1"/>
    <w:rsid w:val="00B71994"/>
    <w:rsid w:val="00B72288"/>
    <w:rsid w:val="00B725A7"/>
    <w:rsid w:val="00B72941"/>
    <w:rsid w:val="00B72B09"/>
    <w:rsid w:val="00B7394F"/>
    <w:rsid w:val="00B74C50"/>
    <w:rsid w:val="00B76259"/>
    <w:rsid w:val="00B77103"/>
    <w:rsid w:val="00B802C0"/>
    <w:rsid w:val="00B819F0"/>
    <w:rsid w:val="00B82DDD"/>
    <w:rsid w:val="00B8316E"/>
    <w:rsid w:val="00B83583"/>
    <w:rsid w:val="00B83BBF"/>
    <w:rsid w:val="00B84DC0"/>
    <w:rsid w:val="00B84E24"/>
    <w:rsid w:val="00B85702"/>
    <w:rsid w:val="00B85801"/>
    <w:rsid w:val="00B859A3"/>
    <w:rsid w:val="00B85CAE"/>
    <w:rsid w:val="00B87EF8"/>
    <w:rsid w:val="00B908F6"/>
    <w:rsid w:val="00B912E2"/>
    <w:rsid w:val="00B919D3"/>
    <w:rsid w:val="00B92182"/>
    <w:rsid w:val="00B921A5"/>
    <w:rsid w:val="00B9260D"/>
    <w:rsid w:val="00B9326C"/>
    <w:rsid w:val="00B95B15"/>
    <w:rsid w:val="00B974EF"/>
    <w:rsid w:val="00BA0BA6"/>
    <w:rsid w:val="00BA13C5"/>
    <w:rsid w:val="00BA1AE4"/>
    <w:rsid w:val="00BA1CFF"/>
    <w:rsid w:val="00BA1E4C"/>
    <w:rsid w:val="00BA21BE"/>
    <w:rsid w:val="00BA2A6F"/>
    <w:rsid w:val="00BA2D10"/>
    <w:rsid w:val="00BA313C"/>
    <w:rsid w:val="00BA439E"/>
    <w:rsid w:val="00BA67F4"/>
    <w:rsid w:val="00BA69E2"/>
    <w:rsid w:val="00BA6C36"/>
    <w:rsid w:val="00BA709B"/>
    <w:rsid w:val="00BA77BB"/>
    <w:rsid w:val="00BA7C4B"/>
    <w:rsid w:val="00BB1ED2"/>
    <w:rsid w:val="00BB24B9"/>
    <w:rsid w:val="00BB3E0A"/>
    <w:rsid w:val="00BB67C6"/>
    <w:rsid w:val="00BB734E"/>
    <w:rsid w:val="00BB7EA5"/>
    <w:rsid w:val="00BC0137"/>
    <w:rsid w:val="00BC0A2C"/>
    <w:rsid w:val="00BC1E9E"/>
    <w:rsid w:val="00BC2AE6"/>
    <w:rsid w:val="00BC2DC7"/>
    <w:rsid w:val="00BC3565"/>
    <w:rsid w:val="00BC370A"/>
    <w:rsid w:val="00BC3F18"/>
    <w:rsid w:val="00BC42AD"/>
    <w:rsid w:val="00BC5B4A"/>
    <w:rsid w:val="00BC696B"/>
    <w:rsid w:val="00BC6F42"/>
    <w:rsid w:val="00BC774F"/>
    <w:rsid w:val="00BD030D"/>
    <w:rsid w:val="00BD20E3"/>
    <w:rsid w:val="00BD2913"/>
    <w:rsid w:val="00BD2AE0"/>
    <w:rsid w:val="00BD32D9"/>
    <w:rsid w:val="00BD3948"/>
    <w:rsid w:val="00BD455B"/>
    <w:rsid w:val="00BD4831"/>
    <w:rsid w:val="00BD559B"/>
    <w:rsid w:val="00BD5E61"/>
    <w:rsid w:val="00BD7A95"/>
    <w:rsid w:val="00BD7F95"/>
    <w:rsid w:val="00BE0576"/>
    <w:rsid w:val="00BE0A14"/>
    <w:rsid w:val="00BE0C34"/>
    <w:rsid w:val="00BE114F"/>
    <w:rsid w:val="00BE1330"/>
    <w:rsid w:val="00BE14D0"/>
    <w:rsid w:val="00BE1C31"/>
    <w:rsid w:val="00BE1D5A"/>
    <w:rsid w:val="00BE2ACC"/>
    <w:rsid w:val="00BE3D0E"/>
    <w:rsid w:val="00BE43FA"/>
    <w:rsid w:val="00BE4644"/>
    <w:rsid w:val="00BE469D"/>
    <w:rsid w:val="00BE473B"/>
    <w:rsid w:val="00BE595D"/>
    <w:rsid w:val="00BE76B4"/>
    <w:rsid w:val="00BF043E"/>
    <w:rsid w:val="00BF1934"/>
    <w:rsid w:val="00BF232A"/>
    <w:rsid w:val="00BF2F10"/>
    <w:rsid w:val="00BF396F"/>
    <w:rsid w:val="00BF3D16"/>
    <w:rsid w:val="00BF3E95"/>
    <w:rsid w:val="00BF5D8D"/>
    <w:rsid w:val="00BF7640"/>
    <w:rsid w:val="00C004AE"/>
    <w:rsid w:val="00C00E2A"/>
    <w:rsid w:val="00C013EE"/>
    <w:rsid w:val="00C01C06"/>
    <w:rsid w:val="00C02F46"/>
    <w:rsid w:val="00C0345E"/>
    <w:rsid w:val="00C0376F"/>
    <w:rsid w:val="00C048D0"/>
    <w:rsid w:val="00C04B8D"/>
    <w:rsid w:val="00C06665"/>
    <w:rsid w:val="00C06BD2"/>
    <w:rsid w:val="00C06E04"/>
    <w:rsid w:val="00C10CF9"/>
    <w:rsid w:val="00C10DB7"/>
    <w:rsid w:val="00C11AED"/>
    <w:rsid w:val="00C11F6C"/>
    <w:rsid w:val="00C13BAD"/>
    <w:rsid w:val="00C143EA"/>
    <w:rsid w:val="00C1537C"/>
    <w:rsid w:val="00C1598C"/>
    <w:rsid w:val="00C15C58"/>
    <w:rsid w:val="00C1648D"/>
    <w:rsid w:val="00C170A6"/>
    <w:rsid w:val="00C17305"/>
    <w:rsid w:val="00C17307"/>
    <w:rsid w:val="00C17417"/>
    <w:rsid w:val="00C1772D"/>
    <w:rsid w:val="00C202EF"/>
    <w:rsid w:val="00C2078C"/>
    <w:rsid w:val="00C22AB9"/>
    <w:rsid w:val="00C245CA"/>
    <w:rsid w:val="00C24AF7"/>
    <w:rsid w:val="00C24FEE"/>
    <w:rsid w:val="00C25212"/>
    <w:rsid w:val="00C25DB5"/>
    <w:rsid w:val="00C25E92"/>
    <w:rsid w:val="00C30042"/>
    <w:rsid w:val="00C30271"/>
    <w:rsid w:val="00C30672"/>
    <w:rsid w:val="00C30CF4"/>
    <w:rsid w:val="00C31292"/>
    <w:rsid w:val="00C32FE1"/>
    <w:rsid w:val="00C35483"/>
    <w:rsid w:val="00C35F5C"/>
    <w:rsid w:val="00C3741F"/>
    <w:rsid w:val="00C401A5"/>
    <w:rsid w:val="00C403DB"/>
    <w:rsid w:val="00C4048E"/>
    <w:rsid w:val="00C404FC"/>
    <w:rsid w:val="00C40532"/>
    <w:rsid w:val="00C406A7"/>
    <w:rsid w:val="00C40A36"/>
    <w:rsid w:val="00C4118E"/>
    <w:rsid w:val="00C41A1B"/>
    <w:rsid w:val="00C42684"/>
    <w:rsid w:val="00C441BF"/>
    <w:rsid w:val="00C450E8"/>
    <w:rsid w:val="00C45609"/>
    <w:rsid w:val="00C4605C"/>
    <w:rsid w:val="00C46171"/>
    <w:rsid w:val="00C46A04"/>
    <w:rsid w:val="00C46FEF"/>
    <w:rsid w:val="00C47B7C"/>
    <w:rsid w:val="00C51D2C"/>
    <w:rsid w:val="00C51E95"/>
    <w:rsid w:val="00C52C72"/>
    <w:rsid w:val="00C53CC8"/>
    <w:rsid w:val="00C55922"/>
    <w:rsid w:val="00C55ED6"/>
    <w:rsid w:val="00C55ED9"/>
    <w:rsid w:val="00C56423"/>
    <w:rsid w:val="00C564B1"/>
    <w:rsid w:val="00C56E0C"/>
    <w:rsid w:val="00C5756B"/>
    <w:rsid w:val="00C628F7"/>
    <w:rsid w:val="00C62C09"/>
    <w:rsid w:val="00C632EE"/>
    <w:rsid w:val="00C637D3"/>
    <w:rsid w:val="00C63AA9"/>
    <w:rsid w:val="00C649CF"/>
    <w:rsid w:val="00C650B6"/>
    <w:rsid w:val="00C65D07"/>
    <w:rsid w:val="00C65E07"/>
    <w:rsid w:val="00C66A99"/>
    <w:rsid w:val="00C66AD6"/>
    <w:rsid w:val="00C674D7"/>
    <w:rsid w:val="00C67782"/>
    <w:rsid w:val="00C70D76"/>
    <w:rsid w:val="00C7107A"/>
    <w:rsid w:val="00C71577"/>
    <w:rsid w:val="00C71587"/>
    <w:rsid w:val="00C71B96"/>
    <w:rsid w:val="00C71BD8"/>
    <w:rsid w:val="00C7311F"/>
    <w:rsid w:val="00C739F2"/>
    <w:rsid w:val="00C75737"/>
    <w:rsid w:val="00C75D30"/>
    <w:rsid w:val="00C76F83"/>
    <w:rsid w:val="00C7720C"/>
    <w:rsid w:val="00C77707"/>
    <w:rsid w:val="00C7794D"/>
    <w:rsid w:val="00C80602"/>
    <w:rsid w:val="00C815F4"/>
    <w:rsid w:val="00C833B7"/>
    <w:rsid w:val="00C83BC4"/>
    <w:rsid w:val="00C83C70"/>
    <w:rsid w:val="00C83F12"/>
    <w:rsid w:val="00C8567D"/>
    <w:rsid w:val="00C85B1B"/>
    <w:rsid w:val="00C85F0C"/>
    <w:rsid w:val="00C8690F"/>
    <w:rsid w:val="00C8699A"/>
    <w:rsid w:val="00C86FAC"/>
    <w:rsid w:val="00C87D08"/>
    <w:rsid w:val="00C87FF1"/>
    <w:rsid w:val="00C90F71"/>
    <w:rsid w:val="00C92390"/>
    <w:rsid w:val="00C9310F"/>
    <w:rsid w:val="00C93831"/>
    <w:rsid w:val="00C941F2"/>
    <w:rsid w:val="00C942FC"/>
    <w:rsid w:val="00C9449F"/>
    <w:rsid w:val="00C94D01"/>
    <w:rsid w:val="00C9527C"/>
    <w:rsid w:val="00C96015"/>
    <w:rsid w:val="00C96C29"/>
    <w:rsid w:val="00CA002D"/>
    <w:rsid w:val="00CA118E"/>
    <w:rsid w:val="00CA1A96"/>
    <w:rsid w:val="00CA2412"/>
    <w:rsid w:val="00CA36F3"/>
    <w:rsid w:val="00CA3A12"/>
    <w:rsid w:val="00CA4053"/>
    <w:rsid w:val="00CA6425"/>
    <w:rsid w:val="00CA66A8"/>
    <w:rsid w:val="00CA72EC"/>
    <w:rsid w:val="00CB0C51"/>
    <w:rsid w:val="00CB0DE9"/>
    <w:rsid w:val="00CB0F33"/>
    <w:rsid w:val="00CB1555"/>
    <w:rsid w:val="00CB16F2"/>
    <w:rsid w:val="00CB1DFE"/>
    <w:rsid w:val="00CB264C"/>
    <w:rsid w:val="00CB3789"/>
    <w:rsid w:val="00CB5451"/>
    <w:rsid w:val="00CB54E9"/>
    <w:rsid w:val="00CB6594"/>
    <w:rsid w:val="00CB778D"/>
    <w:rsid w:val="00CC04F4"/>
    <w:rsid w:val="00CC0E4F"/>
    <w:rsid w:val="00CC1A58"/>
    <w:rsid w:val="00CC2392"/>
    <w:rsid w:val="00CC239B"/>
    <w:rsid w:val="00CC26D6"/>
    <w:rsid w:val="00CC2B63"/>
    <w:rsid w:val="00CC31FB"/>
    <w:rsid w:val="00CC36F1"/>
    <w:rsid w:val="00CC39A9"/>
    <w:rsid w:val="00CC4086"/>
    <w:rsid w:val="00CC4278"/>
    <w:rsid w:val="00CC4A78"/>
    <w:rsid w:val="00CC4B5C"/>
    <w:rsid w:val="00CC5D86"/>
    <w:rsid w:val="00CC6389"/>
    <w:rsid w:val="00CC6A26"/>
    <w:rsid w:val="00CC7A9D"/>
    <w:rsid w:val="00CD032B"/>
    <w:rsid w:val="00CD0C1B"/>
    <w:rsid w:val="00CD1590"/>
    <w:rsid w:val="00CD1779"/>
    <w:rsid w:val="00CD311A"/>
    <w:rsid w:val="00CD3482"/>
    <w:rsid w:val="00CD3646"/>
    <w:rsid w:val="00CD40DA"/>
    <w:rsid w:val="00CD42FA"/>
    <w:rsid w:val="00CD461B"/>
    <w:rsid w:val="00CD4788"/>
    <w:rsid w:val="00CD4A4F"/>
    <w:rsid w:val="00CD4C6F"/>
    <w:rsid w:val="00CD5C74"/>
    <w:rsid w:val="00CD5FC9"/>
    <w:rsid w:val="00CD6817"/>
    <w:rsid w:val="00CD7034"/>
    <w:rsid w:val="00CD7677"/>
    <w:rsid w:val="00CD7678"/>
    <w:rsid w:val="00CD7C25"/>
    <w:rsid w:val="00CD7D48"/>
    <w:rsid w:val="00CE12BB"/>
    <w:rsid w:val="00CE190A"/>
    <w:rsid w:val="00CE1C1B"/>
    <w:rsid w:val="00CE2D08"/>
    <w:rsid w:val="00CE4925"/>
    <w:rsid w:val="00CE4A0C"/>
    <w:rsid w:val="00CE573D"/>
    <w:rsid w:val="00CE575E"/>
    <w:rsid w:val="00CE5940"/>
    <w:rsid w:val="00CE5AFC"/>
    <w:rsid w:val="00CE73CC"/>
    <w:rsid w:val="00CE749E"/>
    <w:rsid w:val="00CE74AB"/>
    <w:rsid w:val="00CE791E"/>
    <w:rsid w:val="00CE7CC1"/>
    <w:rsid w:val="00CF086B"/>
    <w:rsid w:val="00CF12F9"/>
    <w:rsid w:val="00CF133E"/>
    <w:rsid w:val="00CF1D3E"/>
    <w:rsid w:val="00CF1DDB"/>
    <w:rsid w:val="00CF2312"/>
    <w:rsid w:val="00CF2E64"/>
    <w:rsid w:val="00CF3F7C"/>
    <w:rsid w:val="00CF40F0"/>
    <w:rsid w:val="00CF4496"/>
    <w:rsid w:val="00CF4769"/>
    <w:rsid w:val="00CF4B91"/>
    <w:rsid w:val="00CF4CDC"/>
    <w:rsid w:val="00CF4E06"/>
    <w:rsid w:val="00CF554D"/>
    <w:rsid w:val="00CF5D62"/>
    <w:rsid w:val="00CF628B"/>
    <w:rsid w:val="00CF7059"/>
    <w:rsid w:val="00CF7F85"/>
    <w:rsid w:val="00D00442"/>
    <w:rsid w:val="00D0075E"/>
    <w:rsid w:val="00D010EB"/>
    <w:rsid w:val="00D0124D"/>
    <w:rsid w:val="00D018C3"/>
    <w:rsid w:val="00D01D25"/>
    <w:rsid w:val="00D01D60"/>
    <w:rsid w:val="00D03ACC"/>
    <w:rsid w:val="00D03AEE"/>
    <w:rsid w:val="00D03BCD"/>
    <w:rsid w:val="00D03CC5"/>
    <w:rsid w:val="00D03EC7"/>
    <w:rsid w:val="00D0419F"/>
    <w:rsid w:val="00D046F0"/>
    <w:rsid w:val="00D057EE"/>
    <w:rsid w:val="00D06605"/>
    <w:rsid w:val="00D06D73"/>
    <w:rsid w:val="00D07466"/>
    <w:rsid w:val="00D1019E"/>
    <w:rsid w:val="00D111D4"/>
    <w:rsid w:val="00D11439"/>
    <w:rsid w:val="00D11707"/>
    <w:rsid w:val="00D11CE9"/>
    <w:rsid w:val="00D12D68"/>
    <w:rsid w:val="00D132E7"/>
    <w:rsid w:val="00D1352D"/>
    <w:rsid w:val="00D14270"/>
    <w:rsid w:val="00D158FB"/>
    <w:rsid w:val="00D16227"/>
    <w:rsid w:val="00D16874"/>
    <w:rsid w:val="00D16E53"/>
    <w:rsid w:val="00D170AD"/>
    <w:rsid w:val="00D17F8B"/>
    <w:rsid w:val="00D20608"/>
    <w:rsid w:val="00D2105E"/>
    <w:rsid w:val="00D2183A"/>
    <w:rsid w:val="00D22374"/>
    <w:rsid w:val="00D22764"/>
    <w:rsid w:val="00D22EBD"/>
    <w:rsid w:val="00D23580"/>
    <w:rsid w:val="00D244EF"/>
    <w:rsid w:val="00D24BB6"/>
    <w:rsid w:val="00D25219"/>
    <w:rsid w:val="00D2583A"/>
    <w:rsid w:val="00D25E08"/>
    <w:rsid w:val="00D26AC9"/>
    <w:rsid w:val="00D26C9B"/>
    <w:rsid w:val="00D27251"/>
    <w:rsid w:val="00D2762C"/>
    <w:rsid w:val="00D276A9"/>
    <w:rsid w:val="00D3081F"/>
    <w:rsid w:val="00D30999"/>
    <w:rsid w:val="00D32AAE"/>
    <w:rsid w:val="00D33209"/>
    <w:rsid w:val="00D33C70"/>
    <w:rsid w:val="00D33D5E"/>
    <w:rsid w:val="00D360B2"/>
    <w:rsid w:val="00D3620B"/>
    <w:rsid w:val="00D3657A"/>
    <w:rsid w:val="00D37549"/>
    <w:rsid w:val="00D37634"/>
    <w:rsid w:val="00D37701"/>
    <w:rsid w:val="00D37797"/>
    <w:rsid w:val="00D40164"/>
    <w:rsid w:val="00D418EA"/>
    <w:rsid w:val="00D428AD"/>
    <w:rsid w:val="00D42AE8"/>
    <w:rsid w:val="00D42FFD"/>
    <w:rsid w:val="00D4491C"/>
    <w:rsid w:val="00D45368"/>
    <w:rsid w:val="00D456E4"/>
    <w:rsid w:val="00D4669E"/>
    <w:rsid w:val="00D477CE"/>
    <w:rsid w:val="00D5028B"/>
    <w:rsid w:val="00D5101F"/>
    <w:rsid w:val="00D51944"/>
    <w:rsid w:val="00D5287A"/>
    <w:rsid w:val="00D52C33"/>
    <w:rsid w:val="00D52C6A"/>
    <w:rsid w:val="00D53AA3"/>
    <w:rsid w:val="00D55145"/>
    <w:rsid w:val="00D55AFE"/>
    <w:rsid w:val="00D55C50"/>
    <w:rsid w:val="00D55CA4"/>
    <w:rsid w:val="00D56FEA"/>
    <w:rsid w:val="00D57682"/>
    <w:rsid w:val="00D57711"/>
    <w:rsid w:val="00D60B25"/>
    <w:rsid w:val="00D60D81"/>
    <w:rsid w:val="00D61F7B"/>
    <w:rsid w:val="00D62E49"/>
    <w:rsid w:val="00D648A9"/>
    <w:rsid w:val="00D663D4"/>
    <w:rsid w:val="00D668A7"/>
    <w:rsid w:val="00D670F6"/>
    <w:rsid w:val="00D671F6"/>
    <w:rsid w:val="00D673BA"/>
    <w:rsid w:val="00D70A99"/>
    <w:rsid w:val="00D70F07"/>
    <w:rsid w:val="00D713A7"/>
    <w:rsid w:val="00D71894"/>
    <w:rsid w:val="00D71962"/>
    <w:rsid w:val="00D7275E"/>
    <w:rsid w:val="00D73991"/>
    <w:rsid w:val="00D73B12"/>
    <w:rsid w:val="00D73FEB"/>
    <w:rsid w:val="00D74C13"/>
    <w:rsid w:val="00D750FD"/>
    <w:rsid w:val="00D763E4"/>
    <w:rsid w:val="00D77BB3"/>
    <w:rsid w:val="00D77BF7"/>
    <w:rsid w:val="00D77F49"/>
    <w:rsid w:val="00D806BE"/>
    <w:rsid w:val="00D82301"/>
    <w:rsid w:val="00D82BD0"/>
    <w:rsid w:val="00D82F5A"/>
    <w:rsid w:val="00D851F4"/>
    <w:rsid w:val="00D8545F"/>
    <w:rsid w:val="00D85CA2"/>
    <w:rsid w:val="00D85EDE"/>
    <w:rsid w:val="00D86880"/>
    <w:rsid w:val="00D86C6A"/>
    <w:rsid w:val="00D87003"/>
    <w:rsid w:val="00D872E1"/>
    <w:rsid w:val="00D87A7A"/>
    <w:rsid w:val="00D9142F"/>
    <w:rsid w:val="00D91BEB"/>
    <w:rsid w:val="00D91C1F"/>
    <w:rsid w:val="00D91F0C"/>
    <w:rsid w:val="00D9332B"/>
    <w:rsid w:val="00D936BA"/>
    <w:rsid w:val="00D936E2"/>
    <w:rsid w:val="00D94180"/>
    <w:rsid w:val="00D94676"/>
    <w:rsid w:val="00D947B2"/>
    <w:rsid w:val="00D9488A"/>
    <w:rsid w:val="00D94D2F"/>
    <w:rsid w:val="00D95E16"/>
    <w:rsid w:val="00D96146"/>
    <w:rsid w:val="00D96EA4"/>
    <w:rsid w:val="00DA013E"/>
    <w:rsid w:val="00DA1181"/>
    <w:rsid w:val="00DA17A3"/>
    <w:rsid w:val="00DA38B8"/>
    <w:rsid w:val="00DA3D97"/>
    <w:rsid w:val="00DA5D6E"/>
    <w:rsid w:val="00DA6252"/>
    <w:rsid w:val="00DA7966"/>
    <w:rsid w:val="00DA7C95"/>
    <w:rsid w:val="00DB18DE"/>
    <w:rsid w:val="00DB2E82"/>
    <w:rsid w:val="00DB31D1"/>
    <w:rsid w:val="00DB320C"/>
    <w:rsid w:val="00DB33A3"/>
    <w:rsid w:val="00DB380A"/>
    <w:rsid w:val="00DB3E1C"/>
    <w:rsid w:val="00DB4010"/>
    <w:rsid w:val="00DB4259"/>
    <w:rsid w:val="00DB4447"/>
    <w:rsid w:val="00DB4F3C"/>
    <w:rsid w:val="00DB5594"/>
    <w:rsid w:val="00DB5AE5"/>
    <w:rsid w:val="00DB637F"/>
    <w:rsid w:val="00DB640C"/>
    <w:rsid w:val="00DB6843"/>
    <w:rsid w:val="00DB690B"/>
    <w:rsid w:val="00DB6A3E"/>
    <w:rsid w:val="00DB6F3A"/>
    <w:rsid w:val="00DB75CF"/>
    <w:rsid w:val="00DB7C4A"/>
    <w:rsid w:val="00DC01D5"/>
    <w:rsid w:val="00DC0976"/>
    <w:rsid w:val="00DC15B0"/>
    <w:rsid w:val="00DC16E2"/>
    <w:rsid w:val="00DC2B6A"/>
    <w:rsid w:val="00DC3966"/>
    <w:rsid w:val="00DC3DE3"/>
    <w:rsid w:val="00DC452F"/>
    <w:rsid w:val="00DC52E5"/>
    <w:rsid w:val="00DC5BE4"/>
    <w:rsid w:val="00DC61CF"/>
    <w:rsid w:val="00DC7CCF"/>
    <w:rsid w:val="00DD04BB"/>
    <w:rsid w:val="00DD1903"/>
    <w:rsid w:val="00DD219E"/>
    <w:rsid w:val="00DD23AE"/>
    <w:rsid w:val="00DD2532"/>
    <w:rsid w:val="00DD2F03"/>
    <w:rsid w:val="00DD356D"/>
    <w:rsid w:val="00DD51D9"/>
    <w:rsid w:val="00DD535F"/>
    <w:rsid w:val="00DD7976"/>
    <w:rsid w:val="00DE017D"/>
    <w:rsid w:val="00DE0474"/>
    <w:rsid w:val="00DE235D"/>
    <w:rsid w:val="00DE23B8"/>
    <w:rsid w:val="00DE3C4A"/>
    <w:rsid w:val="00DE4208"/>
    <w:rsid w:val="00DE642F"/>
    <w:rsid w:val="00DE73CE"/>
    <w:rsid w:val="00DE771A"/>
    <w:rsid w:val="00DE7F42"/>
    <w:rsid w:val="00DF116D"/>
    <w:rsid w:val="00DF22D8"/>
    <w:rsid w:val="00DF2FCD"/>
    <w:rsid w:val="00DF4AD4"/>
    <w:rsid w:val="00DF51B7"/>
    <w:rsid w:val="00DF5E98"/>
    <w:rsid w:val="00DF7B82"/>
    <w:rsid w:val="00E00354"/>
    <w:rsid w:val="00E01609"/>
    <w:rsid w:val="00E01EB2"/>
    <w:rsid w:val="00E033EF"/>
    <w:rsid w:val="00E04287"/>
    <w:rsid w:val="00E04806"/>
    <w:rsid w:val="00E06240"/>
    <w:rsid w:val="00E06E40"/>
    <w:rsid w:val="00E1021A"/>
    <w:rsid w:val="00E10A98"/>
    <w:rsid w:val="00E11FE6"/>
    <w:rsid w:val="00E13198"/>
    <w:rsid w:val="00E1338E"/>
    <w:rsid w:val="00E13566"/>
    <w:rsid w:val="00E147FF"/>
    <w:rsid w:val="00E1693A"/>
    <w:rsid w:val="00E17A28"/>
    <w:rsid w:val="00E17B14"/>
    <w:rsid w:val="00E21244"/>
    <w:rsid w:val="00E2234C"/>
    <w:rsid w:val="00E22A5C"/>
    <w:rsid w:val="00E22BCA"/>
    <w:rsid w:val="00E23B86"/>
    <w:rsid w:val="00E23DAF"/>
    <w:rsid w:val="00E24D7E"/>
    <w:rsid w:val="00E255D2"/>
    <w:rsid w:val="00E264C7"/>
    <w:rsid w:val="00E276B7"/>
    <w:rsid w:val="00E276E2"/>
    <w:rsid w:val="00E27BA3"/>
    <w:rsid w:val="00E30CCD"/>
    <w:rsid w:val="00E323B8"/>
    <w:rsid w:val="00E3259A"/>
    <w:rsid w:val="00E32ABF"/>
    <w:rsid w:val="00E32F31"/>
    <w:rsid w:val="00E33221"/>
    <w:rsid w:val="00E33D96"/>
    <w:rsid w:val="00E34F09"/>
    <w:rsid w:val="00E3539C"/>
    <w:rsid w:val="00E3663D"/>
    <w:rsid w:val="00E37058"/>
    <w:rsid w:val="00E37F01"/>
    <w:rsid w:val="00E403EB"/>
    <w:rsid w:val="00E4197E"/>
    <w:rsid w:val="00E42890"/>
    <w:rsid w:val="00E4312C"/>
    <w:rsid w:val="00E438D0"/>
    <w:rsid w:val="00E4476B"/>
    <w:rsid w:val="00E44AE7"/>
    <w:rsid w:val="00E456FD"/>
    <w:rsid w:val="00E46ECE"/>
    <w:rsid w:val="00E50BBD"/>
    <w:rsid w:val="00E51191"/>
    <w:rsid w:val="00E52878"/>
    <w:rsid w:val="00E52BDF"/>
    <w:rsid w:val="00E52DC6"/>
    <w:rsid w:val="00E53CC0"/>
    <w:rsid w:val="00E53D87"/>
    <w:rsid w:val="00E54E80"/>
    <w:rsid w:val="00E55D48"/>
    <w:rsid w:val="00E55EBE"/>
    <w:rsid w:val="00E56090"/>
    <w:rsid w:val="00E5760E"/>
    <w:rsid w:val="00E57D7C"/>
    <w:rsid w:val="00E602DE"/>
    <w:rsid w:val="00E60336"/>
    <w:rsid w:val="00E60920"/>
    <w:rsid w:val="00E6115A"/>
    <w:rsid w:val="00E611A5"/>
    <w:rsid w:val="00E623C3"/>
    <w:rsid w:val="00E64287"/>
    <w:rsid w:val="00E64F31"/>
    <w:rsid w:val="00E653DE"/>
    <w:rsid w:val="00E6546A"/>
    <w:rsid w:val="00E65BE2"/>
    <w:rsid w:val="00E66CD6"/>
    <w:rsid w:val="00E67E35"/>
    <w:rsid w:val="00E7243F"/>
    <w:rsid w:val="00E72596"/>
    <w:rsid w:val="00E74DC7"/>
    <w:rsid w:val="00E74FA6"/>
    <w:rsid w:val="00E7587B"/>
    <w:rsid w:val="00E76124"/>
    <w:rsid w:val="00E7677C"/>
    <w:rsid w:val="00E77336"/>
    <w:rsid w:val="00E77525"/>
    <w:rsid w:val="00E80EFA"/>
    <w:rsid w:val="00E8194C"/>
    <w:rsid w:val="00E83C43"/>
    <w:rsid w:val="00E84575"/>
    <w:rsid w:val="00E84610"/>
    <w:rsid w:val="00E85A55"/>
    <w:rsid w:val="00E85D8D"/>
    <w:rsid w:val="00E85DC9"/>
    <w:rsid w:val="00E86B1B"/>
    <w:rsid w:val="00E86D46"/>
    <w:rsid w:val="00E86E73"/>
    <w:rsid w:val="00E91B9C"/>
    <w:rsid w:val="00E91DC7"/>
    <w:rsid w:val="00E92277"/>
    <w:rsid w:val="00E92AD2"/>
    <w:rsid w:val="00E92EB2"/>
    <w:rsid w:val="00E94BD4"/>
    <w:rsid w:val="00E94BF0"/>
    <w:rsid w:val="00E95D80"/>
    <w:rsid w:val="00E965DE"/>
    <w:rsid w:val="00E97721"/>
    <w:rsid w:val="00EA058A"/>
    <w:rsid w:val="00EA137E"/>
    <w:rsid w:val="00EA15E6"/>
    <w:rsid w:val="00EA26E0"/>
    <w:rsid w:val="00EA2B59"/>
    <w:rsid w:val="00EA32DB"/>
    <w:rsid w:val="00EA3B28"/>
    <w:rsid w:val="00EA5B50"/>
    <w:rsid w:val="00EA5F32"/>
    <w:rsid w:val="00EA64AC"/>
    <w:rsid w:val="00EA6A6C"/>
    <w:rsid w:val="00EA78B3"/>
    <w:rsid w:val="00EA7A78"/>
    <w:rsid w:val="00EB02EC"/>
    <w:rsid w:val="00EB147A"/>
    <w:rsid w:val="00EB1DFF"/>
    <w:rsid w:val="00EB20AD"/>
    <w:rsid w:val="00EB20B7"/>
    <w:rsid w:val="00EB25B9"/>
    <w:rsid w:val="00EB3B6E"/>
    <w:rsid w:val="00EB3FE9"/>
    <w:rsid w:val="00EB4134"/>
    <w:rsid w:val="00EB46D3"/>
    <w:rsid w:val="00EB5FF0"/>
    <w:rsid w:val="00EB71A2"/>
    <w:rsid w:val="00EB797D"/>
    <w:rsid w:val="00EC0974"/>
    <w:rsid w:val="00EC0BBB"/>
    <w:rsid w:val="00EC25BE"/>
    <w:rsid w:val="00EC3126"/>
    <w:rsid w:val="00EC3EB7"/>
    <w:rsid w:val="00EC4AE2"/>
    <w:rsid w:val="00EC5CD5"/>
    <w:rsid w:val="00EC6E1C"/>
    <w:rsid w:val="00EC7B63"/>
    <w:rsid w:val="00EC7B92"/>
    <w:rsid w:val="00EC7D29"/>
    <w:rsid w:val="00ED0484"/>
    <w:rsid w:val="00ED1620"/>
    <w:rsid w:val="00ED1EAC"/>
    <w:rsid w:val="00ED2554"/>
    <w:rsid w:val="00ED2CAE"/>
    <w:rsid w:val="00ED31D3"/>
    <w:rsid w:val="00ED3DE4"/>
    <w:rsid w:val="00ED41E6"/>
    <w:rsid w:val="00ED4832"/>
    <w:rsid w:val="00ED485A"/>
    <w:rsid w:val="00ED508C"/>
    <w:rsid w:val="00ED5A63"/>
    <w:rsid w:val="00ED63A7"/>
    <w:rsid w:val="00ED68DA"/>
    <w:rsid w:val="00ED7F52"/>
    <w:rsid w:val="00EE0114"/>
    <w:rsid w:val="00EE13AD"/>
    <w:rsid w:val="00EE1BBD"/>
    <w:rsid w:val="00EE1BF6"/>
    <w:rsid w:val="00EE1ED3"/>
    <w:rsid w:val="00EE2CD1"/>
    <w:rsid w:val="00EE2FF6"/>
    <w:rsid w:val="00EE391A"/>
    <w:rsid w:val="00EE44D4"/>
    <w:rsid w:val="00EE4D63"/>
    <w:rsid w:val="00EE5CD9"/>
    <w:rsid w:val="00EE7BAC"/>
    <w:rsid w:val="00EF0E3D"/>
    <w:rsid w:val="00EF18F0"/>
    <w:rsid w:val="00EF1C91"/>
    <w:rsid w:val="00EF278F"/>
    <w:rsid w:val="00EF2A85"/>
    <w:rsid w:val="00EF43A1"/>
    <w:rsid w:val="00EF516A"/>
    <w:rsid w:val="00EF53C0"/>
    <w:rsid w:val="00EF73FA"/>
    <w:rsid w:val="00F01523"/>
    <w:rsid w:val="00F01724"/>
    <w:rsid w:val="00F0192B"/>
    <w:rsid w:val="00F01B95"/>
    <w:rsid w:val="00F02068"/>
    <w:rsid w:val="00F034C0"/>
    <w:rsid w:val="00F03B26"/>
    <w:rsid w:val="00F0417B"/>
    <w:rsid w:val="00F04337"/>
    <w:rsid w:val="00F0442F"/>
    <w:rsid w:val="00F05AF8"/>
    <w:rsid w:val="00F0605A"/>
    <w:rsid w:val="00F06C78"/>
    <w:rsid w:val="00F07FC2"/>
    <w:rsid w:val="00F1099E"/>
    <w:rsid w:val="00F11347"/>
    <w:rsid w:val="00F116E9"/>
    <w:rsid w:val="00F11E7D"/>
    <w:rsid w:val="00F1226E"/>
    <w:rsid w:val="00F12510"/>
    <w:rsid w:val="00F12937"/>
    <w:rsid w:val="00F14363"/>
    <w:rsid w:val="00F15028"/>
    <w:rsid w:val="00F152E3"/>
    <w:rsid w:val="00F16BB8"/>
    <w:rsid w:val="00F16C4E"/>
    <w:rsid w:val="00F20C58"/>
    <w:rsid w:val="00F20F1C"/>
    <w:rsid w:val="00F22466"/>
    <w:rsid w:val="00F232B4"/>
    <w:rsid w:val="00F2368D"/>
    <w:rsid w:val="00F2393F"/>
    <w:rsid w:val="00F23F69"/>
    <w:rsid w:val="00F24853"/>
    <w:rsid w:val="00F24A38"/>
    <w:rsid w:val="00F2556D"/>
    <w:rsid w:val="00F2605D"/>
    <w:rsid w:val="00F26A07"/>
    <w:rsid w:val="00F26CC9"/>
    <w:rsid w:val="00F26E5C"/>
    <w:rsid w:val="00F26FA3"/>
    <w:rsid w:val="00F27DFD"/>
    <w:rsid w:val="00F308A1"/>
    <w:rsid w:val="00F31528"/>
    <w:rsid w:val="00F33CD9"/>
    <w:rsid w:val="00F35A81"/>
    <w:rsid w:val="00F35FC5"/>
    <w:rsid w:val="00F37340"/>
    <w:rsid w:val="00F37E7C"/>
    <w:rsid w:val="00F40983"/>
    <w:rsid w:val="00F41E8F"/>
    <w:rsid w:val="00F42888"/>
    <w:rsid w:val="00F42A25"/>
    <w:rsid w:val="00F42AB9"/>
    <w:rsid w:val="00F43DF3"/>
    <w:rsid w:val="00F444F6"/>
    <w:rsid w:val="00F46B21"/>
    <w:rsid w:val="00F473CD"/>
    <w:rsid w:val="00F500BF"/>
    <w:rsid w:val="00F50232"/>
    <w:rsid w:val="00F50917"/>
    <w:rsid w:val="00F50A49"/>
    <w:rsid w:val="00F50A7D"/>
    <w:rsid w:val="00F521EF"/>
    <w:rsid w:val="00F52790"/>
    <w:rsid w:val="00F52BD2"/>
    <w:rsid w:val="00F53884"/>
    <w:rsid w:val="00F544A9"/>
    <w:rsid w:val="00F55306"/>
    <w:rsid w:val="00F55E5D"/>
    <w:rsid w:val="00F564EF"/>
    <w:rsid w:val="00F57C9E"/>
    <w:rsid w:val="00F604AB"/>
    <w:rsid w:val="00F60A04"/>
    <w:rsid w:val="00F60E64"/>
    <w:rsid w:val="00F60F6D"/>
    <w:rsid w:val="00F60FB3"/>
    <w:rsid w:val="00F620F1"/>
    <w:rsid w:val="00F62A69"/>
    <w:rsid w:val="00F62AE7"/>
    <w:rsid w:val="00F63677"/>
    <w:rsid w:val="00F646DD"/>
    <w:rsid w:val="00F65DB3"/>
    <w:rsid w:val="00F66A07"/>
    <w:rsid w:val="00F6787C"/>
    <w:rsid w:val="00F7014D"/>
    <w:rsid w:val="00F702CB"/>
    <w:rsid w:val="00F70BD0"/>
    <w:rsid w:val="00F7218C"/>
    <w:rsid w:val="00F72E1E"/>
    <w:rsid w:val="00F744F6"/>
    <w:rsid w:val="00F752CD"/>
    <w:rsid w:val="00F76E95"/>
    <w:rsid w:val="00F77786"/>
    <w:rsid w:val="00F77989"/>
    <w:rsid w:val="00F77F31"/>
    <w:rsid w:val="00F816D4"/>
    <w:rsid w:val="00F8356F"/>
    <w:rsid w:val="00F83C2D"/>
    <w:rsid w:val="00F83F55"/>
    <w:rsid w:val="00F84B3F"/>
    <w:rsid w:val="00F87878"/>
    <w:rsid w:val="00F87B3A"/>
    <w:rsid w:val="00F902B1"/>
    <w:rsid w:val="00F90F7E"/>
    <w:rsid w:val="00F91AB1"/>
    <w:rsid w:val="00F91F1F"/>
    <w:rsid w:val="00F9418C"/>
    <w:rsid w:val="00F9439D"/>
    <w:rsid w:val="00F94C07"/>
    <w:rsid w:val="00F965B6"/>
    <w:rsid w:val="00F9726F"/>
    <w:rsid w:val="00F9731B"/>
    <w:rsid w:val="00F97792"/>
    <w:rsid w:val="00F97B25"/>
    <w:rsid w:val="00FA06AC"/>
    <w:rsid w:val="00FA0CA3"/>
    <w:rsid w:val="00FA1681"/>
    <w:rsid w:val="00FA23FA"/>
    <w:rsid w:val="00FA2B9C"/>
    <w:rsid w:val="00FA3DAC"/>
    <w:rsid w:val="00FA42CA"/>
    <w:rsid w:val="00FA4A6F"/>
    <w:rsid w:val="00FA658D"/>
    <w:rsid w:val="00FB09A4"/>
    <w:rsid w:val="00FB200B"/>
    <w:rsid w:val="00FB20EF"/>
    <w:rsid w:val="00FB2607"/>
    <w:rsid w:val="00FB2FAA"/>
    <w:rsid w:val="00FB392D"/>
    <w:rsid w:val="00FB3E69"/>
    <w:rsid w:val="00FB4074"/>
    <w:rsid w:val="00FB46F2"/>
    <w:rsid w:val="00FB4FCE"/>
    <w:rsid w:val="00FB5049"/>
    <w:rsid w:val="00FB5149"/>
    <w:rsid w:val="00FB6017"/>
    <w:rsid w:val="00FB637C"/>
    <w:rsid w:val="00FB680E"/>
    <w:rsid w:val="00FB7038"/>
    <w:rsid w:val="00FB7130"/>
    <w:rsid w:val="00FB71C2"/>
    <w:rsid w:val="00FB78C0"/>
    <w:rsid w:val="00FB7EA9"/>
    <w:rsid w:val="00FC172B"/>
    <w:rsid w:val="00FC1ECD"/>
    <w:rsid w:val="00FC2AB1"/>
    <w:rsid w:val="00FC3398"/>
    <w:rsid w:val="00FC3462"/>
    <w:rsid w:val="00FC532A"/>
    <w:rsid w:val="00FC5921"/>
    <w:rsid w:val="00FC5FF7"/>
    <w:rsid w:val="00FC6290"/>
    <w:rsid w:val="00FC6CAE"/>
    <w:rsid w:val="00FC7975"/>
    <w:rsid w:val="00FD1311"/>
    <w:rsid w:val="00FD1375"/>
    <w:rsid w:val="00FD13FB"/>
    <w:rsid w:val="00FD14C5"/>
    <w:rsid w:val="00FD380F"/>
    <w:rsid w:val="00FD3A5B"/>
    <w:rsid w:val="00FD4C93"/>
    <w:rsid w:val="00FD592F"/>
    <w:rsid w:val="00FD5C8E"/>
    <w:rsid w:val="00FD66AA"/>
    <w:rsid w:val="00FD6993"/>
    <w:rsid w:val="00FE10F1"/>
    <w:rsid w:val="00FE13DE"/>
    <w:rsid w:val="00FE1C2D"/>
    <w:rsid w:val="00FE2286"/>
    <w:rsid w:val="00FE2712"/>
    <w:rsid w:val="00FE2FDB"/>
    <w:rsid w:val="00FE310A"/>
    <w:rsid w:val="00FE3FDF"/>
    <w:rsid w:val="00FE6B57"/>
    <w:rsid w:val="00FF0FC8"/>
    <w:rsid w:val="00FF1832"/>
    <w:rsid w:val="00FF1935"/>
    <w:rsid w:val="00FF21D5"/>
    <w:rsid w:val="00FF294A"/>
    <w:rsid w:val="00FF3138"/>
    <w:rsid w:val="00FF3764"/>
    <w:rsid w:val="00FF396F"/>
    <w:rsid w:val="00FF3D75"/>
    <w:rsid w:val="00FF3F98"/>
    <w:rsid w:val="00FF401D"/>
    <w:rsid w:val="00FF4B48"/>
    <w:rsid w:val="00FF5AD3"/>
    <w:rsid w:val="00FF69EA"/>
    <w:rsid w:val="00FF6C2D"/>
    <w:rsid w:val="00FF710B"/>
    <w:rsid w:val="00FF767D"/>
    <w:rsid w:val="00FF7E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0">
      <o:colormenu v:ext="edit"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iPriority="35" w:unhideWhenUsed="1" w:qFormat="1"/>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1A7"/>
    <w:pPr>
      <w:spacing w:before="120" w:after="200" w:line="276" w:lineRule="auto"/>
    </w:pPr>
    <w:rPr>
      <w:rFonts w:eastAsia="PMingLiU"/>
      <w:sz w:val="22"/>
      <w:szCs w:val="22"/>
    </w:rPr>
  </w:style>
  <w:style w:type="paragraph" w:styleId="Heading1">
    <w:name w:val="heading 1"/>
    <w:basedOn w:val="Normal"/>
    <w:next w:val="Normal"/>
    <w:link w:val="Heading1Char"/>
    <w:uiPriority w:val="9"/>
    <w:qFormat/>
    <w:rsid w:val="004315F2"/>
    <w:pPr>
      <w:pBdr>
        <w:bottom w:val="single" w:sz="4" w:space="1" w:color="auto"/>
      </w:pBdr>
      <w:spacing w:after="80"/>
      <w:outlineLvl w:val="0"/>
    </w:pPr>
    <w:rPr>
      <w:rFonts w:ascii="Cambria" w:eastAsia="Times New Roman" w:hAnsi="Cambria"/>
      <w:b/>
      <w:bCs/>
      <w:sz w:val="32"/>
      <w:szCs w:val="40"/>
    </w:rPr>
  </w:style>
  <w:style w:type="paragraph" w:styleId="Heading2">
    <w:name w:val="heading 2"/>
    <w:basedOn w:val="Normal"/>
    <w:next w:val="Normal"/>
    <w:link w:val="Heading2Char"/>
    <w:uiPriority w:val="9"/>
    <w:unhideWhenUsed/>
    <w:qFormat/>
    <w:rsid w:val="00F91AB1"/>
    <w:pPr>
      <w:outlineLvl w:val="1"/>
    </w:pPr>
    <w:rPr>
      <w:rFonts w:ascii="Cambria" w:hAnsi="Cambria"/>
      <w:b/>
      <w:sz w:val="28"/>
      <w:szCs w:val="28"/>
    </w:rPr>
  </w:style>
  <w:style w:type="paragraph" w:styleId="Heading3">
    <w:name w:val="heading 3"/>
    <w:basedOn w:val="Heading2"/>
    <w:next w:val="Normal"/>
    <w:link w:val="Heading3Char"/>
    <w:uiPriority w:val="9"/>
    <w:unhideWhenUsed/>
    <w:qFormat/>
    <w:rsid w:val="005511A7"/>
    <w:pPr>
      <w:outlineLvl w:val="2"/>
    </w:pPr>
    <w:rPr>
      <w:sz w:val="26"/>
    </w:rPr>
  </w:style>
  <w:style w:type="paragraph" w:styleId="Heading4">
    <w:name w:val="heading 4"/>
    <w:basedOn w:val="Normal"/>
    <w:next w:val="Normal"/>
    <w:link w:val="Heading4Char"/>
    <w:uiPriority w:val="9"/>
    <w:unhideWhenUsed/>
    <w:rsid w:val="00DC452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unhideWhenUsed/>
    <w:rsid w:val="00DC452F"/>
    <w:pPr>
      <w:spacing w:before="200" w:after="80"/>
      <w:outlineLvl w:val="4"/>
    </w:pPr>
    <w:rPr>
      <w:rFonts w:ascii="Cambria" w:eastAsia="Times New Roman" w:hAnsi="Cambria"/>
      <w:color w:val="4F81BD"/>
      <w:sz w:val="20"/>
      <w:szCs w:val="20"/>
    </w:rPr>
  </w:style>
  <w:style w:type="paragraph" w:styleId="Heading6">
    <w:name w:val="heading 6"/>
    <w:basedOn w:val="Normal"/>
    <w:next w:val="Normal"/>
    <w:link w:val="Heading6Char"/>
    <w:uiPriority w:val="9"/>
    <w:semiHidden/>
    <w:unhideWhenUsed/>
    <w:qFormat/>
    <w:rsid w:val="00DC452F"/>
    <w:pPr>
      <w:spacing w:before="280" w:after="100"/>
      <w:outlineLvl w:val="5"/>
    </w:pPr>
    <w:rPr>
      <w:rFonts w:ascii="Cambria" w:eastAsia="Times New Roman" w:hAnsi="Cambria"/>
      <w:i/>
      <w:iCs/>
      <w:color w:val="4F81BD"/>
      <w:sz w:val="20"/>
      <w:szCs w:val="20"/>
    </w:rPr>
  </w:style>
  <w:style w:type="paragraph" w:styleId="Heading7">
    <w:name w:val="heading 7"/>
    <w:basedOn w:val="Normal"/>
    <w:next w:val="Normal"/>
    <w:link w:val="Heading7Char"/>
    <w:uiPriority w:val="9"/>
    <w:semiHidden/>
    <w:unhideWhenUsed/>
    <w:qFormat/>
    <w:rsid w:val="00DC452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DC452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DC452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5F2"/>
    <w:rPr>
      <w:rFonts w:ascii="Cambria" w:hAnsi="Cambria"/>
      <w:b/>
      <w:bCs/>
      <w:sz w:val="32"/>
      <w:szCs w:val="40"/>
    </w:rPr>
  </w:style>
  <w:style w:type="character" w:customStyle="1" w:styleId="Heading2Char">
    <w:name w:val="Heading 2 Char"/>
    <w:link w:val="Heading2"/>
    <w:uiPriority w:val="9"/>
    <w:rsid w:val="00F91AB1"/>
    <w:rPr>
      <w:rFonts w:ascii="Cambria" w:eastAsia="PMingLiU" w:hAnsi="Cambria"/>
      <w:b/>
      <w:sz w:val="28"/>
      <w:szCs w:val="28"/>
    </w:rPr>
  </w:style>
  <w:style w:type="character" w:customStyle="1" w:styleId="Heading3Char">
    <w:name w:val="Heading 3 Char"/>
    <w:link w:val="Heading3"/>
    <w:uiPriority w:val="9"/>
    <w:rsid w:val="005511A7"/>
    <w:rPr>
      <w:rFonts w:ascii="Cambria" w:eastAsia="PMingLiU" w:hAnsi="Cambria"/>
      <w:b/>
      <w:sz w:val="26"/>
      <w:szCs w:val="28"/>
    </w:rPr>
  </w:style>
  <w:style w:type="character" w:customStyle="1" w:styleId="Heading4Char">
    <w:name w:val="Heading 4 Char"/>
    <w:link w:val="Heading4"/>
    <w:uiPriority w:val="9"/>
    <w:rsid w:val="00DC452F"/>
    <w:rPr>
      <w:rFonts w:ascii="Cambria" w:eastAsia="Times New Roman" w:hAnsi="Cambria" w:cs="Times New Roman"/>
      <w:i/>
      <w:iCs/>
      <w:color w:val="4F81BD"/>
      <w:sz w:val="24"/>
      <w:szCs w:val="24"/>
    </w:rPr>
  </w:style>
  <w:style w:type="character" w:customStyle="1" w:styleId="Heading5Char">
    <w:name w:val="Heading 5 Char"/>
    <w:link w:val="Heading5"/>
    <w:uiPriority w:val="9"/>
    <w:rsid w:val="00DC452F"/>
    <w:rPr>
      <w:rFonts w:ascii="Cambria" w:eastAsia="Times New Roman" w:hAnsi="Cambria" w:cs="Times New Roman"/>
      <w:color w:val="4F81BD"/>
    </w:rPr>
  </w:style>
  <w:style w:type="character" w:customStyle="1" w:styleId="Heading6Char">
    <w:name w:val="Heading 6 Char"/>
    <w:link w:val="Heading6"/>
    <w:uiPriority w:val="9"/>
    <w:semiHidden/>
    <w:rsid w:val="00DC452F"/>
    <w:rPr>
      <w:rFonts w:ascii="Cambria" w:eastAsia="Times New Roman" w:hAnsi="Cambria" w:cs="Times New Roman"/>
      <w:i/>
      <w:iCs/>
      <w:color w:val="4F81BD"/>
    </w:rPr>
  </w:style>
  <w:style w:type="character" w:customStyle="1" w:styleId="Heading7Char">
    <w:name w:val="Heading 7 Char"/>
    <w:link w:val="Heading7"/>
    <w:uiPriority w:val="9"/>
    <w:semiHidden/>
    <w:rsid w:val="00DC452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DC452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DC452F"/>
    <w:rPr>
      <w:rFonts w:ascii="Cambria" w:eastAsia="Times New Roman" w:hAnsi="Cambria" w:cs="Times New Roman"/>
      <w:i/>
      <w:iCs/>
      <w:color w:val="9BBB59"/>
      <w:sz w:val="20"/>
      <w:szCs w:val="20"/>
    </w:rPr>
  </w:style>
  <w:style w:type="paragraph" w:customStyle="1" w:styleId="IIGBBadge">
    <w:name w:val="IIGB Badge"/>
    <w:basedOn w:val="Normal"/>
    <w:autoRedefine/>
    <w:rsid w:val="00F15028"/>
    <w:pPr>
      <w:ind w:left="3600"/>
      <w:jc w:val="center"/>
    </w:pPr>
    <w:rPr>
      <w:rFonts w:ascii="Palatino Linotype" w:hAnsi="Palatino Linotype"/>
      <w:b/>
      <w:smallCaps/>
      <w:sz w:val="20"/>
    </w:rPr>
  </w:style>
  <w:style w:type="paragraph" w:customStyle="1" w:styleId="Heading1Titletext">
    <w:name w:val="Heading 1 Title text"/>
    <w:basedOn w:val="Heading1"/>
    <w:rsid w:val="00F15028"/>
  </w:style>
  <w:style w:type="table" w:styleId="TableGrid">
    <w:name w:val="Table Grid"/>
    <w:basedOn w:val="TableNormal"/>
    <w:uiPriority w:val="59"/>
    <w:rsid w:val="00F15028"/>
    <w:pPr>
      <w:spacing w:before="120" w:after="120"/>
    </w:pPr>
    <w:rPr>
      <w:rFonts w:ascii="Trebuchet MS" w:eastAsia="PMingLiU" w:hAnsi="Trebuchet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paragraph" w:customStyle="1" w:styleId="Recommendationtext">
    <w:name w:val="Recommendation text"/>
    <w:basedOn w:val="Normal"/>
    <w:rsid w:val="00F15028"/>
    <w:rPr>
      <w:b/>
      <w:i/>
    </w:rPr>
  </w:style>
  <w:style w:type="paragraph" w:styleId="BalloonText">
    <w:name w:val="Balloon Text"/>
    <w:basedOn w:val="Normal"/>
    <w:link w:val="BalloonTextChar"/>
    <w:rsid w:val="00C90F71"/>
    <w:pPr>
      <w:spacing w:before="0" w:after="0" w:line="240" w:lineRule="auto"/>
    </w:pPr>
    <w:rPr>
      <w:rFonts w:ascii="Tahoma" w:hAnsi="Tahoma" w:cs="Tahoma"/>
      <w:sz w:val="16"/>
      <w:szCs w:val="16"/>
    </w:rPr>
  </w:style>
  <w:style w:type="character" w:customStyle="1" w:styleId="BalloonTextChar">
    <w:name w:val="Balloon Text Char"/>
    <w:link w:val="BalloonText"/>
    <w:rsid w:val="00C90F71"/>
    <w:rPr>
      <w:rFonts w:ascii="Tahoma" w:eastAsia="PMingLiU" w:hAnsi="Tahoma" w:cs="Tahoma"/>
      <w:sz w:val="16"/>
      <w:szCs w:val="16"/>
      <w:lang w:val="en-AU" w:eastAsia="en-AU" w:bidi="ar-SA"/>
    </w:rPr>
  </w:style>
  <w:style w:type="character" w:styleId="PageNumber">
    <w:name w:val="page number"/>
    <w:rsid w:val="00F15028"/>
    <w:rPr>
      <w:rFonts w:ascii="Trebuchet MS" w:hAnsi="Trebuchet MS"/>
      <w:sz w:val="20"/>
    </w:rPr>
  </w:style>
  <w:style w:type="paragraph" w:styleId="Title">
    <w:name w:val="Title"/>
    <w:basedOn w:val="Normal"/>
    <w:next w:val="Normal"/>
    <w:link w:val="TitleChar"/>
    <w:uiPriority w:val="10"/>
    <w:rsid w:val="00C90F71"/>
    <w:pPr>
      <w:pBdr>
        <w:bottom w:val="single" w:sz="8" w:space="4" w:color="4F81BD"/>
      </w:pBdr>
      <w:spacing w:before="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90F71"/>
    <w:rPr>
      <w:rFonts w:ascii="Cambria" w:eastAsia="Times New Roman" w:hAnsi="Cambria" w:cs="Times New Roman"/>
      <w:color w:val="17365D"/>
      <w:spacing w:val="5"/>
      <w:kern w:val="28"/>
      <w:sz w:val="52"/>
      <w:szCs w:val="52"/>
      <w:lang w:val="en-AU" w:eastAsia="en-AU" w:bidi="ar-SA"/>
    </w:rPr>
  </w:style>
  <w:style w:type="paragraph" w:styleId="Caption">
    <w:name w:val="caption"/>
    <w:basedOn w:val="Normal"/>
    <w:next w:val="Normal"/>
    <w:uiPriority w:val="35"/>
    <w:unhideWhenUsed/>
    <w:qFormat/>
    <w:rsid w:val="00DC452F"/>
    <w:rPr>
      <w:b/>
      <w:bCs/>
      <w:sz w:val="18"/>
      <w:szCs w:val="18"/>
    </w:rPr>
  </w:style>
  <w:style w:type="paragraph" w:styleId="TOCHeading">
    <w:name w:val="TOC Heading"/>
    <w:basedOn w:val="Heading1"/>
    <w:next w:val="Normal"/>
    <w:uiPriority w:val="39"/>
    <w:semiHidden/>
    <w:unhideWhenUsed/>
    <w:qFormat/>
    <w:rsid w:val="00DC452F"/>
    <w:pPr>
      <w:outlineLvl w:val="9"/>
    </w:pPr>
  </w:style>
  <w:style w:type="paragraph" w:styleId="TOC1">
    <w:name w:val="toc 1"/>
    <w:basedOn w:val="Normal"/>
    <w:next w:val="Normal"/>
    <w:autoRedefine/>
    <w:uiPriority w:val="39"/>
    <w:qFormat/>
    <w:rsid w:val="00E92AD2"/>
    <w:pPr>
      <w:spacing w:before="240" w:after="120"/>
    </w:pPr>
    <w:rPr>
      <w:b/>
      <w:bCs/>
      <w:sz w:val="20"/>
      <w:szCs w:val="20"/>
    </w:rPr>
  </w:style>
  <w:style w:type="paragraph" w:styleId="TOC2">
    <w:name w:val="toc 2"/>
    <w:basedOn w:val="Normal"/>
    <w:next w:val="Normal"/>
    <w:autoRedefine/>
    <w:uiPriority w:val="39"/>
    <w:qFormat/>
    <w:rsid w:val="0069312E"/>
    <w:pPr>
      <w:spacing w:after="0"/>
      <w:ind w:left="220"/>
    </w:pPr>
    <w:rPr>
      <w:iCs/>
      <w:sz w:val="20"/>
      <w:szCs w:val="20"/>
    </w:rPr>
  </w:style>
  <w:style w:type="paragraph" w:customStyle="1" w:styleId="TitlePageSubheading">
    <w:name w:val="Title Page Subheading"/>
    <w:basedOn w:val="Normal"/>
    <w:qFormat/>
    <w:rsid w:val="0035276E"/>
    <w:pPr>
      <w:spacing w:after="1440"/>
      <w:jc w:val="center"/>
    </w:pPr>
    <w:rPr>
      <w:b/>
      <w:sz w:val="32"/>
      <w:szCs w:val="32"/>
    </w:rPr>
  </w:style>
  <w:style w:type="paragraph" w:customStyle="1" w:styleId="NormalNumbering">
    <w:name w:val="Normal Numbering"/>
    <w:basedOn w:val="Normal"/>
    <w:qFormat/>
    <w:rsid w:val="002B2A00"/>
    <w:pPr>
      <w:numPr>
        <w:numId w:val="1"/>
      </w:numPr>
      <w:spacing w:after="120"/>
      <w:contextualSpacing/>
    </w:pPr>
  </w:style>
  <w:style w:type="paragraph" w:customStyle="1" w:styleId="NumberedHeading2">
    <w:name w:val="Numbered Heading 2"/>
    <w:basedOn w:val="Normal"/>
    <w:next w:val="Normal"/>
    <w:link w:val="NumberedHeading2Char"/>
    <w:qFormat/>
    <w:rsid w:val="005F4059"/>
    <w:pPr>
      <w:numPr>
        <w:numId w:val="2"/>
      </w:numPr>
    </w:pPr>
    <w:rPr>
      <w:rFonts w:ascii="Cambria" w:hAnsi="Cambria"/>
      <w:b/>
      <w:sz w:val="28"/>
      <w:szCs w:val="32"/>
    </w:rPr>
  </w:style>
  <w:style w:type="paragraph" w:customStyle="1" w:styleId="FindingsNormalNumbering">
    <w:name w:val="Findings Normal Numbering"/>
    <w:basedOn w:val="Normal"/>
    <w:link w:val="FindingsNormalNumberingChar"/>
    <w:qFormat/>
    <w:rsid w:val="002B2A00"/>
    <w:pPr>
      <w:numPr>
        <w:ilvl w:val="1"/>
        <w:numId w:val="2"/>
      </w:numPr>
      <w:spacing w:after="120"/>
      <w:contextualSpacing/>
    </w:pPr>
  </w:style>
  <w:style w:type="paragraph" w:customStyle="1" w:styleId="ContentHeading">
    <w:name w:val="Content Heading"/>
    <w:basedOn w:val="Heading1"/>
    <w:qFormat/>
    <w:rsid w:val="00435B15"/>
  </w:style>
  <w:style w:type="character" w:customStyle="1" w:styleId="NumberedHeading2Char">
    <w:name w:val="Numbered Heading 2 Char"/>
    <w:basedOn w:val="DefaultParagraphFont"/>
    <w:link w:val="NumberedHeading2"/>
    <w:rsid w:val="00FE310A"/>
    <w:rPr>
      <w:rFonts w:ascii="Cambria" w:eastAsia="PMingLiU" w:hAnsi="Cambria"/>
      <w:b/>
      <w:sz w:val="28"/>
      <w:szCs w:val="32"/>
    </w:rPr>
  </w:style>
  <w:style w:type="paragraph" w:styleId="Header">
    <w:name w:val="header"/>
    <w:basedOn w:val="Normal"/>
    <w:link w:val="HeaderChar"/>
    <w:uiPriority w:val="99"/>
    <w:rsid w:val="00DB33A3"/>
    <w:pPr>
      <w:tabs>
        <w:tab w:val="center" w:pos="4513"/>
        <w:tab w:val="right" w:pos="9026"/>
      </w:tabs>
    </w:pPr>
    <w:rPr>
      <w:sz w:val="20"/>
    </w:rPr>
  </w:style>
  <w:style w:type="character" w:customStyle="1" w:styleId="HeaderChar">
    <w:name w:val="Header Char"/>
    <w:link w:val="Header"/>
    <w:uiPriority w:val="99"/>
    <w:rsid w:val="00DB33A3"/>
    <w:rPr>
      <w:rFonts w:ascii="Calibri" w:eastAsia="PMingLiU" w:hAnsi="Calibri"/>
      <w:szCs w:val="22"/>
    </w:rPr>
  </w:style>
  <w:style w:type="paragraph" w:styleId="Footer">
    <w:name w:val="footer"/>
    <w:basedOn w:val="Normal"/>
    <w:link w:val="FooterChar"/>
    <w:uiPriority w:val="99"/>
    <w:rsid w:val="00DB33A3"/>
    <w:pPr>
      <w:tabs>
        <w:tab w:val="center" w:pos="4513"/>
        <w:tab w:val="right" w:pos="9026"/>
      </w:tabs>
    </w:pPr>
    <w:rPr>
      <w:sz w:val="20"/>
    </w:rPr>
  </w:style>
  <w:style w:type="character" w:customStyle="1" w:styleId="FooterChar">
    <w:name w:val="Footer Char"/>
    <w:link w:val="Footer"/>
    <w:uiPriority w:val="99"/>
    <w:rsid w:val="00DB33A3"/>
    <w:rPr>
      <w:rFonts w:ascii="Calibri" w:eastAsia="PMingLiU" w:hAnsi="Calibri"/>
      <w:szCs w:val="22"/>
    </w:rPr>
  </w:style>
  <w:style w:type="paragraph" w:customStyle="1" w:styleId="bulletlevel1">
    <w:name w:val="bullet level 1"/>
    <w:basedOn w:val="Normal"/>
    <w:qFormat/>
    <w:rsid w:val="002B2A00"/>
    <w:pPr>
      <w:numPr>
        <w:numId w:val="3"/>
      </w:numPr>
      <w:spacing w:after="120"/>
    </w:pPr>
    <w:rPr>
      <w:rFonts w:eastAsia="Calibri"/>
      <w:lang w:eastAsia="en-US"/>
    </w:rPr>
  </w:style>
  <w:style w:type="paragraph" w:styleId="ListParagraph">
    <w:name w:val="List Paragraph"/>
    <w:basedOn w:val="Normal"/>
    <w:uiPriority w:val="34"/>
    <w:qFormat/>
    <w:rsid w:val="00250397"/>
    <w:pPr>
      <w:spacing w:before="0" w:after="0" w:line="240" w:lineRule="auto"/>
      <w:ind w:left="720"/>
    </w:pPr>
    <w:rPr>
      <w:rFonts w:eastAsia="Calibri"/>
    </w:rPr>
  </w:style>
  <w:style w:type="paragraph" w:styleId="NormalWeb">
    <w:name w:val="Normal (Web)"/>
    <w:basedOn w:val="Normal"/>
    <w:uiPriority w:val="99"/>
    <w:unhideWhenUsed/>
    <w:rsid w:val="005C271E"/>
    <w:pPr>
      <w:spacing w:before="100" w:beforeAutospacing="1" w:after="100" w:afterAutospacing="1" w:line="240" w:lineRule="auto"/>
    </w:pPr>
    <w:rPr>
      <w:rFonts w:eastAsia="Times New Roman"/>
      <w:szCs w:val="24"/>
    </w:rPr>
  </w:style>
  <w:style w:type="character" w:styleId="Emphasis">
    <w:name w:val="Emphasis"/>
    <w:uiPriority w:val="20"/>
    <w:qFormat/>
    <w:rsid w:val="00F23F69"/>
    <w:rPr>
      <w:i/>
      <w:iCs/>
    </w:rPr>
  </w:style>
  <w:style w:type="character" w:customStyle="1" w:styleId="style7">
    <w:name w:val="style7"/>
    <w:basedOn w:val="DefaultParagraphFont"/>
    <w:rsid w:val="00AF3B24"/>
  </w:style>
  <w:style w:type="paragraph" w:customStyle="1" w:styleId="tabletext">
    <w:name w:val="table text"/>
    <w:basedOn w:val="Normal"/>
    <w:qFormat/>
    <w:rsid w:val="00B01EAF"/>
    <w:pPr>
      <w:spacing w:before="0" w:after="0" w:line="240" w:lineRule="auto"/>
    </w:pPr>
    <w:rPr>
      <w:sz w:val="18"/>
    </w:rPr>
  </w:style>
  <w:style w:type="paragraph" w:customStyle="1" w:styleId="Default">
    <w:name w:val="Default"/>
    <w:rsid w:val="008E4CBB"/>
    <w:pPr>
      <w:autoSpaceDE w:val="0"/>
      <w:autoSpaceDN w:val="0"/>
      <w:adjustRightInd w:val="0"/>
    </w:pPr>
    <w:rPr>
      <w:rFonts w:ascii="Tahoma" w:hAnsi="Tahoma" w:cs="Tahoma"/>
      <w:color w:val="000000"/>
      <w:sz w:val="24"/>
      <w:szCs w:val="24"/>
    </w:rPr>
  </w:style>
  <w:style w:type="character" w:styleId="SubtleEmphasis">
    <w:name w:val="Subtle Emphasis"/>
    <w:uiPriority w:val="19"/>
    <w:qFormat/>
    <w:rsid w:val="00373A79"/>
    <w:rPr>
      <w:i/>
      <w:iCs/>
      <w:color w:val="808080"/>
    </w:rPr>
  </w:style>
  <w:style w:type="character" w:customStyle="1" w:styleId="nowrap1">
    <w:name w:val="nowrap1"/>
    <w:basedOn w:val="DefaultParagraphFont"/>
    <w:rsid w:val="00457AC3"/>
  </w:style>
  <w:style w:type="paragraph" w:customStyle="1" w:styleId="Boxtext">
    <w:name w:val="Box text"/>
    <w:basedOn w:val="Normal"/>
    <w:qFormat/>
    <w:rsid w:val="00457AC3"/>
    <w:pPr>
      <w:spacing w:after="120"/>
    </w:pPr>
    <w:rPr>
      <w:rFonts w:ascii="Cambria" w:hAnsi="Cambria"/>
      <w:sz w:val="19"/>
      <w:szCs w:val="18"/>
    </w:rPr>
  </w:style>
  <w:style w:type="character" w:styleId="CommentReference">
    <w:name w:val="annotation reference"/>
    <w:rsid w:val="000850A4"/>
    <w:rPr>
      <w:sz w:val="16"/>
      <w:szCs w:val="16"/>
    </w:rPr>
  </w:style>
  <w:style w:type="paragraph" w:styleId="CommentText">
    <w:name w:val="annotation text"/>
    <w:basedOn w:val="Normal"/>
    <w:link w:val="CommentTextChar"/>
    <w:uiPriority w:val="99"/>
    <w:rsid w:val="000850A4"/>
    <w:rPr>
      <w:rFonts w:ascii="Times New Roman" w:hAnsi="Times New Roman"/>
      <w:sz w:val="20"/>
      <w:szCs w:val="20"/>
    </w:rPr>
  </w:style>
  <w:style w:type="character" w:customStyle="1" w:styleId="CommentTextChar">
    <w:name w:val="Comment Text Char"/>
    <w:link w:val="CommentText"/>
    <w:uiPriority w:val="99"/>
    <w:rsid w:val="000850A4"/>
    <w:rPr>
      <w:rFonts w:ascii="Times New Roman" w:eastAsia="PMingLiU" w:hAnsi="Times New Roman"/>
    </w:rPr>
  </w:style>
  <w:style w:type="paragraph" w:styleId="CommentSubject">
    <w:name w:val="annotation subject"/>
    <w:basedOn w:val="CommentText"/>
    <w:next w:val="CommentText"/>
    <w:link w:val="CommentSubjectChar"/>
    <w:rsid w:val="000850A4"/>
    <w:rPr>
      <w:b/>
      <w:bCs/>
    </w:rPr>
  </w:style>
  <w:style w:type="character" w:customStyle="1" w:styleId="CommentSubjectChar">
    <w:name w:val="Comment Subject Char"/>
    <w:link w:val="CommentSubject"/>
    <w:rsid w:val="000850A4"/>
    <w:rPr>
      <w:rFonts w:ascii="Times New Roman" w:eastAsia="PMingLiU" w:hAnsi="Times New Roman"/>
      <w:b/>
      <w:bCs/>
    </w:rPr>
  </w:style>
  <w:style w:type="paragraph" w:styleId="BodyText3">
    <w:name w:val="Body Text 3"/>
    <w:basedOn w:val="Normal"/>
    <w:link w:val="BodyText3Char"/>
    <w:rsid w:val="00406714"/>
    <w:pPr>
      <w:spacing w:before="0" w:after="20" w:line="240" w:lineRule="auto"/>
    </w:pPr>
    <w:rPr>
      <w:rFonts w:ascii="Century Gothic" w:eastAsia="Times New Roman" w:hAnsi="Century Gothic"/>
      <w:b/>
      <w:sz w:val="20"/>
      <w:szCs w:val="20"/>
      <w:lang w:eastAsia="en-US"/>
    </w:rPr>
  </w:style>
  <w:style w:type="character" w:customStyle="1" w:styleId="BodyText3Char">
    <w:name w:val="Body Text 3 Char"/>
    <w:link w:val="BodyText3"/>
    <w:rsid w:val="00406714"/>
    <w:rPr>
      <w:rFonts w:ascii="Century Gothic" w:hAnsi="Century Gothic"/>
      <w:b/>
      <w:lang w:eastAsia="en-US"/>
    </w:rPr>
  </w:style>
  <w:style w:type="paragraph" w:customStyle="1" w:styleId="dot">
    <w:name w:val="dot"/>
    <w:basedOn w:val="Normal"/>
    <w:rsid w:val="005926F4"/>
    <w:pPr>
      <w:tabs>
        <w:tab w:val="left" w:pos="1134"/>
        <w:tab w:val="left" w:pos="1702"/>
        <w:tab w:val="left" w:pos="2269"/>
        <w:tab w:val="left" w:pos="2835"/>
        <w:tab w:val="left" w:pos="3402"/>
      </w:tabs>
      <w:spacing w:before="60" w:after="60" w:line="240" w:lineRule="auto"/>
      <w:ind w:left="426" w:hanging="425"/>
    </w:pPr>
    <w:rPr>
      <w:rFonts w:ascii="Times" w:eastAsia="Times New Roman" w:hAnsi="Times"/>
      <w:szCs w:val="20"/>
      <w:lang w:eastAsia="en-US"/>
    </w:rPr>
  </w:style>
  <w:style w:type="character" w:styleId="Hyperlink">
    <w:name w:val="Hyperlink"/>
    <w:uiPriority w:val="99"/>
    <w:unhideWhenUsed/>
    <w:rsid w:val="00BC370A"/>
    <w:rPr>
      <w:color w:val="0000FF"/>
      <w:u w:val="single"/>
    </w:rPr>
  </w:style>
  <w:style w:type="character" w:customStyle="1" w:styleId="st1">
    <w:name w:val="st1"/>
    <w:basedOn w:val="DefaultParagraphFont"/>
    <w:rsid w:val="00AB7272"/>
  </w:style>
  <w:style w:type="paragraph" w:customStyle="1" w:styleId="Figureandtablecaptions">
    <w:name w:val="Figure and table captions"/>
    <w:basedOn w:val="FindingsNormalNumbering"/>
    <w:link w:val="FigureandtablecaptionsChar"/>
    <w:qFormat/>
    <w:rsid w:val="00614EEE"/>
    <w:pPr>
      <w:keepNext/>
      <w:numPr>
        <w:ilvl w:val="0"/>
        <w:numId w:val="0"/>
      </w:numPr>
    </w:pPr>
    <w:rPr>
      <w:b/>
      <w:color w:val="548DD4"/>
    </w:rPr>
  </w:style>
  <w:style w:type="paragraph" w:customStyle="1" w:styleId="FigureFooter">
    <w:name w:val="Figure Footer"/>
    <w:basedOn w:val="FindingsNormalNumbering"/>
    <w:link w:val="FigureFooterChar"/>
    <w:qFormat/>
    <w:rsid w:val="00400972"/>
    <w:pPr>
      <w:numPr>
        <w:ilvl w:val="0"/>
        <w:numId w:val="0"/>
      </w:numPr>
    </w:pPr>
    <w:rPr>
      <w:sz w:val="18"/>
      <w:szCs w:val="18"/>
    </w:rPr>
  </w:style>
  <w:style w:type="character" w:customStyle="1" w:styleId="FindingsNormalNumberingChar">
    <w:name w:val="Findings Normal Numbering Char"/>
    <w:basedOn w:val="DefaultParagraphFont"/>
    <w:link w:val="FindingsNormalNumbering"/>
    <w:rsid w:val="002B2A00"/>
    <w:rPr>
      <w:rFonts w:eastAsia="PMingLiU"/>
      <w:sz w:val="22"/>
      <w:szCs w:val="22"/>
    </w:rPr>
  </w:style>
  <w:style w:type="character" w:customStyle="1" w:styleId="FigureandtablecaptionsChar">
    <w:name w:val="Figure and table captions Char"/>
    <w:basedOn w:val="FindingsNormalNumberingChar"/>
    <w:link w:val="Figureandtablecaptions"/>
    <w:rsid w:val="00614EEE"/>
    <w:rPr>
      <w:b/>
      <w:color w:val="548DD4"/>
    </w:rPr>
  </w:style>
  <w:style w:type="paragraph" w:customStyle="1" w:styleId="Tableheader">
    <w:name w:val="Table header"/>
    <w:basedOn w:val="tabletext"/>
    <w:next w:val="tabletext"/>
    <w:qFormat/>
    <w:rsid w:val="004A038B"/>
    <w:pPr>
      <w:spacing w:before="40" w:after="40" w:line="240" w:lineRule="atLeast"/>
    </w:pPr>
    <w:rPr>
      <w:rFonts w:eastAsia="Calibri"/>
      <w:b/>
      <w:lang w:eastAsia="en-US"/>
    </w:rPr>
  </w:style>
  <w:style w:type="character" w:customStyle="1" w:styleId="FigureFooterChar">
    <w:name w:val="Figure Footer Char"/>
    <w:basedOn w:val="FindingsNormalNumberingChar"/>
    <w:link w:val="FigureFooter"/>
    <w:rsid w:val="00400972"/>
    <w:rPr>
      <w:rFonts w:ascii="Calibri" w:eastAsia="PMingLiU" w:hAnsi="Calibri"/>
      <w:sz w:val="18"/>
      <w:szCs w:val="18"/>
    </w:rPr>
  </w:style>
  <w:style w:type="paragraph" w:customStyle="1" w:styleId="Tableheading">
    <w:name w:val="Table heading"/>
    <w:basedOn w:val="Caption"/>
    <w:rsid w:val="00CD1779"/>
    <w:pPr>
      <w:keepNext/>
      <w:spacing w:before="0" w:after="120" w:line="240" w:lineRule="auto"/>
    </w:pPr>
    <w:rPr>
      <w:rFonts w:eastAsia="Calibri"/>
      <w:color w:val="808080"/>
      <w:sz w:val="24"/>
      <w:lang w:eastAsia="en-US"/>
    </w:rPr>
  </w:style>
  <w:style w:type="paragraph" w:customStyle="1" w:styleId="bulletlevel2">
    <w:name w:val="bullet level 2"/>
    <w:basedOn w:val="ListParagraph"/>
    <w:qFormat/>
    <w:rsid w:val="00854ACD"/>
    <w:pPr>
      <w:numPr>
        <w:numId w:val="5"/>
      </w:numPr>
      <w:spacing w:before="80" w:after="80" w:line="260" w:lineRule="atLeast"/>
    </w:pPr>
    <w:rPr>
      <w:szCs w:val="24"/>
    </w:rPr>
  </w:style>
  <w:style w:type="paragraph" w:customStyle="1" w:styleId="Findingsub-heading">
    <w:name w:val="Finding sub-heading"/>
    <w:basedOn w:val="FindingsNormalNumbering"/>
    <w:qFormat/>
    <w:rsid w:val="009458BE"/>
    <w:pPr>
      <w:numPr>
        <w:ilvl w:val="0"/>
        <w:numId w:val="0"/>
      </w:numPr>
    </w:pPr>
    <w:rPr>
      <w:b/>
    </w:rPr>
  </w:style>
  <w:style w:type="paragraph" w:customStyle="1" w:styleId="acthead5">
    <w:name w:val="acthead5"/>
    <w:basedOn w:val="Normal"/>
    <w:rsid w:val="0066062A"/>
    <w:pPr>
      <w:spacing w:before="100" w:beforeAutospacing="1" w:after="100" w:afterAutospacing="1" w:line="240" w:lineRule="auto"/>
    </w:pPr>
    <w:rPr>
      <w:rFonts w:ascii="Times New Roman" w:eastAsia="Times New Roman" w:hAnsi="Times New Roman"/>
      <w:sz w:val="24"/>
      <w:szCs w:val="24"/>
    </w:rPr>
  </w:style>
  <w:style w:type="character" w:customStyle="1" w:styleId="charsectno">
    <w:name w:val="charsectno"/>
    <w:basedOn w:val="DefaultParagraphFont"/>
    <w:rsid w:val="0066062A"/>
  </w:style>
  <w:style w:type="paragraph" w:customStyle="1" w:styleId="subsection">
    <w:name w:val="subsection"/>
    <w:basedOn w:val="Normal"/>
    <w:rsid w:val="0066062A"/>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66062A"/>
    <w:pPr>
      <w:spacing w:before="100" w:beforeAutospacing="1" w:after="100" w:afterAutospacing="1" w:line="240" w:lineRule="auto"/>
    </w:pPr>
    <w:rPr>
      <w:rFonts w:ascii="Times New Roman" w:eastAsia="Times New Roman" w:hAnsi="Times New Roman"/>
      <w:sz w:val="24"/>
      <w:szCs w:val="24"/>
    </w:rPr>
  </w:style>
  <w:style w:type="paragraph" w:customStyle="1" w:styleId="paragraphsub">
    <w:name w:val="paragraphsub"/>
    <w:basedOn w:val="Normal"/>
    <w:rsid w:val="0066062A"/>
    <w:pPr>
      <w:spacing w:before="100" w:beforeAutospacing="1" w:after="100" w:afterAutospacing="1" w:line="240" w:lineRule="auto"/>
    </w:pPr>
    <w:rPr>
      <w:rFonts w:ascii="Times New Roman" w:eastAsia="Times New Roman" w:hAnsi="Times New Roman"/>
      <w:sz w:val="24"/>
      <w:szCs w:val="24"/>
    </w:rPr>
  </w:style>
  <w:style w:type="paragraph" w:customStyle="1" w:styleId="definition">
    <w:name w:val="definition"/>
    <w:basedOn w:val="Normal"/>
    <w:rsid w:val="0066062A"/>
    <w:pPr>
      <w:spacing w:before="100" w:beforeAutospacing="1" w:after="100" w:afterAutospacing="1" w:line="240" w:lineRule="auto"/>
    </w:pPr>
    <w:rPr>
      <w:rFonts w:ascii="Times New Roman" w:eastAsia="Times New Roman" w:hAnsi="Times New Roman"/>
      <w:sz w:val="24"/>
      <w:szCs w:val="24"/>
    </w:rPr>
  </w:style>
  <w:style w:type="paragraph" w:customStyle="1" w:styleId="listheading">
    <w:name w:val="listheading"/>
    <w:basedOn w:val="Normal"/>
    <w:rsid w:val="0066062A"/>
    <w:pPr>
      <w:spacing w:before="100" w:beforeAutospacing="1" w:after="100" w:afterAutospacing="1" w:line="240" w:lineRule="auto"/>
    </w:pPr>
    <w:rPr>
      <w:rFonts w:ascii="Times New Roman" w:eastAsia="Times New Roman" w:hAnsi="Times New Roman"/>
      <w:sz w:val="24"/>
      <w:szCs w:val="24"/>
    </w:rPr>
  </w:style>
  <w:style w:type="paragraph" w:customStyle="1" w:styleId="tabletext0">
    <w:name w:val="tabletext"/>
    <w:basedOn w:val="Normal"/>
    <w:rsid w:val="0066062A"/>
    <w:pPr>
      <w:spacing w:before="100" w:beforeAutospacing="1" w:after="100" w:afterAutospacing="1" w:line="240" w:lineRule="auto"/>
    </w:pPr>
    <w:rPr>
      <w:rFonts w:ascii="Times New Roman" w:eastAsia="Times New Roman" w:hAnsi="Times New Roman"/>
      <w:sz w:val="24"/>
      <w:szCs w:val="24"/>
    </w:rPr>
  </w:style>
  <w:style w:type="paragraph" w:customStyle="1" w:styleId="tablea">
    <w:name w:val="tablea"/>
    <w:basedOn w:val="Normal"/>
    <w:rsid w:val="0066062A"/>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rsid w:val="006907DE"/>
    <w:rPr>
      <w:color w:val="800080"/>
      <w:u w:val="single"/>
    </w:rPr>
  </w:style>
  <w:style w:type="paragraph" w:styleId="FootnoteText">
    <w:name w:val="footnote text"/>
    <w:basedOn w:val="Normal"/>
    <w:link w:val="FootnoteTextChar"/>
    <w:rsid w:val="00634EDA"/>
    <w:rPr>
      <w:sz w:val="20"/>
      <w:szCs w:val="20"/>
    </w:rPr>
  </w:style>
  <w:style w:type="character" w:customStyle="1" w:styleId="FootnoteTextChar">
    <w:name w:val="Footnote Text Char"/>
    <w:basedOn w:val="DefaultParagraphFont"/>
    <w:link w:val="FootnoteText"/>
    <w:rsid w:val="00634EDA"/>
    <w:rPr>
      <w:rFonts w:eastAsia="PMingLiU"/>
    </w:rPr>
  </w:style>
  <w:style w:type="character" w:styleId="FootnoteReference">
    <w:name w:val="footnote reference"/>
    <w:basedOn w:val="DefaultParagraphFont"/>
    <w:rsid w:val="00634EDA"/>
    <w:rPr>
      <w:vertAlign w:val="superscript"/>
    </w:rPr>
  </w:style>
  <w:style w:type="paragraph" w:styleId="Revision">
    <w:name w:val="Revision"/>
    <w:hidden/>
    <w:uiPriority w:val="99"/>
    <w:semiHidden/>
    <w:rsid w:val="00A942E2"/>
    <w:rPr>
      <w:rFonts w:eastAsia="PMingLiU"/>
      <w:sz w:val="22"/>
      <w:szCs w:val="22"/>
    </w:rPr>
  </w:style>
  <w:style w:type="paragraph" w:styleId="TOC3">
    <w:name w:val="toc 3"/>
    <w:basedOn w:val="Normal"/>
    <w:next w:val="Normal"/>
    <w:autoRedefine/>
    <w:uiPriority w:val="39"/>
    <w:unhideWhenUsed/>
    <w:qFormat/>
    <w:rsid w:val="00D77BB3"/>
    <w:pPr>
      <w:spacing w:before="0" w:after="0"/>
      <w:ind w:left="440"/>
    </w:pPr>
    <w:rPr>
      <w:sz w:val="20"/>
      <w:szCs w:val="20"/>
    </w:rPr>
  </w:style>
  <w:style w:type="paragraph" w:customStyle="1" w:styleId="Titlepagemaintitle">
    <w:name w:val="Title page main title"/>
    <w:basedOn w:val="Normal"/>
    <w:qFormat/>
    <w:rsid w:val="005B1522"/>
    <w:pPr>
      <w:spacing w:before="1440" w:after="840"/>
      <w:jc w:val="center"/>
    </w:pPr>
    <w:rPr>
      <w:rFonts w:ascii="Cambria" w:hAnsi="Cambria"/>
      <w:b/>
      <w:sz w:val="36"/>
      <w:szCs w:val="36"/>
    </w:rPr>
  </w:style>
  <w:style w:type="paragraph" w:styleId="TOC4">
    <w:name w:val="toc 4"/>
    <w:basedOn w:val="Normal"/>
    <w:next w:val="Normal"/>
    <w:autoRedefine/>
    <w:rsid w:val="00E67E35"/>
    <w:pPr>
      <w:spacing w:before="0" w:after="0"/>
      <w:ind w:left="660"/>
    </w:pPr>
    <w:rPr>
      <w:sz w:val="20"/>
      <w:szCs w:val="20"/>
    </w:rPr>
  </w:style>
  <w:style w:type="paragraph" w:styleId="TOC5">
    <w:name w:val="toc 5"/>
    <w:basedOn w:val="Normal"/>
    <w:next w:val="Normal"/>
    <w:autoRedefine/>
    <w:rsid w:val="00E67E35"/>
    <w:pPr>
      <w:spacing w:before="0" w:after="0"/>
      <w:ind w:left="880"/>
    </w:pPr>
    <w:rPr>
      <w:sz w:val="20"/>
      <w:szCs w:val="20"/>
    </w:rPr>
  </w:style>
  <w:style w:type="paragraph" w:styleId="TOC6">
    <w:name w:val="toc 6"/>
    <w:basedOn w:val="Normal"/>
    <w:next w:val="Normal"/>
    <w:autoRedefine/>
    <w:rsid w:val="00E67E35"/>
    <w:pPr>
      <w:spacing w:before="0" w:after="0"/>
      <w:ind w:left="1100"/>
    </w:pPr>
    <w:rPr>
      <w:sz w:val="20"/>
      <w:szCs w:val="20"/>
    </w:rPr>
  </w:style>
  <w:style w:type="paragraph" w:styleId="TOC7">
    <w:name w:val="toc 7"/>
    <w:basedOn w:val="Normal"/>
    <w:next w:val="Normal"/>
    <w:autoRedefine/>
    <w:rsid w:val="00E67E35"/>
    <w:pPr>
      <w:spacing w:before="0" w:after="0"/>
      <w:ind w:left="1320"/>
    </w:pPr>
    <w:rPr>
      <w:sz w:val="20"/>
      <w:szCs w:val="20"/>
    </w:rPr>
  </w:style>
  <w:style w:type="paragraph" w:styleId="TOC8">
    <w:name w:val="toc 8"/>
    <w:basedOn w:val="Normal"/>
    <w:next w:val="Normal"/>
    <w:autoRedefine/>
    <w:rsid w:val="00E67E35"/>
    <w:pPr>
      <w:spacing w:before="0" w:after="0"/>
      <w:ind w:left="1540"/>
    </w:pPr>
    <w:rPr>
      <w:sz w:val="20"/>
      <w:szCs w:val="20"/>
    </w:rPr>
  </w:style>
  <w:style w:type="paragraph" w:styleId="TOC9">
    <w:name w:val="toc 9"/>
    <w:basedOn w:val="Normal"/>
    <w:next w:val="Normal"/>
    <w:autoRedefine/>
    <w:rsid w:val="00E67E35"/>
    <w:pPr>
      <w:spacing w:before="0" w:after="0"/>
      <w:ind w:left="1760"/>
    </w:pPr>
    <w:rPr>
      <w:sz w:val="20"/>
      <w:szCs w:val="20"/>
    </w:rPr>
  </w:style>
  <w:style w:type="character" w:customStyle="1" w:styleId="legtitle1">
    <w:name w:val="legtitle1"/>
    <w:basedOn w:val="DefaultParagraphFont"/>
    <w:rsid w:val="00B610AB"/>
    <w:rPr>
      <w:rFonts w:ascii="Arial" w:hAnsi="Arial" w:cs="Arial" w:hint="default"/>
      <w:b/>
      <w:bCs/>
      <w:color w:val="10418E"/>
      <w:sz w:val="40"/>
      <w:szCs w:val="40"/>
    </w:rPr>
  </w:style>
</w:styles>
</file>

<file path=word/webSettings.xml><?xml version="1.0" encoding="utf-8"?>
<w:webSettings xmlns:r="http://schemas.openxmlformats.org/officeDocument/2006/relationships" xmlns:w="http://schemas.openxmlformats.org/wordprocessingml/2006/main">
  <w:divs>
    <w:div w:id="17894621">
      <w:bodyDiv w:val="1"/>
      <w:marLeft w:val="0"/>
      <w:marRight w:val="0"/>
      <w:marTop w:val="0"/>
      <w:marBottom w:val="0"/>
      <w:divBdr>
        <w:top w:val="none" w:sz="0" w:space="0" w:color="auto"/>
        <w:left w:val="none" w:sz="0" w:space="0" w:color="auto"/>
        <w:bottom w:val="none" w:sz="0" w:space="0" w:color="auto"/>
        <w:right w:val="none" w:sz="0" w:space="0" w:color="auto"/>
      </w:divBdr>
    </w:div>
    <w:div w:id="31855199">
      <w:bodyDiv w:val="1"/>
      <w:marLeft w:val="0"/>
      <w:marRight w:val="0"/>
      <w:marTop w:val="0"/>
      <w:marBottom w:val="0"/>
      <w:divBdr>
        <w:top w:val="none" w:sz="0" w:space="0" w:color="auto"/>
        <w:left w:val="none" w:sz="0" w:space="0" w:color="auto"/>
        <w:bottom w:val="none" w:sz="0" w:space="0" w:color="auto"/>
        <w:right w:val="none" w:sz="0" w:space="0" w:color="auto"/>
      </w:divBdr>
      <w:divsChild>
        <w:div w:id="1306819386">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single" w:sz="6" w:space="0" w:color="666666"/>
                <w:left w:val="single" w:sz="6" w:space="0" w:color="666666"/>
                <w:bottom w:val="single" w:sz="48" w:space="0" w:color="000000"/>
                <w:right w:val="single" w:sz="6" w:space="0" w:color="666666"/>
              </w:divBdr>
              <w:divsChild>
                <w:div w:id="223301433">
                  <w:marLeft w:val="0"/>
                  <w:marRight w:val="0"/>
                  <w:marTop w:val="0"/>
                  <w:marBottom w:val="0"/>
                  <w:divBdr>
                    <w:top w:val="none" w:sz="0" w:space="0" w:color="auto"/>
                    <w:left w:val="none" w:sz="0" w:space="0" w:color="auto"/>
                    <w:bottom w:val="none" w:sz="0" w:space="0" w:color="auto"/>
                    <w:right w:val="none" w:sz="0" w:space="0" w:color="auto"/>
                  </w:divBdr>
                  <w:divsChild>
                    <w:div w:id="1725522231">
                      <w:marLeft w:val="141"/>
                      <w:marRight w:val="0"/>
                      <w:marTop w:val="141"/>
                      <w:marBottom w:val="0"/>
                      <w:divBdr>
                        <w:top w:val="none" w:sz="0" w:space="0" w:color="auto"/>
                        <w:left w:val="none" w:sz="0" w:space="0" w:color="auto"/>
                        <w:bottom w:val="none" w:sz="0" w:space="0" w:color="auto"/>
                        <w:right w:val="none" w:sz="0" w:space="0" w:color="auto"/>
                      </w:divBdr>
                      <w:divsChild>
                        <w:div w:id="375932202">
                          <w:marLeft w:val="0"/>
                          <w:marRight w:val="0"/>
                          <w:marTop w:val="0"/>
                          <w:marBottom w:val="0"/>
                          <w:divBdr>
                            <w:top w:val="none" w:sz="0" w:space="0" w:color="auto"/>
                            <w:left w:val="none" w:sz="0" w:space="0" w:color="auto"/>
                            <w:bottom w:val="none" w:sz="0" w:space="0" w:color="auto"/>
                            <w:right w:val="none" w:sz="0" w:space="0" w:color="auto"/>
                          </w:divBdr>
                          <w:divsChild>
                            <w:div w:id="1719892274">
                              <w:marLeft w:val="0"/>
                              <w:marRight w:val="0"/>
                              <w:marTop w:val="0"/>
                              <w:marBottom w:val="0"/>
                              <w:divBdr>
                                <w:top w:val="none" w:sz="0" w:space="0" w:color="auto"/>
                                <w:left w:val="none" w:sz="0" w:space="0" w:color="auto"/>
                                <w:bottom w:val="none" w:sz="0" w:space="0" w:color="auto"/>
                                <w:right w:val="none" w:sz="0" w:space="0" w:color="auto"/>
                              </w:divBdr>
                              <w:divsChild>
                                <w:div w:id="853762234">
                                  <w:marLeft w:val="0"/>
                                  <w:marRight w:val="0"/>
                                  <w:marTop w:val="0"/>
                                  <w:marBottom w:val="0"/>
                                  <w:divBdr>
                                    <w:top w:val="none" w:sz="0" w:space="0" w:color="auto"/>
                                    <w:left w:val="none" w:sz="0" w:space="0" w:color="auto"/>
                                    <w:bottom w:val="none" w:sz="0" w:space="0" w:color="auto"/>
                                    <w:right w:val="none" w:sz="0" w:space="0" w:color="auto"/>
                                  </w:divBdr>
                                  <w:divsChild>
                                    <w:div w:id="1163816222">
                                      <w:marLeft w:val="0"/>
                                      <w:marRight w:val="0"/>
                                      <w:marTop w:val="0"/>
                                      <w:marBottom w:val="0"/>
                                      <w:divBdr>
                                        <w:top w:val="none" w:sz="0" w:space="0" w:color="auto"/>
                                        <w:left w:val="none" w:sz="0" w:space="0" w:color="auto"/>
                                        <w:bottom w:val="none" w:sz="0" w:space="0" w:color="auto"/>
                                        <w:right w:val="none" w:sz="0" w:space="0" w:color="auto"/>
                                      </w:divBdr>
                                      <w:divsChild>
                                        <w:div w:id="1139569147">
                                          <w:marLeft w:val="0"/>
                                          <w:marRight w:val="0"/>
                                          <w:marTop w:val="0"/>
                                          <w:marBottom w:val="0"/>
                                          <w:divBdr>
                                            <w:top w:val="none" w:sz="0" w:space="0" w:color="auto"/>
                                            <w:left w:val="none" w:sz="0" w:space="0" w:color="auto"/>
                                            <w:bottom w:val="none" w:sz="0" w:space="0" w:color="auto"/>
                                            <w:right w:val="none" w:sz="0" w:space="0" w:color="auto"/>
                                          </w:divBdr>
                                          <w:divsChild>
                                            <w:div w:id="318775293">
                                              <w:marLeft w:val="0"/>
                                              <w:marRight w:val="0"/>
                                              <w:marTop w:val="0"/>
                                              <w:marBottom w:val="0"/>
                                              <w:divBdr>
                                                <w:top w:val="none" w:sz="0" w:space="0" w:color="auto"/>
                                                <w:left w:val="none" w:sz="0" w:space="0" w:color="auto"/>
                                                <w:bottom w:val="none" w:sz="0" w:space="0" w:color="auto"/>
                                                <w:right w:val="none" w:sz="0" w:space="0" w:color="auto"/>
                                              </w:divBdr>
                                              <w:divsChild>
                                                <w:div w:id="1882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8353">
      <w:bodyDiv w:val="1"/>
      <w:marLeft w:val="0"/>
      <w:marRight w:val="0"/>
      <w:marTop w:val="0"/>
      <w:marBottom w:val="0"/>
      <w:divBdr>
        <w:top w:val="none" w:sz="0" w:space="0" w:color="auto"/>
        <w:left w:val="none" w:sz="0" w:space="0" w:color="auto"/>
        <w:bottom w:val="none" w:sz="0" w:space="0" w:color="auto"/>
        <w:right w:val="none" w:sz="0" w:space="0" w:color="auto"/>
      </w:divBdr>
      <w:divsChild>
        <w:div w:id="854998657">
          <w:marLeft w:val="0"/>
          <w:marRight w:val="0"/>
          <w:marTop w:val="0"/>
          <w:marBottom w:val="0"/>
          <w:divBdr>
            <w:top w:val="none" w:sz="0" w:space="0" w:color="auto"/>
            <w:left w:val="none" w:sz="0" w:space="0" w:color="auto"/>
            <w:bottom w:val="none" w:sz="0" w:space="0" w:color="auto"/>
            <w:right w:val="none" w:sz="0" w:space="0" w:color="auto"/>
          </w:divBdr>
          <w:divsChild>
            <w:div w:id="860125994">
              <w:marLeft w:val="0"/>
              <w:marRight w:val="0"/>
              <w:marTop w:val="0"/>
              <w:marBottom w:val="0"/>
              <w:divBdr>
                <w:top w:val="none" w:sz="0" w:space="0" w:color="auto"/>
                <w:left w:val="none" w:sz="0" w:space="0" w:color="auto"/>
                <w:bottom w:val="none" w:sz="0" w:space="0" w:color="auto"/>
                <w:right w:val="none" w:sz="0" w:space="0" w:color="auto"/>
              </w:divBdr>
              <w:divsChild>
                <w:div w:id="14996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5371">
      <w:bodyDiv w:val="1"/>
      <w:marLeft w:val="0"/>
      <w:marRight w:val="0"/>
      <w:marTop w:val="0"/>
      <w:marBottom w:val="0"/>
      <w:divBdr>
        <w:top w:val="none" w:sz="0" w:space="0" w:color="auto"/>
        <w:left w:val="none" w:sz="0" w:space="0" w:color="auto"/>
        <w:bottom w:val="none" w:sz="0" w:space="0" w:color="auto"/>
        <w:right w:val="none" w:sz="0" w:space="0" w:color="auto"/>
      </w:divBdr>
      <w:divsChild>
        <w:div w:id="1986427212">
          <w:marLeft w:val="0"/>
          <w:marRight w:val="0"/>
          <w:marTop w:val="0"/>
          <w:marBottom w:val="0"/>
          <w:divBdr>
            <w:top w:val="none" w:sz="0" w:space="0" w:color="auto"/>
            <w:left w:val="none" w:sz="0" w:space="0" w:color="auto"/>
            <w:bottom w:val="none" w:sz="0" w:space="0" w:color="auto"/>
            <w:right w:val="none" w:sz="0" w:space="0" w:color="auto"/>
          </w:divBdr>
          <w:divsChild>
            <w:div w:id="15431188">
              <w:marLeft w:val="0"/>
              <w:marRight w:val="0"/>
              <w:marTop w:val="0"/>
              <w:marBottom w:val="0"/>
              <w:divBdr>
                <w:top w:val="none" w:sz="0" w:space="0" w:color="auto"/>
                <w:left w:val="none" w:sz="0" w:space="0" w:color="auto"/>
                <w:bottom w:val="none" w:sz="0" w:space="0" w:color="auto"/>
                <w:right w:val="none" w:sz="0" w:space="0" w:color="auto"/>
              </w:divBdr>
              <w:divsChild>
                <w:div w:id="1827550675">
                  <w:marLeft w:val="3231"/>
                  <w:marRight w:val="0"/>
                  <w:marTop w:val="0"/>
                  <w:marBottom w:val="0"/>
                  <w:divBdr>
                    <w:top w:val="none" w:sz="0" w:space="0" w:color="auto"/>
                    <w:left w:val="none" w:sz="0" w:space="0" w:color="auto"/>
                    <w:bottom w:val="none" w:sz="0" w:space="0" w:color="auto"/>
                    <w:right w:val="none" w:sz="0" w:space="0" w:color="auto"/>
                  </w:divBdr>
                  <w:divsChild>
                    <w:div w:id="2092119704">
                      <w:marLeft w:val="0"/>
                      <w:marRight w:val="0"/>
                      <w:marTop w:val="0"/>
                      <w:marBottom w:val="0"/>
                      <w:divBdr>
                        <w:top w:val="none" w:sz="0" w:space="0" w:color="auto"/>
                        <w:left w:val="none" w:sz="0" w:space="0" w:color="auto"/>
                        <w:bottom w:val="none" w:sz="0" w:space="0" w:color="auto"/>
                        <w:right w:val="none" w:sz="0" w:space="0" w:color="auto"/>
                      </w:divBdr>
                      <w:divsChild>
                        <w:div w:id="257980774">
                          <w:marLeft w:val="0"/>
                          <w:marRight w:val="0"/>
                          <w:marTop w:val="0"/>
                          <w:marBottom w:val="250"/>
                          <w:divBdr>
                            <w:top w:val="none" w:sz="0" w:space="0" w:color="auto"/>
                            <w:left w:val="none" w:sz="0" w:space="0" w:color="auto"/>
                            <w:bottom w:val="none" w:sz="0" w:space="0" w:color="auto"/>
                            <w:right w:val="none" w:sz="0" w:space="0" w:color="auto"/>
                          </w:divBdr>
                          <w:divsChild>
                            <w:div w:id="368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38576">
      <w:bodyDiv w:val="1"/>
      <w:marLeft w:val="0"/>
      <w:marRight w:val="0"/>
      <w:marTop w:val="0"/>
      <w:marBottom w:val="0"/>
      <w:divBdr>
        <w:top w:val="none" w:sz="0" w:space="0" w:color="auto"/>
        <w:left w:val="none" w:sz="0" w:space="0" w:color="auto"/>
        <w:bottom w:val="none" w:sz="0" w:space="0" w:color="auto"/>
        <w:right w:val="none" w:sz="0" w:space="0" w:color="auto"/>
      </w:divBdr>
    </w:div>
    <w:div w:id="141587280">
      <w:bodyDiv w:val="1"/>
      <w:marLeft w:val="0"/>
      <w:marRight w:val="0"/>
      <w:marTop w:val="0"/>
      <w:marBottom w:val="0"/>
      <w:divBdr>
        <w:top w:val="none" w:sz="0" w:space="0" w:color="auto"/>
        <w:left w:val="none" w:sz="0" w:space="0" w:color="auto"/>
        <w:bottom w:val="none" w:sz="0" w:space="0" w:color="auto"/>
        <w:right w:val="none" w:sz="0" w:space="0" w:color="auto"/>
      </w:divBdr>
      <w:divsChild>
        <w:div w:id="159782410">
          <w:marLeft w:val="0"/>
          <w:marRight w:val="0"/>
          <w:marTop w:val="0"/>
          <w:marBottom w:val="0"/>
          <w:divBdr>
            <w:top w:val="none" w:sz="0" w:space="0" w:color="auto"/>
            <w:left w:val="none" w:sz="0" w:space="0" w:color="auto"/>
            <w:bottom w:val="none" w:sz="0" w:space="0" w:color="auto"/>
            <w:right w:val="none" w:sz="0" w:space="0" w:color="auto"/>
          </w:divBdr>
          <w:divsChild>
            <w:div w:id="1352875780">
              <w:marLeft w:val="0"/>
              <w:marRight w:val="0"/>
              <w:marTop w:val="0"/>
              <w:marBottom w:val="0"/>
              <w:divBdr>
                <w:top w:val="none" w:sz="0" w:space="0" w:color="auto"/>
                <w:left w:val="none" w:sz="0" w:space="0" w:color="auto"/>
                <w:bottom w:val="none" w:sz="0" w:space="0" w:color="auto"/>
                <w:right w:val="none" w:sz="0" w:space="0" w:color="auto"/>
              </w:divBdr>
              <w:divsChild>
                <w:div w:id="820461134">
                  <w:marLeft w:val="0"/>
                  <w:marRight w:val="0"/>
                  <w:marTop w:val="0"/>
                  <w:marBottom w:val="0"/>
                  <w:divBdr>
                    <w:top w:val="none" w:sz="0" w:space="0" w:color="auto"/>
                    <w:left w:val="none" w:sz="0" w:space="0" w:color="auto"/>
                    <w:bottom w:val="none" w:sz="0" w:space="0" w:color="auto"/>
                    <w:right w:val="none" w:sz="0" w:space="0" w:color="auto"/>
                  </w:divBdr>
                  <w:divsChild>
                    <w:div w:id="1037774482">
                      <w:marLeft w:val="0"/>
                      <w:marRight w:val="0"/>
                      <w:marTop w:val="0"/>
                      <w:marBottom w:val="0"/>
                      <w:divBdr>
                        <w:top w:val="none" w:sz="0" w:space="0" w:color="auto"/>
                        <w:left w:val="none" w:sz="0" w:space="0" w:color="auto"/>
                        <w:bottom w:val="none" w:sz="0" w:space="0" w:color="auto"/>
                        <w:right w:val="none" w:sz="0" w:space="0" w:color="auto"/>
                      </w:divBdr>
                      <w:divsChild>
                        <w:div w:id="508107819">
                          <w:marLeft w:val="0"/>
                          <w:marRight w:val="0"/>
                          <w:marTop w:val="0"/>
                          <w:marBottom w:val="0"/>
                          <w:divBdr>
                            <w:top w:val="none" w:sz="0" w:space="0" w:color="auto"/>
                            <w:left w:val="none" w:sz="0" w:space="0" w:color="auto"/>
                            <w:bottom w:val="none" w:sz="0" w:space="0" w:color="auto"/>
                            <w:right w:val="none" w:sz="0" w:space="0" w:color="auto"/>
                          </w:divBdr>
                          <w:divsChild>
                            <w:div w:id="14887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56648">
      <w:bodyDiv w:val="1"/>
      <w:marLeft w:val="0"/>
      <w:marRight w:val="0"/>
      <w:marTop w:val="0"/>
      <w:marBottom w:val="0"/>
      <w:divBdr>
        <w:top w:val="none" w:sz="0" w:space="0" w:color="auto"/>
        <w:left w:val="none" w:sz="0" w:space="0" w:color="auto"/>
        <w:bottom w:val="none" w:sz="0" w:space="0" w:color="auto"/>
        <w:right w:val="none" w:sz="0" w:space="0" w:color="auto"/>
      </w:divBdr>
    </w:div>
    <w:div w:id="249237499">
      <w:bodyDiv w:val="1"/>
      <w:marLeft w:val="0"/>
      <w:marRight w:val="0"/>
      <w:marTop w:val="0"/>
      <w:marBottom w:val="0"/>
      <w:divBdr>
        <w:top w:val="none" w:sz="0" w:space="0" w:color="auto"/>
        <w:left w:val="none" w:sz="0" w:space="0" w:color="auto"/>
        <w:bottom w:val="none" w:sz="0" w:space="0" w:color="auto"/>
        <w:right w:val="none" w:sz="0" w:space="0" w:color="auto"/>
      </w:divBdr>
    </w:div>
    <w:div w:id="263421701">
      <w:bodyDiv w:val="1"/>
      <w:marLeft w:val="0"/>
      <w:marRight w:val="0"/>
      <w:marTop w:val="0"/>
      <w:marBottom w:val="0"/>
      <w:divBdr>
        <w:top w:val="none" w:sz="0" w:space="0" w:color="auto"/>
        <w:left w:val="none" w:sz="0" w:space="0" w:color="auto"/>
        <w:bottom w:val="none" w:sz="0" w:space="0" w:color="auto"/>
        <w:right w:val="none" w:sz="0" w:space="0" w:color="auto"/>
      </w:divBdr>
      <w:divsChild>
        <w:div w:id="275872510">
          <w:marLeft w:val="0"/>
          <w:marRight w:val="0"/>
          <w:marTop w:val="0"/>
          <w:marBottom w:val="0"/>
          <w:divBdr>
            <w:top w:val="none" w:sz="0" w:space="0" w:color="auto"/>
            <w:left w:val="none" w:sz="0" w:space="0" w:color="auto"/>
            <w:bottom w:val="none" w:sz="0" w:space="0" w:color="auto"/>
            <w:right w:val="none" w:sz="0" w:space="0" w:color="auto"/>
          </w:divBdr>
          <w:divsChild>
            <w:div w:id="1550461375">
              <w:marLeft w:val="0"/>
              <w:marRight w:val="0"/>
              <w:marTop w:val="0"/>
              <w:marBottom w:val="0"/>
              <w:divBdr>
                <w:top w:val="none" w:sz="0" w:space="0" w:color="auto"/>
                <w:left w:val="none" w:sz="0" w:space="0" w:color="auto"/>
                <w:bottom w:val="none" w:sz="0" w:space="0" w:color="auto"/>
                <w:right w:val="none" w:sz="0" w:space="0" w:color="auto"/>
              </w:divBdr>
              <w:divsChild>
                <w:div w:id="14631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8512">
      <w:bodyDiv w:val="1"/>
      <w:marLeft w:val="0"/>
      <w:marRight w:val="0"/>
      <w:marTop w:val="0"/>
      <w:marBottom w:val="0"/>
      <w:divBdr>
        <w:top w:val="none" w:sz="0" w:space="0" w:color="auto"/>
        <w:left w:val="none" w:sz="0" w:space="0" w:color="auto"/>
        <w:bottom w:val="none" w:sz="0" w:space="0" w:color="auto"/>
        <w:right w:val="none" w:sz="0" w:space="0" w:color="auto"/>
      </w:divBdr>
    </w:div>
    <w:div w:id="284586129">
      <w:bodyDiv w:val="1"/>
      <w:marLeft w:val="0"/>
      <w:marRight w:val="0"/>
      <w:marTop w:val="0"/>
      <w:marBottom w:val="0"/>
      <w:divBdr>
        <w:top w:val="none" w:sz="0" w:space="0" w:color="auto"/>
        <w:left w:val="none" w:sz="0" w:space="0" w:color="auto"/>
        <w:bottom w:val="none" w:sz="0" w:space="0" w:color="auto"/>
        <w:right w:val="none" w:sz="0" w:space="0" w:color="auto"/>
      </w:divBdr>
    </w:div>
    <w:div w:id="388113162">
      <w:bodyDiv w:val="1"/>
      <w:marLeft w:val="0"/>
      <w:marRight w:val="0"/>
      <w:marTop w:val="0"/>
      <w:marBottom w:val="0"/>
      <w:divBdr>
        <w:top w:val="none" w:sz="0" w:space="0" w:color="auto"/>
        <w:left w:val="none" w:sz="0" w:space="0" w:color="auto"/>
        <w:bottom w:val="none" w:sz="0" w:space="0" w:color="auto"/>
        <w:right w:val="none" w:sz="0" w:space="0" w:color="auto"/>
      </w:divBdr>
    </w:div>
    <w:div w:id="406657916">
      <w:bodyDiv w:val="1"/>
      <w:marLeft w:val="0"/>
      <w:marRight w:val="0"/>
      <w:marTop w:val="0"/>
      <w:marBottom w:val="0"/>
      <w:divBdr>
        <w:top w:val="none" w:sz="0" w:space="0" w:color="auto"/>
        <w:left w:val="none" w:sz="0" w:space="0" w:color="auto"/>
        <w:bottom w:val="none" w:sz="0" w:space="0" w:color="auto"/>
        <w:right w:val="none" w:sz="0" w:space="0" w:color="auto"/>
      </w:divBdr>
    </w:div>
    <w:div w:id="407731269">
      <w:bodyDiv w:val="1"/>
      <w:marLeft w:val="0"/>
      <w:marRight w:val="0"/>
      <w:marTop w:val="0"/>
      <w:marBottom w:val="0"/>
      <w:divBdr>
        <w:top w:val="none" w:sz="0" w:space="0" w:color="auto"/>
        <w:left w:val="none" w:sz="0" w:space="0" w:color="auto"/>
        <w:bottom w:val="none" w:sz="0" w:space="0" w:color="auto"/>
        <w:right w:val="none" w:sz="0" w:space="0" w:color="auto"/>
      </w:divBdr>
    </w:div>
    <w:div w:id="420563900">
      <w:bodyDiv w:val="1"/>
      <w:marLeft w:val="0"/>
      <w:marRight w:val="0"/>
      <w:marTop w:val="0"/>
      <w:marBottom w:val="0"/>
      <w:divBdr>
        <w:top w:val="none" w:sz="0" w:space="0" w:color="auto"/>
        <w:left w:val="none" w:sz="0" w:space="0" w:color="auto"/>
        <w:bottom w:val="none" w:sz="0" w:space="0" w:color="auto"/>
        <w:right w:val="none" w:sz="0" w:space="0" w:color="auto"/>
      </w:divBdr>
    </w:div>
    <w:div w:id="484009860">
      <w:bodyDiv w:val="1"/>
      <w:marLeft w:val="0"/>
      <w:marRight w:val="0"/>
      <w:marTop w:val="0"/>
      <w:marBottom w:val="0"/>
      <w:divBdr>
        <w:top w:val="none" w:sz="0" w:space="0" w:color="auto"/>
        <w:left w:val="none" w:sz="0" w:space="0" w:color="auto"/>
        <w:bottom w:val="none" w:sz="0" w:space="0" w:color="auto"/>
        <w:right w:val="none" w:sz="0" w:space="0" w:color="auto"/>
      </w:divBdr>
      <w:divsChild>
        <w:div w:id="1936092225">
          <w:marLeft w:val="0"/>
          <w:marRight w:val="0"/>
          <w:marTop w:val="0"/>
          <w:marBottom w:val="0"/>
          <w:divBdr>
            <w:top w:val="none" w:sz="0" w:space="0" w:color="auto"/>
            <w:left w:val="none" w:sz="0" w:space="0" w:color="auto"/>
            <w:bottom w:val="none" w:sz="0" w:space="0" w:color="auto"/>
            <w:right w:val="none" w:sz="0" w:space="0" w:color="auto"/>
          </w:divBdr>
          <w:divsChild>
            <w:div w:id="2110153828">
              <w:marLeft w:val="0"/>
              <w:marRight w:val="0"/>
              <w:marTop w:val="0"/>
              <w:marBottom w:val="0"/>
              <w:divBdr>
                <w:top w:val="none" w:sz="0" w:space="0" w:color="auto"/>
                <w:left w:val="none" w:sz="0" w:space="0" w:color="auto"/>
                <w:bottom w:val="none" w:sz="0" w:space="0" w:color="auto"/>
                <w:right w:val="none" w:sz="0" w:space="0" w:color="auto"/>
              </w:divBdr>
              <w:divsChild>
                <w:div w:id="1954900339">
                  <w:marLeft w:val="0"/>
                  <w:marRight w:val="0"/>
                  <w:marTop w:val="0"/>
                  <w:marBottom w:val="0"/>
                  <w:divBdr>
                    <w:top w:val="none" w:sz="0" w:space="0" w:color="auto"/>
                    <w:left w:val="none" w:sz="0" w:space="0" w:color="auto"/>
                    <w:bottom w:val="none" w:sz="0" w:space="0" w:color="auto"/>
                    <w:right w:val="none" w:sz="0" w:space="0" w:color="auto"/>
                  </w:divBdr>
                  <w:divsChild>
                    <w:div w:id="1274284196">
                      <w:marLeft w:val="0"/>
                      <w:marRight w:val="0"/>
                      <w:marTop w:val="0"/>
                      <w:marBottom w:val="0"/>
                      <w:divBdr>
                        <w:top w:val="none" w:sz="0" w:space="0" w:color="auto"/>
                        <w:left w:val="none" w:sz="0" w:space="0" w:color="auto"/>
                        <w:bottom w:val="none" w:sz="0" w:space="0" w:color="auto"/>
                        <w:right w:val="none" w:sz="0" w:space="0" w:color="auto"/>
                      </w:divBdr>
                      <w:divsChild>
                        <w:div w:id="1193306425">
                          <w:marLeft w:val="0"/>
                          <w:marRight w:val="0"/>
                          <w:marTop w:val="0"/>
                          <w:marBottom w:val="0"/>
                          <w:divBdr>
                            <w:top w:val="single" w:sz="4" w:space="0" w:color="828282"/>
                            <w:left w:val="single" w:sz="4" w:space="0" w:color="828282"/>
                            <w:bottom w:val="single" w:sz="4" w:space="0" w:color="828282"/>
                            <w:right w:val="single" w:sz="4" w:space="0" w:color="828282"/>
                          </w:divBdr>
                          <w:divsChild>
                            <w:div w:id="740298915">
                              <w:marLeft w:val="0"/>
                              <w:marRight w:val="0"/>
                              <w:marTop w:val="0"/>
                              <w:marBottom w:val="0"/>
                              <w:divBdr>
                                <w:top w:val="none" w:sz="0" w:space="0" w:color="auto"/>
                                <w:left w:val="none" w:sz="0" w:space="0" w:color="auto"/>
                                <w:bottom w:val="none" w:sz="0" w:space="0" w:color="auto"/>
                                <w:right w:val="none" w:sz="0" w:space="0" w:color="auto"/>
                              </w:divBdr>
                              <w:divsChild>
                                <w:div w:id="2145197142">
                                  <w:marLeft w:val="0"/>
                                  <w:marRight w:val="0"/>
                                  <w:marTop w:val="0"/>
                                  <w:marBottom w:val="0"/>
                                  <w:divBdr>
                                    <w:top w:val="none" w:sz="0" w:space="0" w:color="auto"/>
                                    <w:left w:val="none" w:sz="0" w:space="0" w:color="auto"/>
                                    <w:bottom w:val="none" w:sz="0" w:space="0" w:color="auto"/>
                                    <w:right w:val="none" w:sz="0" w:space="0" w:color="auto"/>
                                  </w:divBdr>
                                  <w:divsChild>
                                    <w:div w:id="348796922">
                                      <w:marLeft w:val="0"/>
                                      <w:marRight w:val="0"/>
                                      <w:marTop w:val="0"/>
                                      <w:marBottom w:val="0"/>
                                      <w:divBdr>
                                        <w:top w:val="none" w:sz="0" w:space="0" w:color="auto"/>
                                        <w:left w:val="none" w:sz="0" w:space="0" w:color="auto"/>
                                        <w:bottom w:val="none" w:sz="0" w:space="0" w:color="auto"/>
                                        <w:right w:val="none" w:sz="0" w:space="0" w:color="auto"/>
                                      </w:divBdr>
                                      <w:divsChild>
                                        <w:div w:id="1925066882">
                                          <w:marLeft w:val="0"/>
                                          <w:marRight w:val="0"/>
                                          <w:marTop w:val="0"/>
                                          <w:marBottom w:val="0"/>
                                          <w:divBdr>
                                            <w:top w:val="none" w:sz="0" w:space="0" w:color="auto"/>
                                            <w:left w:val="none" w:sz="0" w:space="0" w:color="auto"/>
                                            <w:bottom w:val="none" w:sz="0" w:space="0" w:color="auto"/>
                                            <w:right w:val="none" w:sz="0" w:space="0" w:color="auto"/>
                                          </w:divBdr>
                                          <w:divsChild>
                                            <w:div w:id="1265964463">
                                              <w:marLeft w:val="0"/>
                                              <w:marRight w:val="0"/>
                                              <w:marTop w:val="0"/>
                                              <w:marBottom w:val="0"/>
                                              <w:divBdr>
                                                <w:top w:val="none" w:sz="0" w:space="0" w:color="auto"/>
                                                <w:left w:val="none" w:sz="0" w:space="0" w:color="auto"/>
                                                <w:bottom w:val="none" w:sz="0" w:space="0" w:color="auto"/>
                                                <w:right w:val="none" w:sz="0" w:space="0" w:color="auto"/>
                                              </w:divBdr>
                                              <w:divsChild>
                                                <w:div w:id="8933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003708">
      <w:bodyDiv w:val="1"/>
      <w:marLeft w:val="0"/>
      <w:marRight w:val="0"/>
      <w:marTop w:val="0"/>
      <w:marBottom w:val="0"/>
      <w:divBdr>
        <w:top w:val="none" w:sz="0" w:space="0" w:color="auto"/>
        <w:left w:val="none" w:sz="0" w:space="0" w:color="auto"/>
        <w:bottom w:val="none" w:sz="0" w:space="0" w:color="auto"/>
        <w:right w:val="none" w:sz="0" w:space="0" w:color="auto"/>
      </w:divBdr>
      <w:divsChild>
        <w:div w:id="117379491">
          <w:marLeft w:val="0"/>
          <w:marRight w:val="0"/>
          <w:marTop w:val="0"/>
          <w:marBottom w:val="0"/>
          <w:divBdr>
            <w:top w:val="none" w:sz="0" w:space="0" w:color="auto"/>
            <w:left w:val="none" w:sz="0" w:space="0" w:color="auto"/>
            <w:bottom w:val="none" w:sz="0" w:space="0" w:color="auto"/>
            <w:right w:val="none" w:sz="0" w:space="0" w:color="auto"/>
          </w:divBdr>
          <w:divsChild>
            <w:div w:id="32313772">
              <w:marLeft w:val="0"/>
              <w:marRight w:val="0"/>
              <w:marTop w:val="0"/>
              <w:marBottom w:val="0"/>
              <w:divBdr>
                <w:top w:val="none" w:sz="0" w:space="0" w:color="auto"/>
                <w:left w:val="none" w:sz="0" w:space="0" w:color="auto"/>
                <w:bottom w:val="none" w:sz="0" w:space="0" w:color="auto"/>
                <w:right w:val="none" w:sz="0" w:space="0" w:color="auto"/>
              </w:divBdr>
              <w:divsChild>
                <w:div w:id="14380507">
                  <w:marLeft w:val="0"/>
                  <w:marRight w:val="0"/>
                  <w:marTop w:val="0"/>
                  <w:marBottom w:val="0"/>
                  <w:divBdr>
                    <w:top w:val="none" w:sz="0" w:space="0" w:color="auto"/>
                    <w:left w:val="none" w:sz="0" w:space="0" w:color="auto"/>
                    <w:bottom w:val="none" w:sz="0" w:space="0" w:color="auto"/>
                    <w:right w:val="none" w:sz="0" w:space="0" w:color="auto"/>
                  </w:divBdr>
                  <w:divsChild>
                    <w:div w:id="937642056">
                      <w:marLeft w:val="0"/>
                      <w:marRight w:val="0"/>
                      <w:marTop w:val="0"/>
                      <w:marBottom w:val="0"/>
                      <w:divBdr>
                        <w:top w:val="none" w:sz="0" w:space="0" w:color="auto"/>
                        <w:left w:val="none" w:sz="0" w:space="0" w:color="auto"/>
                        <w:bottom w:val="none" w:sz="0" w:space="0" w:color="auto"/>
                        <w:right w:val="none" w:sz="0" w:space="0" w:color="auto"/>
                      </w:divBdr>
                      <w:divsChild>
                        <w:div w:id="1973435194">
                          <w:marLeft w:val="0"/>
                          <w:marRight w:val="0"/>
                          <w:marTop w:val="0"/>
                          <w:marBottom w:val="0"/>
                          <w:divBdr>
                            <w:top w:val="none" w:sz="0" w:space="0" w:color="auto"/>
                            <w:left w:val="none" w:sz="0" w:space="0" w:color="auto"/>
                            <w:bottom w:val="none" w:sz="0" w:space="0" w:color="auto"/>
                            <w:right w:val="none" w:sz="0" w:space="0" w:color="auto"/>
                          </w:divBdr>
                          <w:divsChild>
                            <w:div w:id="9235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433862">
      <w:bodyDiv w:val="1"/>
      <w:marLeft w:val="0"/>
      <w:marRight w:val="0"/>
      <w:marTop w:val="0"/>
      <w:marBottom w:val="0"/>
      <w:divBdr>
        <w:top w:val="none" w:sz="0" w:space="0" w:color="auto"/>
        <w:left w:val="none" w:sz="0" w:space="0" w:color="auto"/>
        <w:bottom w:val="none" w:sz="0" w:space="0" w:color="auto"/>
        <w:right w:val="none" w:sz="0" w:space="0" w:color="auto"/>
      </w:divBdr>
    </w:div>
    <w:div w:id="686717264">
      <w:bodyDiv w:val="1"/>
      <w:marLeft w:val="0"/>
      <w:marRight w:val="0"/>
      <w:marTop w:val="0"/>
      <w:marBottom w:val="0"/>
      <w:divBdr>
        <w:top w:val="none" w:sz="0" w:space="0" w:color="auto"/>
        <w:left w:val="none" w:sz="0" w:space="0" w:color="auto"/>
        <w:bottom w:val="none" w:sz="0" w:space="0" w:color="auto"/>
        <w:right w:val="none" w:sz="0" w:space="0" w:color="auto"/>
      </w:divBdr>
    </w:div>
    <w:div w:id="702093480">
      <w:bodyDiv w:val="1"/>
      <w:marLeft w:val="0"/>
      <w:marRight w:val="0"/>
      <w:marTop w:val="0"/>
      <w:marBottom w:val="0"/>
      <w:divBdr>
        <w:top w:val="none" w:sz="0" w:space="0" w:color="auto"/>
        <w:left w:val="none" w:sz="0" w:space="0" w:color="auto"/>
        <w:bottom w:val="none" w:sz="0" w:space="0" w:color="auto"/>
        <w:right w:val="none" w:sz="0" w:space="0" w:color="auto"/>
      </w:divBdr>
    </w:div>
    <w:div w:id="739327526">
      <w:bodyDiv w:val="1"/>
      <w:marLeft w:val="0"/>
      <w:marRight w:val="0"/>
      <w:marTop w:val="0"/>
      <w:marBottom w:val="0"/>
      <w:divBdr>
        <w:top w:val="none" w:sz="0" w:space="0" w:color="auto"/>
        <w:left w:val="none" w:sz="0" w:space="0" w:color="auto"/>
        <w:bottom w:val="none" w:sz="0" w:space="0" w:color="auto"/>
        <w:right w:val="none" w:sz="0" w:space="0" w:color="auto"/>
      </w:divBdr>
      <w:divsChild>
        <w:div w:id="173425630">
          <w:marLeft w:val="0"/>
          <w:marRight w:val="0"/>
          <w:marTop w:val="0"/>
          <w:marBottom w:val="0"/>
          <w:divBdr>
            <w:top w:val="none" w:sz="0" w:space="0" w:color="auto"/>
            <w:left w:val="none" w:sz="0" w:space="0" w:color="auto"/>
            <w:bottom w:val="none" w:sz="0" w:space="0" w:color="auto"/>
            <w:right w:val="none" w:sz="0" w:space="0" w:color="auto"/>
          </w:divBdr>
          <w:divsChild>
            <w:div w:id="1736582981">
              <w:marLeft w:val="0"/>
              <w:marRight w:val="0"/>
              <w:marTop w:val="0"/>
              <w:marBottom w:val="0"/>
              <w:divBdr>
                <w:top w:val="single" w:sz="6" w:space="0" w:color="666666"/>
                <w:left w:val="single" w:sz="6" w:space="0" w:color="666666"/>
                <w:bottom w:val="single" w:sz="48" w:space="0" w:color="000000"/>
                <w:right w:val="single" w:sz="6" w:space="0" w:color="666666"/>
              </w:divBdr>
              <w:divsChild>
                <w:div w:id="1634826431">
                  <w:marLeft w:val="0"/>
                  <w:marRight w:val="0"/>
                  <w:marTop w:val="0"/>
                  <w:marBottom w:val="0"/>
                  <w:divBdr>
                    <w:top w:val="none" w:sz="0" w:space="0" w:color="auto"/>
                    <w:left w:val="none" w:sz="0" w:space="0" w:color="auto"/>
                    <w:bottom w:val="none" w:sz="0" w:space="0" w:color="auto"/>
                    <w:right w:val="none" w:sz="0" w:space="0" w:color="auto"/>
                  </w:divBdr>
                  <w:divsChild>
                    <w:div w:id="1536194247">
                      <w:marLeft w:val="173"/>
                      <w:marRight w:val="0"/>
                      <w:marTop w:val="173"/>
                      <w:marBottom w:val="0"/>
                      <w:divBdr>
                        <w:top w:val="none" w:sz="0" w:space="0" w:color="auto"/>
                        <w:left w:val="none" w:sz="0" w:space="0" w:color="auto"/>
                        <w:bottom w:val="none" w:sz="0" w:space="0" w:color="auto"/>
                        <w:right w:val="none" w:sz="0" w:space="0" w:color="auto"/>
                      </w:divBdr>
                      <w:divsChild>
                        <w:div w:id="515775092">
                          <w:marLeft w:val="0"/>
                          <w:marRight w:val="0"/>
                          <w:marTop w:val="0"/>
                          <w:marBottom w:val="0"/>
                          <w:divBdr>
                            <w:top w:val="none" w:sz="0" w:space="0" w:color="auto"/>
                            <w:left w:val="none" w:sz="0" w:space="0" w:color="auto"/>
                            <w:bottom w:val="none" w:sz="0" w:space="0" w:color="auto"/>
                            <w:right w:val="none" w:sz="0" w:space="0" w:color="auto"/>
                          </w:divBdr>
                          <w:divsChild>
                            <w:div w:id="723069862">
                              <w:marLeft w:val="0"/>
                              <w:marRight w:val="0"/>
                              <w:marTop w:val="0"/>
                              <w:marBottom w:val="0"/>
                              <w:divBdr>
                                <w:top w:val="none" w:sz="0" w:space="0" w:color="auto"/>
                                <w:left w:val="none" w:sz="0" w:space="0" w:color="auto"/>
                                <w:bottom w:val="none" w:sz="0" w:space="0" w:color="auto"/>
                                <w:right w:val="none" w:sz="0" w:space="0" w:color="auto"/>
                              </w:divBdr>
                              <w:divsChild>
                                <w:div w:id="1497499603">
                                  <w:marLeft w:val="0"/>
                                  <w:marRight w:val="0"/>
                                  <w:marTop w:val="0"/>
                                  <w:marBottom w:val="0"/>
                                  <w:divBdr>
                                    <w:top w:val="none" w:sz="0" w:space="0" w:color="auto"/>
                                    <w:left w:val="none" w:sz="0" w:space="0" w:color="auto"/>
                                    <w:bottom w:val="none" w:sz="0" w:space="0" w:color="auto"/>
                                    <w:right w:val="none" w:sz="0" w:space="0" w:color="auto"/>
                                  </w:divBdr>
                                  <w:divsChild>
                                    <w:div w:id="821195132">
                                      <w:marLeft w:val="0"/>
                                      <w:marRight w:val="0"/>
                                      <w:marTop w:val="0"/>
                                      <w:marBottom w:val="0"/>
                                      <w:divBdr>
                                        <w:top w:val="none" w:sz="0" w:space="0" w:color="auto"/>
                                        <w:left w:val="none" w:sz="0" w:space="0" w:color="auto"/>
                                        <w:bottom w:val="none" w:sz="0" w:space="0" w:color="auto"/>
                                        <w:right w:val="none" w:sz="0" w:space="0" w:color="auto"/>
                                      </w:divBdr>
                                      <w:divsChild>
                                        <w:div w:id="2136631034">
                                          <w:marLeft w:val="0"/>
                                          <w:marRight w:val="0"/>
                                          <w:marTop w:val="0"/>
                                          <w:marBottom w:val="0"/>
                                          <w:divBdr>
                                            <w:top w:val="none" w:sz="0" w:space="0" w:color="auto"/>
                                            <w:left w:val="none" w:sz="0" w:space="0" w:color="auto"/>
                                            <w:bottom w:val="none" w:sz="0" w:space="0" w:color="auto"/>
                                            <w:right w:val="none" w:sz="0" w:space="0" w:color="auto"/>
                                          </w:divBdr>
                                          <w:divsChild>
                                            <w:div w:id="1013646733">
                                              <w:marLeft w:val="0"/>
                                              <w:marRight w:val="0"/>
                                              <w:marTop w:val="0"/>
                                              <w:marBottom w:val="0"/>
                                              <w:divBdr>
                                                <w:top w:val="none" w:sz="0" w:space="0" w:color="auto"/>
                                                <w:left w:val="none" w:sz="0" w:space="0" w:color="auto"/>
                                                <w:bottom w:val="none" w:sz="0" w:space="0" w:color="auto"/>
                                                <w:right w:val="none" w:sz="0" w:space="0" w:color="auto"/>
                                              </w:divBdr>
                                              <w:divsChild>
                                                <w:div w:id="1458832643">
                                                  <w:marLeft w:val="0"/>
                                                  <w:marRight w:val="360"/>
                                                  <w:marTop w:val="0"/>
                                                  <w:marBottom w:val="0"/>
                                                  <w:divBdr>
                                                    <w:top w:val="none" w:sz="0" w:space="0" w:color="auto"/>
                                                    <w:left w:val="none" w:sz="0" w:space="0" w:color="auto"/>
                                                    <w:bottom w:val="none" w:sz="0" w:space="0" w:color="auto"/>
                                                    <w:right w:val="none" w:sz="0" w:space="0" w:color="auto"/>
                                                  </w:divBdr>
                                                  <w:divsChild>
                                                    <w:div w:id="10602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447219">
      <w:bodyDiv w:val="1"/>
      <w:marLeft w:val="0"/>
      <w:marRight w:val="0"/>
      <w:marTop w:val="0"/>
      <w:marBottom w:val="0"/>
      <w:divBdr>
        <w:top w:val="none" w:sz="0" w:space="0" w:color="auto"/>
        <w:left w:val="none" w:sz="0" w:space="0" w:color="auto"/>
        <w:bottom w:val="none" w:sz="0" w:space="0" w:color="auto"/>
        <w:right w:val="none" w:sz="0" w:space="0" w:color="auto"/>
      </w:divBdr>
      <w:divsChild>
        <w:div w:id="354038585">
          <w:marLeft w:val="0"/>
          <w:marRight w:val="0"/>
          <w:marTop w:val="0"/>
          <w:marBottom w:val="0"/>
          <w:divBdr>
            <w:top w:val="none" w:sz="0" w:space="0" w:color="auto"/>
            <w:left w:val="none" w:sz="0" w:space="0" w:color="auto"/>
            <w:bottom w:val="none" w:sz="0" w:space="0" w:color="auto"/>
            <w:right w:val="none" w:sz="0" w:space="0" w:color="auto"/>
          </w:divBdr>
          <w:divsChild>
            <w:div w:id="1388339020">
              <w:marLeft w:val="0"/>
              <w:marRight w:val="0"/>
              <w:marTop w:val="0"/>
              <w:marBottom w:val="0"/>
              <w:divBdr>
                <w:top w:val="none" w:sz="0" w:space="0" w:color="auto"/>
                <w:left w:val="none" w:sz="0" w:space="0" w:color="auto"/>
                <w:bottom w:val="none" w:sz="0" w:space="0" w:color="auto"/>
                <w:right w:val="none" w:sz="0" w:space="0" w:color="auto"/>
              </w:divBdr>
              <w:divsChild>
                <w:div w:id="1612861901">
                  <w:marLeft w:val="0"/>
                  <w:marRight w:val="0"/>
                  <w:marTop w:val="0"/>
                  <w:marBottom w:val="0"/>
                  <w:divBdr>
                    <w:top w:val="none" w:sz="0" w:space="0" w:color="auto"/>
                    <w:left w:val="none" w:sz="0" w:space="0" w:color="auto"/>
                    <w:bottom w:val="none" w:sz="0" w:space="0" w:color="auto"/>
                    <w:right w:val="none" w:sz="0" w:space="0" w:color="auto"/>
                  </w:divBdr>
                  <w:divsChild>
                    <w:div w:id="1401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2457">
      <w:bodyDiv w:val="1"/>
      <w:marLeft w:val="0"/>
      <w:marRight w:val="0"/>
      <w:marTop w:val="0"/>
      <w:marBottom w:val="0"/>
      <w:divBdr>
        <w:top w:val="none" w:sz="0" w:space="0" w:color="auto"/>
        <w:left w:val="none" w:sz="0" w:space="0" w:color="auto"/>
        <w:bottom w:val="none" w:sz="0" w:space="0" w:color="auto"/>
        <w:right w:val="none" w:sz="0" w:space="0" w:color="auto"/>
      </w:divBdr>
      <w:divsChild>
        <w:div w:id="31348206">
          <w:marLeft w:val="0"/>
          <w:marRight w:val="0"/>
          <w:marTop w:val="0"/>
          <w:marBottom w:val="0"/>
          <w:divBdr>
            <w:top w:val="none" w:sz="0" w:space="0" w:color="auto"/>
            <w:left w:val="none" w:sz="0" w:space="0" w:color="auto"/>
            <w:bottom w:val="none" w:sz="0" w:space="0" w:color="auto"/>
            <w:right w:val="none" w:sz="0" w:space="0" w:color="auto"/>
          </w:divBdr>
          <w:divsChild>
            <w:div w:id="1971587152">
              <w:marLeft w:val="0"/>
              <w:marRight w:val="0"/>
              <w:marTop w:val="0"/>
              <w:marBottom w:val="0"/>
              <w:divBdr>
                <w:top w:val="single" w:sz="4" w:space="0" w:color="666666"/>
                <w:left w:val="single" w:sz="4" w:space="0" w:color="666666"/>
                <w:bottom w:val="single" w:sz="48" w:space="0" w:color="000000"/>
                <w:right w:val="single" w:sz="4" w:space="0" w:color="666666"/>
              </w:divBdr>
              <w:divsChild>
                <w:div w:id="1495946783">
                  <w:marLeft w:val="0"/>
                  <w:marRight w:val="0"/>
                  <w:marTop w:val="0"/>
                  <w:marBottom w:val="0"/>
                  <w:divBdr>
                    <w:top w:val="none" w:sz="0" w:space="0" w:color="auto"/>
                    <w:left w:val="none" w:sz="0" w:space="0" w:color="auto"/>
                    <w:bottom w:val="none" w:sz="0" w:space="0" w:color="auto"/>
                    <w:right w:val="none" w:sz="0" w:space="0" w:color="auto"/>
                  </w:divBdr>
                  <w:divsChild>
                    <w:div w:id="162398597">
                      <w:marLeft w:val="115"/>
                      <w:marRight w:val="0"/>
                      <w:marTop w:val="115"/>
                      <w:marBottom w:val="0"/>
                      <w:divBdr>
                        <w:top w:val="none" w:sz="0" w:space="0" w:color="auto"/>
                        <w:left w:val="none" w:sz="0" w:space="0" w:color="auto"/>
                        <w:bottom w:val="none" w:sz="0" w:space="0" w:color="auto"/>
                        <w:right w:val="none" w:sz="0" w:space="0" w:color="auto"/>
                      </w:divBdr>
                      <w:divsChild>
                        <w:div w:id="1007173463">
                          <w:marLeft w:val="0"/>
                          <w:marRight w:val="0"/>
                          <w:marTop w:val="0"/>
                          <w:marBottom w:val="0"/>
                          <w:divBdr>
                            <w:top w:val="none" w:sz="0" w:space="0" w:color="auto"/>
                            <w:left w:val="none" w:sz="0" w:space="0" w:color="auto"/>
                            <w:bottom w:val="none" w:sz="0" w:space="0" w:color="auto"/>
                            <w:right w:val="none" w:sz="0" w:space="0" w:color="auto"/>
                          </w:divBdr>
                          <w:divsChild>
                            <w:div w:id="2135295171">
                              <w:marLeft w:val="0"/>
                              <w:marRight w:val="0"/>
                              <w:marTop w:val="0"/>
                              <w:marBottom w:val="0"/>
                              <w:divBdr>
                                <w:top w:val="none" w:sz="0" w:space="0" w:color="auto"/>
                                <w:left w:val="none" w:sz="0" w:space="0" w:color="auto"/>
                                <w:bottom w:val="none" w:sz="0" w:space="0" w:color="auto"/>
                                <w:right w:val="none" w:sz="0" w:space="0" w:color="auto"/>
                              </w:divBdr>
                              <w:divsChild>
                                <w:div w:id="1660385949">
                                  <w:marLeft w:val="0"/>
                                  <w:marRight w:val="0"/>
                                  <w:marTop w:val="0"/>
                                  <w:marBottom w:val="0"/>
                                  <w:divBdr>
                                    <w:top w:val="none" w:sz="0" w:space="0" w:color="auto"/>
                                    <w:left w:val="none" w:sz="0" w:space="0" w:color="auto"/>
                                    <w:bottom w:val="none" w:sz="0" w:space="0" w:color="auto"/>
                                    <w:right w:val="none" w:sz="0" w:space="0" w:color="auto"/>
                                  </w:divBdr>
                                  <w:divsChild>
                                    <w:div w:id="193470055">
                                      <w:marLeft w:val="0"/>
                                      <w:marRight w:val="0"/>
                                      <w:marTop w:val="0"/>
                                      <w:marBottom w:val="0"/>
                                      <w:divBdr>
                                        <w:top w:val="none" w:sz="0" w:space="0" w:color="auto"/>
                                        <w:left w:val="none" w:sz="0" w:space="0" w:color="auto"/>
                                        <w:bottom w:val="none" w:sz="0" w:space="0" w:color="auto"/>
                                        <w:right w:val="none" w:sz="0" w:space="0" w:color="auto"/>
                                      </w:divBdr>
                                      <w:divsChild>
                                        <w:div w:id="1444224116">
                                          <w:marLeft w:val="0"/>
                                          <w:marRight w:val="0"/>
                                          <w:marTop w:val="0"/>
                                          <w:marBottom w:val="0"/>
                                          <w:divBdr>
                                            <w:top w:val="none" w:sz="0" w:space="0" w:color="auto"/>
                                            <w:left w:val="none" w:sz="0" w:space="0" w:color="auto"/>
                                            <w:bottom w:val="none" w:sz="0" w:space="0" w:color="auto"/>
                                            <w:right w:val="none" w:sz="0" w:space="0" w:color="auto"/>
                                          </w:divBdr>
                                          <w:divsChild>
                                            <w:div w:id="1644265193">
                                              <w:marLeft w:val="0"/>
                                              <w:marRight w:val="0"/>
                                              <w:marTop w:val="0"/>
                                              <w:marBottom w:val="0"/>
                                              <w:divBdr>
                                                <w:top w:val="none" w:sz="0" w:space="0" w:color="auto"/>
                                                <w:left w:val="none" w:sz="0" w:space="0" w:color="auto"/>
                                                <w:bottom w:val="none" w:sz="0" w:space="0" w:color="auto"/>
                                                <w:right w:val="none" w:sz="0" w:space="0" w:color="auto"/>
                                              </w:divBdr>
                                              <w:divsChild>
                                                <w:div w:id="17204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944764">
      <w:bodyDiv w:val="1"/>
      <w:marLeft w:val="0"/>
      <w:marRight w:val="0"/>
      <w:marTop w:val="0"/>
      <w:marBottom w:val="0"/>
      <w:divBdr>
        <w:top w:val="none" w:sz="0" w:space="0" w:color="auto"/>
        <w:left w:val="none" w:sz="0" w:space="0" w:color="auto"/>
        <w:bottom w:val="none" w:sz="0" w:space="0" w:color="auto"/>
        <w:right w:val="none" w:sz="0" w:space="0" w:color="auto"/>
      </w:divBdr>
    </w:div>
    <w:div w:id="966816716">
      <w:bodyDiv w:val="1"/>
      <w:marLeft w:val="0"/>
      <w:marRight w:val="0"/>
      <w:marTop w:val="0"/>
      <w:marBottom w:val="0"/>
      <w:divBdr>
        <w:top w:val="none" w:sz="0" w:space="0" w:color="auto"/>
        <w:left w:val="none" w:sz="0" w:space="0" w:color="auto"/>
        <w:bottom w:val="none" w:sz="0" w:space="0" w:color="auto"/>
        <w:right w:val="none" w:sz="0" w:space="0" w:color="auto"/>
      </w:divBdr>
      <w:divsChild>
        <w:div w:id="2023507054">
          <w:marLeft w:val="0"/>
          <w:marRight w:val="0"/>
          <w:marTop w:val="0"/>
          <w:marBottom w:val="0"/>
          <w:divBdr>
            <w:top w:val="none" w:sz="0" w:space="0" w:color="auto"/>
            <w:left w:val="none" w:sz="0" w:space="0" w:color="auto"/>
            <w:bottom w:val="none" w:sz="0" w:space="0" w:color="auto"/>
            <w:right w:val="none" w:sz="0" w:space="0" w:color="auto"/>
          </w:divBdr>
          <w:divsChild>
            <w:div w:id="2017927173">
              <w:marLeft w:val="0"/>
              <w:marRight w:val="0"/>
              <w:marTop w:val="0"/>
              <w:marBottom w:val="0"/>
              <w:divBdr>
                <w:top w:val="single" w:sz="4" w:space="0" w:color="666666"/>
                <w:left w:val="single" w:sz="4" w:space="0" w:color="666666"/>
                <w:bottom w:val="single" w:sz="48" w:space="0" w:color="000000"/>
                <w:right w:val="single" w:sz="4" w:space="0" w:color="666666"/>
              </w:divBdr>
              <w:divsChild>
                <w:div w:id="1150176191">
                  <w:marLeft w:val="0"/>
                  <w:marRight w:val="0"/>
                  <w:marTop w:val="0"/>
                  <w:marBottom w:val="0"/>
                  <w:divBdr>
                    <w:top w:val="none" w:sz="0" w:space="0" w:color="auto"/>
                    <w:left w:val="none" w:sz="0" w:space="0" w:color="auto"/>
                    <w:bottom w:val="none" w:sz="0" w:space="0" w:color="auto"/>
                    <w:right w:val="none" w:sz="0" w:space="0" w:color="auto"/>
                  </w:divBdr>
                  <w:divsChild>
                    <w:div w:id="1929654854">
                      <w:marLeft w:val="115"/>
                      <w:marRight w:val="0"/>
                      <w:marTop w:val="115"/>
                      <w:marBottom w:val="0"/>
                      <w:divBdr>
                        <w:top w:val="none" w:sz="0" w:space="0" w:color="auto"/>
                        <w:left w:val="none" w:sz="0" w:space="0" w:color="auto"/>
                        <w:bottom w:val="none" w:sz="0" w:space="0" w:color="auto"/>
                        <w:right w:val="none" w:sz="0" w:space="0" w:color="auto"/>
                      </w:divBdr>
                      <w:divsChild>
                        <w:div w:id="1382285655">
                          <w:marLeft w:val="0"/>
                          <w:marRight w:val="0"/>
                          <w:marTop w:val="0"/>
                          <w:marBottom w:val="0"/>
                          <w:divBdr>
                            <w:top w:val="none" w:sz="0" w:space="0" w:color="auto"/>
                            <w:left w:val="none" w:sz="0" w:space="0" w:color="auto"/>
                            <w:bottom w:val="none" w:sz="0" w:space="0" w:color="auto"/>
                            <w:right w:val="none" w:sz="0" w:space="0" w:color="auto"/>
                          </w:divBdr>
                          <w:divsChild>
                            <w:div w:id="1426413309">
                              <w:marLeft w:val="0"/>
                              <w:marRight w:val="0"/>
                              <w:marTop w:val="0"/>
                              <w:marBottom w:val="0"/>
                              <w:divBdr>
                                <w:top w:val="none" w:sz="0" w:space="0" w:color="auto"/>
                                <w:left w:val="none" w:sz="0" w:space="0" w:color="auto"/>
                                <w:bottom w:val="none" w:sz="0" w:space="0" w:color="auto"/>
                                <w:right w:val="none" w:sz="0" w:space="0" w:color="auto"/>
                              </w:divBdr>
                              <w:divsChild>
                                <w:div w:id="967124450">
                                  <w:marLeft w:val="0"/>
                                  <w:marRight w:val="0"/>
                                  <w:marTop w:val="0"/>
                                  <w:marBottom w:val="0"/>
                                  <w:divBdr>
                                    <w:top w:val="none" w:sz="0" w:space="0" w:color="auto"/>
                                    <w:left w:val="none" w:sz="0" w:space="0" w:color="auto"/>
                                    <w:bottom w:val="none" w:sz="0" w:space="0" w:color="auto"/>
                                    <w:right w:val="none" w:sz="0" w:space="0" w:color="auto"/>
                                  </w:divBdr>
                                  <w:divsChild>
                                    <w:div w:id="1421368928">
                                      <w:marLeft w:val="0"/>
                                      <w:marRight w:val="0"/>
                                      <w:marTop w:val="0"/>
                                      <w:marBottom w:val="0"/>
                                      <w:divBdr>
                                        <w:top w:val="none" w:sz="0" w:space="0" w:color="auto"/>
                                        <w:left w:val="none" w:sz="0" w:space="0" w:color="auto"/>
                                        <w:bottom w:val="none" w:sz="0" w:space="0" w:color="auto"/>
                                        <w:right w:val="none" w:sz="0" w:space="0" w:color="auto"/>
                                      </w:divBdr>
                                      <w:divsChild>
                                        <w:div w:id="1736859213">
                                          <w:marLeft w:val="0"/>
                                          <w:marRight w:val="0"/>
                                          <w:marTop w:val="0"/>
                                          <w:marBottom w:val="0"/>
                                          <w:divBdr>
                                            <w:top w:val="none" w:sz="0" w:space="0" w:color="auto"/>
                                            <w:left w:val="none" w:sz="0" w:space="0" w:color="auto"/>
                                            <w:bottom w:val="none" w:sz="0" w:space="0" w:color="auto"/>
                                            <w:right w:val="none" w:sz="0" w:space="0" w:color="auto"/>
                                          </w:divBdr>
                                          <w:divsChild>
                                            <w:div w:id="1943105603">
                                              <w:marLeft w:val="0"/>
                                              <w:marRight w:val="0"/>
                                              <w:marTop w:val="0"/>
                                              <w:marBottom w:val="0"/>
                                              <w:divBdr>
                                                <w:top w:val="none" w:sz="0" w:space="0" w:color="auto"/>
                                                <w:left w:val="none" w:sz="0" w:space="0" w:color="auto"/>
                                                <w:bottom w:val="none" w:sz="0" w:space="0" w:color="auto"/>
                                                <w:right w:val="none" w:sz="0" w:space="0" w:color="auto"/>
                                              </w:divBdr>
                                              <w:divsChild>
                                                <w:div w:id="1966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14965">
      <w:bodyDiv w:val="1"/>
      <w:marLeft w:val="0"/>
      <w:marRight w:val="0"/>
      <w:marTop w:val="0"/>
      <w:marBottom w:val="0"/>
      <w:divBdr>
        <w:top w:val="none" w:sz="0" w:space="0" w:color="auto"/>
        <w:left w:val="none" w:sz="0" w:space="0" w:color="auto"/>
        <w:bottom w:val="none" w:sz="0" w:space="0" w:color="auto"/>
        <w:right w:val="none" w:sz="0" w:space="0" w:color="auto"/>
      </w:divBdr>
    </w:div>
    <w:div w:id="1021275166">
      <w:bodyDiv w:val="1"/>
      <w:marLeft w:val="0"/>
      <w:marRight w:val="0"/>
      <w:marTop w:val="0"/>
      <w:marBottom w:val="0"/>
      <w:divBdr>
        <w:top w:val="none" w:sz="0" w:space="0" w:color="auto"/>
        <w:left w:val="none" w:sz="0" w:space="0" w:color="auto"/>
        <w:bottom w:val="none" w:sz="0" w:space="0" w:color="auto"/>
        <w:right w:val="none" w:sz="0" w:space="0" w:color="auto"/>
      </w:divBdr>
    </w:div>
    <w:div w:id="1043604646">
      <w:bodyDiv w:val="1"/>
      <w:marLeft w:val="0"/>
      <w:marRight w:val="0"/>
      <w:marTop w:val="0"/>
      <w:marBottom w:val="0"/>
      <w:divBdr>
        <w:top w:val="none" w:sz="0" w:space="0" w:color="auto"/>
        <w:left w:val="none" w:sz="0" w:space="0" w:color="auto"/>
        <w:bottom w:val="none" w:sz="0" w:space="0" w:color="auto"/>
        <w:right w:val="none" w:sz="0" w:space="0" w:color="auto"/>
      </w:divBdr>
    </w:div>
    <w:div w:id="1067189115">
      <w:bodyDiv w:val="1"/>
      <w:marLeft w:val="0"/>
      <w:marRight w:val="0"/>
      <w:marTop w:val="0"/>
      <w:marBottom w:val="0"/>
      <w:divBdr>
        <w:top w:val="none" w:sz="0" w:space="0" w:color="auto"/>
        <w:left w:val="none" w:sz="0" w:space="0" w:color="auto"/>
        <w:bottom w:val="none" w:sz="0" w:space="0" w:color="auto"/>
        <w:right w:val="none" w:sz="0" w:space="0" w:color="auto"/>
      </w:divBdr>
    </w:div>
    <w:div w:id="1124077371">
      <w:bodyDiv w:val="1"/>
      <w:marLeft w:val="0"/>
      <w:marRight w:val="0"/>
      <w:marTop w:val="0"/>
      <w:marBottom w:val="0"/>
      <w:divBdr>
        <w:top w:val="none" w:sz="0" w:space="0" w:color="auto"/>
        <w:left w:val="none" w:sz="0" w:space="0" w:color="auto"/>
        <w:bottom w:val="none" w:sz="0" w:space="0" w:color="auto"/>
        <w:right w:val="none" w:sz="0" w:space="0" w:color="auto"/>
      </w:divBdr>
    </w:div>
    <w:div w:id="1156192871">
      <w:bodyDiv w:val="1"/>
      <w:marLeft w:val="0"/>
      <w:marRight w:val="0"/>
      <w:marTop w:val="0"/>
      <w:marBottom w:val="0"/>
      <w:divBdr>
        <w:top w:val="none" w:sz="0" w:space="0" w:color="auto"/>
        <w:left w:val="none" w:sz="0" w:space="0" w:color="auto"/>
        <w:bottom w:val="none" w:sz="0" w:space="0" w:color="auto"/>
        <w:right w:val="none" w:sz="0" w:space="0" w:color="auto"/>
      </w:divBdr>
    </w:div>
    <w:div w:id="1187601018">
      <w:bodyDiv w:val="1"/>
      <w:marLeft w:val="0"/>
      <w:marRight w:val="0"/>
      <w:marTop w:val="0"/>
      <w:marBottom w:val="0"/>
      <w:divBdr>
        <w:top w:val="none" w:sz="0" w:space="0" w:color="auto"/>
        <w:left w:val="none" w:sz="0" w:space="0" w:color="auto"/>
        <w:bottom w:val="none" w:sz="0" w:space="0" w:color="auto"/>
        <w:right w:val="none" w:sz="0" w:space="0" w:color="auto"/>
      </w:divBdr>
    </w:div>
    <w:div w:id="1198080238">
      <w:bodyDiv w:val="1"/>
      <w:marLeft w:val="0"/>
      <w:marRight w:val="0"/>
      <w:marTop w:val="0"/>
      <w:marBottom w:val="0"/>
      <w:divBdr>
        <w:top w:val="none" w:sz="0" w:space="0" w:color="auto"/>
        <w:left w:val="none" w:sz="0" w:space="0" w:color="auto"/>
        <w:bottom w:val="none" w:sz="0" w:space="0" w:color="auto"/>
        <w:right w:val="none" w:sz="0" w:space="0" w:color="auto"/>
      </w:divBdr>
    </w:div>
    <w:div w:id="1266502482">
      <w:bodyDiv w:val="1"/>
      <w:marLeft w:val="0"/>
      <w:marRight w:val="0"/>
      <w:marTop w:val="0"/>
      <w:marBottom w:val="0"/>
      <w:divBdr>
        <w:top w:val="none" w:sz="0" w:space="0" w:color="auto"/>
        <w:left w:val="none" w:sz="0" w:space="0" w:color="auto"/>
        <w:bottom w:val="none" w:sz="0" w:space="0" w:color="auto"/>
        <w:right w:val="none" w:sz="0" w:space="0" w:color="auto"/>
      </w:divBdr>
    </w:div>
    <w:div w:id="1355568503">
      <w:bodyDiv w:val="1"/>
      <w:marLeft w:val="0"/>
      <w:marRight w:val="0"/>
      <w:marTop w:val="0"/>
      <w:marBottom w:val="0"/>
      <w:divBdr>
        <w:top w:val="none" w:sz="0" w:space="0" w:color="auto"/>
        <w:left w:val="none" w:sz="0" w:space="0" w:color="auto"/>
        <w:bottom w:val="none" w:sz="0" w:space="0" w:color="auto"/>
        <w:right w:val="none" w:sz="0" w:space="0" w:color="auto"/>
      </w:divBdr>
    </w:div>
    <w:div w:id="1402748003">
      <w:bodyDiv w:val="1"/>
      <w:marLeft w:val="0"/>
      <w:marRight w:val="0"/>
      <w:marTop w:val="0"/>
      <w:marBottom w:val="0"/>
      <w:divBdr>
        <w:top w:val="none" w:sz="0" w:space="0" w:color="auto"/>
        <w:left w:val="none" w:sz="0" w:space="0" w:color="auto"/>
        <w:bottom w:val="none" w:sz="0" w:space="0" w:color="auto"/>
        <w:right w:val="none" w:sz="0" w:space="0" w:color="auto"/>
      </w:divBdr>
      <w:divsChild>
        <w:div w:id="1167407060">
          <w:marLeft w:val="0"/>
          <w:marRight w:val="0"/>
          <w:marTop w:val="0"/>
          <w:marBottom w:val="0"/>
          <w:divBdr>
            <w:top w:val="none" w:sz="0" w:space="0" w:color="auto"/>
            <w:left w:val="none" w:sz="0" w:space="0" w:color="auto"/>
            <w:bottom w:val="none" w:sz="0" w:space="0" w:color="auto"/>
            <w:right w:val="none" w:sz="0" w:space="0" w:color="auto"/>
          </w:divBdr>
          <w:divsChild>
            <w:div w:id="1247349215">
              <w:marLeft w:val="0"/>
              <w:marRight w:val="0"/>
              <w:marTop w:val="0"/>
              <w:marBottom w:val="0"/>
              <w:divBdr>
                <w:top w:val="none" w:sz="0" w:space="0" w:color="auto"/>
                <w:left w:val="none" w:sz="0" w:space="0" w:color="auto"/>
                <w:bottom w:val="none" w:sz="0" w:space="0" w:color="auto"/>
                <w:right w:val="none" w:sz="0" w:space="0" w:color="auto"/>
              </w:divBdr>
              <w:divsChild>
                <w:div w:id="570193516">
                  <w:marLeft w:val="0"/>
                  <w:marRight w:val="0"/>
                  <w:marTop w:val="0"/>
                  <w:marBottom w:val="0"/>
                  <w:divBdr>
                    <w:top w:val="none" w:sz="0" w:space="0" w:color="auto"/>
                    <w:left w:val="none" w:sz="0" w:space="0" w:color="auto"/>
                    <w:bottom w:val="none" w:sz="0" w:space="0" w:color="auto"/>
                    <w:right w:val="none" w:sz="0" w:space="0" w:color="auto"/>
                  </w:divBdr>
                  <w:divsChild>
                    <w:div w:id="860239393">
                      <w:marLeft w:val="0"/>
                      <w:marRight w:val="0"/>
                      <w:marTop w:val="0"/>
                      <w:marBottom w:val="0"/>
                      <w:divBdr>
                        <w:top w:val="none" w:sz="0" w:space="0" w:color="auto"/>
                        <w:left w:val="none" w:sz="0" w:space="0" w:color="auto"/>
                        <w:bottom w:val="none" w:sz="0" w:space="0" w:color="auto"/>
                        <w:right w:val="none" w:sz="0" w:space="0" w:color="auto"/>
                      </w:divBdr>
                      <w:divsChild>
                        <w:div w:id="932125562">
                          <w:marLeft w:val="0"/>
                          <w:marRight w:val="0"/>
                          <w:marTop w:val="0"/>
                          <w:marBottom w:val="0"/>
                          <w:divBdr>
                            <w:top w:val="none" w:sz="0" w:space="0" w:color="auto"/>
                            <w:left w:val="none" w:sz="0" w:space="0" w:color="auto"/>
                            <w:bottom w:val="none" w:sz="0" w:space="0" w:color="auto"/>
                            <w:right w:val="none" w:sz="0" w:space="0" w:color="auto"/>
                          </w:divBdr>
                          <w:divsChild>
                            <w:div w:id="2124838288">
                              <w:marLeft w:val="0"/>
                              <w:marRight w:val="0"/>
                              <w:marTop w:val="0"/>
                              <w:marBottom w:val="0"/>
                              <w:divBdr>
                                <w:top w:val="none" w:sz="0" w:space="0" w:color="auto"/>
                                <w:left w:val="none" w:sz="0" w:space="0" w:color="auto"/>
                                <w:bottom w:val="none" w:sz="0" w:space="0" w:color="auto"/>
                                <w:right w:val="none" w:sz="0" w:space="0" w:color="auto"/>
                              </w:divBdr>
                              <w:divsChild>
                                <w:div w:id="1428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81017">
      <w:bodyDiv w:val="1"/>
      <w:marLeft w:val="0"/>
      <w:marRight w:val="0"/>
      <w:marTop w:val="0"/>
      <w:marBottom w:val="0"/>
      <w:divBdr>
        <w:top w:val="none" w:sz="0" w:space="0" w:color="auto"/>
        <w:left w:val="none" w:sz="0" w:space="0" w:color="auto"/>
        <w:bottom w:val="none" w:sz="0" w:space="0" w:color="auto"/>
        <w:right w:val="none" w:sz="0" w:space="0" w:color="auto"/>
      </w:divBdr>
    </w:div>
    <w:div w:id="1495995595">
      <w:bodyDiv w:val="1"/>
      <w:marLeft w:val="0"/>
      <w:marRight w:val="0"/>
      <w:marTop w:val="0"/>
      <w:marBottom w:val="0"/>
      <w:divBdr>
        <w:top w:val="none" w:sz="0" w:space="0" w:color="auto"/>
        <w:left w:val="none" w:sz="0" w:space="0" w:color="auto"/>
        <w:bottom w:val="none" w:sz="0" w:space="0" w:color="auto"/>
        <w:right w:val="none" w:sz="0" w:space="0" w:color="auto"/>
      </w:divBdr>
      <w:divsChild>
        <w:div w:id="1608928497">
          <w:marLeft w:val="0"/>
          <w:marRight w:val="0"/>
          <w:marTop w:val="0"/>
          <w:marBottom w:val="0"/>
          <w:divBdr>
            <w:top w:val="none" w:sz="0" w:space="0" w:color="auto"/>
            <w:left w:val="none" w:sz="0" w:space="0" w:color="auto"/>
            <w:bottom w:val="none" w:sz="0" w:space="0" w:color="auto"/>
            <w:right w:val="none" w:sz="0" w:space="0" w:color="auto"/>
          </w:divBdr>
          <w:divsChild>
            <w:div w:id="1007830737">
              <w:marLeft w:val="0"/>
              <w:marRight w:val="0"/>
              <w:marTop w:val="0"/>
              <w:marBottom w:val="0"/>
              <w:divBdr>
                <w:top w:val="none" w:sz="0" w:space="0" w:color="auto"/>
                <w:left w:val="none" w:sz="0" w:space="0" w:color="auto"/>
                <w:bottom w:val="none" w:sz="0" w:space="0" w:color="auto"/>
                <w:right w:val="none" w:sz="0" w:space="0" w:color="auto"/>
              </w:divBdr>
              <w:divsChild>
                <w:div w:id="89738687">
                  <w:marLeft w:val="0"/>
                  <w:marRight w:val="0"/>
                  <w:marTop w:val="0"/>
                  <w:marBottom w:val="0"/>
                  <w:divBdr>
                    <w:top w:val="none" w:sz="0" w:space="0" w:color="auto"/>
                    <w:left w:val="none" w:sz="0" w:space="0" w:color="auto"/>
                    <w:bottom w:val="none" w:sz="0" w:space="0" w:color="auto"/>
                    <w:right w:val="none" w:sz="0" w:space="0" w:color="auto"/>
                  </w:divBdr>
                  <w:divsChild>
                    <w:div w:id="1597320315">
                      <w:marLeft w:val="0"/>
                      <w:marRight w:val="0"/>
                      <w:marTop w:val="0"/>
                      <w:marBottom w:val="0"/>
                      <w:divBdr>
                        <w:top w:val="none" w:sz="0" w:space="0" w:color="auto"/>
                        <w:left w:val="none" w:sz="0" w:space="0" w:color="auto"/>
                        <w:bottom w:val="none" w:sz="0" w:space="0" w:color="auto"/>
                        <w:right w:val="none" w:sz="0" w:space="0" w:color="auto"/>
                      </w:divBdr>
                      <w:divsChild>
                        <w:div w:id="506989771">
                          <w:marLeft w:val="0"/>
                          <w:marRight w:val="0"/>
                          <w:marTop w:val="0"/>
                          <w:marBottom w:val="0"/>
                          <w:divBdr>
                            <w:top w:val="none" w:sz="0" w:space="0" w:color="auto"/>
                            <w:left w:val="none" w:sz="0" w:space="0" w:color="auto"/>
                            <w:bottom w:val="none" w:sz="0" w:space="0" w:color="auto"/>
                            <w:right w:val="none" w:sz="0" w:space="0" w:color="auto"/>
                          </w:divBdr>
                          <w:divsChild>
                            <w:div w:id="46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0141">
      <w:bodyDiv w:val="1"/>
      <w:marLeft w:val="0"/>
      <w:marRight w:val="0"/>
      <w:marTop w:val="0"/>
      <w:marBottom w:val="0"/>
      <w:divBdr>
        <w:top w:val="none" w:sz="0" w:space="0" w:color="auto"/>
        <w:left w:val="none" w:sz="0" w:space="0" w:color="auto"/>
        <w:bottom w:val="none" w:sz="0" w:space="0" w:color="auto"/>
        <w:right w:val="none" w:sz="0" w:space="0" w:color="auto"/>
      </w:divBdr>
      <w:divsChild>
        <w:div w:id="1049646208">
          <w:marLeft w:val="0"/>
          <w:marRight w:val="0"/>
          <w:marTop w:val="0"/>
          <w:marBottom w:val="0"/>
          <w:divBdr>
            <w:top w:val="none" w:sz="0" w:space="0" w:color="auto"/>
            <w:left w:val="none" w:sz="0" w:space="0" w:color="auto"/>
            <w:bottom w:val="none" w:sz="0" w:space="0" w:color="auto"/>
            <w:right w:val="none" w:sz="0" w:space="0" w:color="auto"/>
          </w:divBdr>
        </w:div>
      </w:divsChild>
    </w:div>
    <w:div w:id="1562206086">
      <w:bodyDiv w:val="1"/>
      <w:marLeft w:val="0"/>
      <w:marRight w:val="0"/>
      <w:marTop w:val="0"/>
      <w:marBottom w:val="0"/>
      <w:divBdr>
        <w:top w:val="none" w:sz="0" w:space="0" w:color="auto"/>
        <w:left w:val="none" w:sz="0" w:space="0" w:color="auto"/>
        <w:bottom w:val="none" w:sz="0" w:space="0" w:color="auto"/>
        <w:right w:val="none" w:sz="0" w:space="0" w:color="auto"/>
      </w:divBdr>
      <w:divsChild>
        <w:div w:id="368116592">
          <w:marLeft w:val="0"/>
          <w:marRight w:val="0"/>
          <w:marTop w:val="0"/>
          <w:marBottom w:val="0"/>
          <w:divBdr>
            <w:top w:val="none" w:sz="0" w:space="0" w:color="auto"/>
            <w:left w:val="none" w:sz="0" w:space="0" w:color="auto"/>
            <w:bottom w:val="none" w:sz="0" w:space="0" w:color="auto"/>
            <w:right w:val="none" w:sz="0" w:space="0" w:color="auto"/>
          </w:divBdr>
          <w:divsChild>
            <w:div w:id="758213019">
              <w:marLeft w:val="0"/>
              <w:marRight w:val="0"/>
              <w:marTop w:val="0"/>
              <w:marBottom w:val="0"/>
              <w:divBdr>
                <w:top w:val="single" w:sz="4" w:space="0" w:color="666666"/>
                <w:left w:val="single" w:sz="4" w:space="0" w:color="666666"/>
                <w:bottom w:val="single" w:sz="48" w:space="0" w:color="000000"/>
                <w:right w:val="single" w:sz="4" w:space="0" w:color="666666"/>
              </w:divBdr>
              <w:divsChild>
                <w:div w:id="294406701">
                  <w:marLeft w:val="0"/>
                  <w:marRight w:val="0"/>
                  <w:marTop w:val="0"/>
                  <w:marBottom w:val="0"/>
                  <w:divBdr>
                    <w:top w:val="none" w:sz="0" w:space="0" w:color="auto"/>
                    <w:left w:val="none" w:sz="0" w:space="0" w:color="auto"/>
                    <w:bottom w:val="none" w:sz="0" w:space="0" w:color="auto"/>
                    <w:right w:val="none" w:sz="0" w:space="0" w:color="auto"/>
                  </w:divBdr>
                  <w:divsChild>
                    <w:div w:id="55590249">
                      <w:marLeft w:val="115"/>
                      <w:marRight w:val="0"/>
                      <w:marTop w:val="115"/>
                      <w:marBottom w:val="0"/>
                      <w:divBdr>
                        <w:top w:val="none" w:sz="0" w:space="0" w:color="auto"/>
                        <w:left w:val="none" w:sz="0" w:space="0" w:color="auto"/>
                        <w:bottom w:val="none" w:sz="0" w:space="0" w:color="auto"/>
                        <w:right w:val="none" w:sz="0" w:space="0" w:color="auto"/>
                      </w:divBdr>
                      <w:divsChild>
                        <w:div w:id="45880929">
                          <w:marLeft w:val="0"/>
                          <w:marRight w:val="0"/>
                          <w:marTop w:val="0"/>
                          <w:marBottom w:val="0"/>
                          <w:divBdr>
                            <w:top w:val="none" w:sz="0" w:space="0" w:color="auto"/>
                            <w:left w:val="none" w:sz="0" w:space="0" w:color="auto"/>
                            <w:bottom w:val="none" w:sz="0" w:space="0" w:color="auto"/>
                            <w:right w:val="none" w:sz="0" w:space="0" w:color="auto"/>
                          </w:divBdr>
                          <w:divsChild>
                            <w:div w:id="382874064">
                              <w:marLeft w:val="0"/>
                              <w:marRight w:val="0"/>
                              <w:marTop w:val="0"/>
                              <w:marBottom w:val="0"/>
                              <w:divBdr>
                                <w:top w:val="none" w:sz="0" w:space="0" w:color="auto"/>
                                <w:left w:val="none" w:sz="0" w:space="0" w:color="auto"/>
                                <w:bottom w:val="none" w:sz="0" w:space="0" w:color="auto"/>
                                <w:right w:val="none" w:sz="0" w:space="0" w:color="auto"/>
                              </w:divBdr>
                              <w:divsChild>
                                <w:div w:id="318580192">
                                  <w:marLeft w:val="0"/>
                                  <w:marRight w:val="0"/>
                                  <w:marTop w:val="0"/>
                                  <w:marBottom w:val="0"/>
                                  <w:divBdr>
                                    <w:top w:val="none" w:sz="0" w:space="0" w:color="auto"/>
                                    <w:left w:val="none" w:sz="0" w:space="0" w:color="auto"/>
                                    <w:bottom w:val="none" w:sz="0" w:space="0" w:color="auto"/>
                                    <w:right w:val="none" w:sz="0" w:space="0" w:color="auto"/>
                                  </w:divBdr>
                                  <w:divsChild>
                                    <w:div w:id="827133029">
                                      <w:marLeft w:val="0"/>
                                      <w:marRight w:val="0"/>
                                      <w:marTop w:val="0"/>
                                      <w:marBottom w:val="0"/>
                                      <w:divBdr>
                                        <w:top w:val="none" w:sz="0" w:space="0" w:color="auto"/>
                                        <w:left w:val="none" w:sz="0" w:space="0" w:color="auto"/>
                                        <w:bottom w:val="none" w:sz="0" w:space="0" w:color="auto"/>
                                        <w:right w:val="none" w:sz="0" w:space="0" w:color="auto"/>
                                      </w:divBdr>
                                      <w:divsChild>
                                        <w:div w:id="885991935">
                                          <w:marLeft w:val="0"/>
                                          <w:marRight w:val="0"/>
                                          <w:marTop w:val="0"/>
                                          <w:marBottom w:val="0"/>
                                          <w:divBdr>
                                            <w:top w:val="none" w:sz="0" w:space="0" w:color="auto"/>
                                            <w:left w:val="none" w:sz="0" w:space="0" w:color="auto"/>
                                            <w:bottom w:val="none" w:sz="0" w:space="0" w:color="auto"/>
                                            <w:right w:val="none" w:sz="0" w:space="0" w:color="auto"/>
                                          </w:divBdr>
                                          <w:divsChild>
                                            <w:div w:id="2000889576">
                                              <w:marLeft w:val="0"/>
                                              <w:marRight w:val="0"/>
                                              <w:marTop w:val="0"/>
                                              <w:marBottom w:val="0"/>
                                              <w:divBdr>
                                                <w:top w:val="none" w:sz="0" w:space="0" w:color="auto"/>
                                                <w:left w:val="none" w:sz="0" w:space="0" w:color="auto"/>
                                                <w:bottom w:val="none" w:sz="0" w:space="0" w:color="auto"/>
                                                <w:right w:val="none" w:sz="0" w:space="0" w:color="auto"/>
                                              </w:divBdr>
                                              <w:divsChild>
                                                <w:div w:id="9411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327866">
      <w:bodyDiv w:val="1"/>
      <w:marLeft w:val="0"/>
      <w:marRight w:val="0"/>
      <w:marTop w:val="0"/>
      <w:marBottom w:val="0"/>
      <w:divBdr>
        <w:top w:val="none" w:sz="0" w:space="0" w:color="auto"/>
        <w:left w:val="none" w:sz="0" w:space="0" w:color="auto"/>
        <w:bottom w:val="none" w:sz="0" w:space="0" w:color="auto"/>
        <w:right w:val="none" w:sz="0" w:space="0" w:color="auto"/>
      </w:divBdr>
    </w:div>
    <w:div w:id="1736397612">
      <w:bodyDiv w:val="1"/>
      <w:marLeft w:val="0"/>
      <w:marRight w:val="0"/>
      <w:marTop w:val="0"/>
      <w:marBottom w:val="0"/>
      <w:divBdr>
        <w:top w:val="none" w:sz="0" w:space="0" w:color="auto"/>
        <w:left w:val="none" w:sz="0" w:space="0" w:color="auto"/>
        <w:bottom w:val="none" w:sz="0" w:space="0" w:color="auto"/>
        <w:right w:val="none" w:sz="0" w:space="0" w:color="auto"/>
      </w:divBdr>
    </w:div>
    <w:div w:id="1844009999">
      <w:bodyDiv w:val="1"/>
      <w:marLeft w:val="0"/>
      <w:marRight w:val="0"/>
      <w:marTop w:val="0"/>
      <w:marBottom w:val="0"/>
      <w:divBdr>
        <w:top w:val="none" w:sz="0" w:space="0" w:color="auto"/>
        <w:left w:val="none" w:sz="0" w:space="0" w:color="auto"/>
        <w:bottom w:val="none" w:sz="0" w:space="0" w:color="auto"/>
        <w:right w:val="none" w:sz="0" w:space="0" w:color="auto"/>
      </w:divBdr>
    </w:div>
    <w:div w:id="1853639293">
      <w:bodyDiv w:val="1"/>
      <w:marLeft w:val="0"/>
      <w:marRight w:val="0"/>
      <w:marTop w:val="0"/>
      <w:marBottom w:val="0"/>
      <w:divBdr>
        <w:top w:val="none" w:sz="0" w:space="0" w:color="auto"/>
        <w:left w:val="none" w:sz="0" w:space="0" w:color="auto"/>
        <w:bottom w:val="none" w:sz="0" w:space="0" w:color="auto"/>
        <w:right w:val="none" w:sz="0" w:space="0" w:color="auto"/>
      </w:divBdr>
      <w:divsChild>
        <w:div w:id="351613925">
          <w:marLeft w:val="0"/>
          <w:marRight w:val="0"/>
          <w:marTop w:val="376"/>
          <w:marBottom w:val="376"/>
          <w:divBdr>
            <w:top w:val="none" w:sz="0" w:space="0" w:color="auto"/>
            <w:left w:val="none" w:sz="0" w:space="0" w:color="auto"/>
            <w:bottom w:val="none" w:sz="0" w:space="0" w:color="auto"/>
            <w:right w:val="none" w:sz="0" w:space="0" w:color="auto"/>
          </w:divBdr>
          <w:divsChild>
            <w:div w:id="1395541604">
              <w:marLeft w:val="0"/>
              <w:marRight w:val="0"/>
              <w:marTop w:val="0"/>
              <w:marBottom w:val="0"/>
              <w:divBdr>
                <w:top w:val="none" w:sz="0" w:space="0" w:color="auto"/>
                <w:left w:val="none" w:sz="0" w:space="0" w:color="auto"/>
                <w:bottom w:val="none" w:sz="0" w:space="0" w:color="auto"/>
                <w:right w:val="none" w:sz="0" w:space="0" w:color="auto"/>
              </w:divBdr>
              <w:divsChild>
                <w:div w:id="4818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6425">
      <w:bodyDiv w:val="1"/>
      <w:marLeft w:val="0"/>
      <w:marRight w:val="0"/>
      <w:marTop w:val="0"/>
      <w:marBottom w:val="0"/>
      <w:divBdr>
        <w:top w:val="none" w:sz="0" w:space="0" w:color="auto"/>
        <w:left w:val="none" w:sz="0" w:space="0" w:color="auto"/>
        <w:bottom w:val="none" w:sz="0" w:space="0" w:color="auto"/>
        <w:right w:val="none" w:sz="0" w:space="0" w:color="auto"/>
      </w:divBdr>
    </w:div>
    <w:div w:id="1987052264">
      <w:bodyDiv w:val="1"/>
      <w:marLeft w:val="0"/>
      <w:marRight w:val="0"/>
      <w:marTop w:val="0"/>
      <w:marBottom w:val="0"/>
      <w:divBdr>
        <w:top w:val="none" w:sz="0" w:space="0" w:color="auto"/>
        <w:left w:val="none" w:sz="0" w:space="0" w:color="auto"/>
        <w:bottom w:val="none" w:sz="0" w:space="0" w:color="auto"/>
        <w:right w:val="none" w:sz="0" w:space="0" w:color="auto"/>
      </w:divBdr>
    </w:div>
    <w:div w:id="2023389694">
      <w:bodyDiv w:val="1"/>
      <w:marLeft w:val="0"/>
      <w:marRight w:val="0"/>
      <w:marTop w:val="0"/>
      <w:marBottom w:val="0"/>
      <w:divBdr>
        <w:top w:val="none" w:sz="0" w:space="0" w:color="auto"/>
        <w:left w:val="none" w:sz="0" w:space="0" w:color="auto"/>
        <w:bottom w:val="none" w:sz="0" w:space="0" w:color="auto"/>
        <w:right w:val="none" w:sz="0" w:space="0" w:color="auto"/>
      </w:divBdr>
      <w:divsChild>
        <w:div w:id="2121607047">
          <w:marLeft w:val="0"/>
          <w:marRight w:val="0"/>
          <w:marTop w:val="0"/>
          <w:marBottom w:val="0"/>
          <w:divBdr>
            <w:top w:val="none" w:sz="0" w:space="0" w:color="auto"/>
            <w:left w:val="none" w:sz="0" w:space="0" w:color="auto"/>
            <w:bottom w:val="none" w:sz="0" w:space="0" w:color="auto"/>
            <w:right w:val="none" w:sz="0" w:space="0" w:color="auto"/>
          </w:divBdr>
          <w:divsChild>
            <w:div w:id="1641229642">
              <w:marLeft w:val="0"/>
              <w:marRight w:val="0"/>
              <w:marTop w:val="0"/>
              <w:marBottom w:val="0"/>
              <w:divBdr>
                <w:top w:val="none" w:sz="0" w:space="0" w:color="auto"/>
                <w:left w:val="none" w:sz="0" w:space="0" w:color="auto"/>
                <w:bottom w:val="none" w:sz="0" w:space="0" w:color="auto"/>
                <w:right w:val="none" w:sz="0" w:space="0" w:color="auto"/>
              </w:divBdr>
              <w:divsChild>
                <w:div w:id="1079323617">
                  <w:marLeft w:val="3231"/>
                  <w:marRight w:val="0"/>
                  <w:marTop w:val="0"/>
                  <w:marBottom w:val="0"/>
                  <w:divBdr>
                    <w:top w:val="none" w:sz="0" w:space="0" w:color="auto"/>
                    <w:left w:val="none" w:sz="0" w:space="0" w:color="auto"/>
                    <w:bottom w:val="none" w:sz="0" w:space="0" w:color="auto"/>
                    <w:right w:val="none" w:sz="0" w:space="0" w:color="auto"/>
                  </w:divBdr>
                  <w:divsChild>
                    <w:div w:id="794909550">
                      <w:marLeft w:val="0"/>
                      <w:marRight w:val="0"/>
                      <w:marTop w:val="0"/>
                      <w:marBottom w:val="250"/>
                      <w:divBdr>
                        <w:top w:val="none" w:sz="0" w:space="0" w:color="auto"/>
                        <w:left w:val="none" w:sz="0" w:space="0" w:color="auto"/>
                        <w:bottom w:val="none" w:sz="0" w:space="0" w:color="auto"/>
                        <w:right w:val="none" w:sz="0" w:space="0" w:color="auto"/>
                      </w:divBdr>
                      <w:divsChild>
                        <w:div w:id="15893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624624">
      <w:bodyDiv w:val="1"/>
      <w:marLeft w:val="0"/>
      <w:marRight w:val="0"/>
      <w:marTop w:val="0"/>
      <w:marBottom w:val="0"/>
      <w:divBdr>
        <w:top w:val="none" w:sz="0" w:space="0" w:color="auto"/>
        <w:left w:val="none" w:sz="0" w:space="0" w:color="auto"/>
        <w:bottom w:val="none" w:sz="0" w:space="0" w:color="auto"/>
        <w:right w:val="none" w:sz="0" w:space="0" w:color="auto"/>
      </w:divBdr>
    </w:div>
    <w:div w:id="2029596671">
      <w:bodyDiv w:val="1"/>
      <w:marLeft w:val="0"/>
      <w:marRight w:val="0"/>
      <w:marTop w:val="0"/>
      <w:marBottom w:val="0"/>
      <w:divBdr>
        <w:top w:val="none" w:sz="0" w:space="0" w:color="auto"/>
        <w:left w:val="none" w:sz="0" w:space="0" w:color="auto"/>
        <w:bottom w:val="none" w:sz="0" w:space="0" w:color="auto"/>
        <w:right w:val="none" w:sz="0" w:space="0" w:color="auto"/>
      </w:divBdr>
    </w:div>
    <w:div w:id="2035229013">
      <w:bodyDiv w:val="1"/>
      <w:marLeft w:val="0"/>
      <w:marRight w:val="0"/>
      <w:marTop w:val="0"/>
      <w:marBottom w:val="0"/>
      <w:divBdr>
        <w:top w:val="none" w:sz="0" w:space="0" w:color="auto"/>
        <w:left w:val="none" w:sz="0" w:space="0" w:color="auto"/>
        <w:bottom w:val="none" w:sz="0" w:space="0" w:color="auto"/>
        <w:right w:val="none" w:sz="0" w:space="0" w:color="auto"/>
      </w:divBdr>
    </w:div>
    <w:div w:id="2037609454">
      <w:bodyDiv w:val="1"/>
      <w:marLeft w:val="0"/>
      <w:marRight w:val="0"/>
      <w:marTop w:val="0"/>
      <w:marBottom w:val="0"/>
      <w:divBdr>
        <w:top w:val="none" w:sz="0" w:space="0" w:color="auto"/>
        <w:left w:val="none" w:sz="0" w:space="0" w:color="auto"/>
        <w:bottom w:val="none" w:sz="0" w:space="0" w:color="auto"/>
        <w:right w:val="none" w:sz="0" w:space="0" w:color="auto"/>
      </w:divBdr>
      <w:divsChild>
        <w:div w:id="12265254">
          <w:marLeft w:val="0"/>
          <w:marRight w:val="0"/>
          <w:marTop w:val="0"/>
          <w:marBottom w:val="0"/>
          <w:divBdr>
            <w:top w:val="none" w:sz="0" w:space="0" w:color="auto"/>
            <w:left w:val="none" w:sz="0" w:space="0" w:color="auto"/>
            <w:bottom w:val="none" w:sz="0" w:space="0" w:color="auto"/>
            <w:right w:val="none" w:sz="0" w:space="0" w:color="auto"/>
          </w:divBdr>
          <w:divsChild>
            <w:div w:id="1958290074">
              <w:marLeft w:val="0"/>
              <w:marRight w:val="0"/>
              <w:marTop w:val="0"/>
              <w:marBottom w:val="0"/>
              <w:divBdr>
                <w:top w:val="none" w:sz="0" w:space="0" w:color="auto"/>
                <w:left w:val="none" w:sz="0" w:space="0" w:color="auto"/>
                <w:bottom w:val="none" w:sz="0" w:space="0" w:color="auto"/>
                <w:right w:val="none" w:sz="0" w:space="0" w:color="auto"/>
              </w:divBdr>
              <w:divsChild>
                <w:div w:id="1831404080">
                  <w:marLeft w:val="4476"/>
                  <w:marRight w:val="0"/>
                  <w:marTop w:val="0"/>
                  <w:marBottom w:val="0"/>
                  <w:divBdr>
                    <w:top w:val="none" w:sz="0" w:space="0" w:color="auto"/>
                    <w:left w:val="none" w:sz="0" w:space="0" w:color="auto"/>
                    <w:bottom w:val="none" w:sz="0" w:space="0" w:color="auto"/>
                    <w:right w:val="none" w:sz="0" w:space="0" w:color="auto"/>
                  </w:divBdr>
                  <w:divsChild>
                    <w:div w:id="946158636">
                      <w:marLeft w:val="0"/>
                      <w:marRight w:val="0"/>
                      <w:marTop w:val="0"/>
                      <w:marBottom w:val="347"/>
                      <w:divBdr>
                        <w:top w:val="none" w:sz="0" w:space="0" w:color="auto"/>
                        <w:left w:val="none" w:sz="0" w:space="0" w:color="auto"/>
                        <w:bottom w:val="none" w:sz="0" w:space="0" w:color="auto"/>
                        <w:right w:val="none" w:sz="0" w:space="0" w:color="auto"/>
                      </w:divBdr>
                      <w:divsChild>
                        <w:div w:id="14832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en.wikipedia.org/wiki/Service_(economics)" TargetMode="External"/><Relationship Id="rId26" Type="http://schemas.openxmlformats.org/officeDocument/2006/relationships/hyperlink" Target="http://www.acma.gov.au/theACMA/research-report-australia-in-the-digital-economy-consumer-engagement-in-ecommerce" TargetMode="External"/><Relationship Id="rId39" Type="http://schemas.openxmlformats.org/officeDocument/2006/relationships/customXml" Target="../customXml/item4.xml"/><Relationship Id="rId21" Type="http://schemas.openxmlformats.org/officeDocument/2006/relationships/image" Target="media/image2.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pedia.org/wiki/Electronic_commerce" TargetMode="External"/><Relationship Id="rId25" Type="http://schemas.openxmlformats.org/officeDocument/2006/relationships/hyperlink" Target="http://www.abs.gov.au/ausstats/abs@.nsf/mf/8146.0" TargetMode="External"/><Relationship Id="rId33" Type="http://schemas.openxmlformats.org/officeDocument/2006/relationships/header" Target="header7.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n.wikipedia.org/wiki/Service_(economics)" TargetMode="External"/><Relationship Id="rId29" Type="http://schemas.openxmlformats.org/officeDocument/2006/relationships/hyperlink" Target="http://www.pc.gov.au/projects/inquiry/retail-industry/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eader" Target="header6.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hyperlink" Target="http://www.agriculture.gov.au/biosecurity/import/general-info/documentary-requirements/minimum-document-requirements-policy"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n.wikipedia.org/wiki/Electronic_commerce" TargetMode="External"/><Relationship Id="rId31" Type="http://schemas.openxmlformats.org/officeDocument/2006/relationships/hyperlink" Target="http://www.treasury.gov.au/PublicationsAndMedia/Publications/2012/Low-Value-Parcel-Process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www.anao.gov.au/Publications/Audit-Reports/2013-2014/Screening-of-International-Mail" TargetMode="External"/><Relationship Id="rId30" Type="http://schemas.openxmlformats.org/officeDocument/2006/relationships/hyperlink" Target="http://www.caws.org.au/awc/2014/awc201411821.pdf"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E813A778C1B4BAD7753BE6071BE58" ma:contentTypeVersion="1" ma:contentTypeDescription="Create a new document." ma:contentTypeScope="" ma:versionID="d0303b744bc782e292a6ab8d29c03290">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07C030-956D-4303-88DE-B3B824B9DDAE}"/>
</file>

<file path=customXml/itemProps2.xml><?xml version="1.0" encoding="utf-8"?>
<ds:datastoreItem xmlns:ds="http://schemas.openxmlformats.org/officeDocument/2006/customXml" ds:itemID="{7306A4ED-F0A4-436C-BBEC-2CC3087E1ED5}"/>
</file>

<file path=customXml/itemProps3.xml><?xml version="1.0" encoding="utf-8"?>
<ds:datastoreItem xmlns:ds="http://schemas.openxmlformats.org/officeDocument/2006/customXml" ds:itemID="{478669B8-4239-4B00-A097-1B113D442814}"/>
</file>

<file path=customXml/itemProps4.xml><?xml version="1.0" encoding="utf-8"?>
<ds:datastoreItem xmlns:ds="http://schemas.openxmlformats.org/officeDocument/2006/customXml" ds:itemID="{B71F42F0-9338-43C9-951A-3EAD61D31E32}"/>
</file>

<file path=docProps/app.xml><?xml version="1.0" encoding="utf-8"?>
<Properties xmlns="http://schemas.openxmlformats.org/officeDocument/2006/extended-properties" xmlns:vt="http://schemas.openxmlformats.org/officeDocument/2006/docPropsVTypes">
  <Template>Normal.dotm</Template>
  <TotalTime>37</TotalTime>
  <Pages>40</Pages>
  <Words>12274</Words>
  <Characters>69962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OFFICE OF THE</vt:lpstr>
    </vt:vector>
  </TitlesOfParts>
  <Company>Department of Agriculture Fisheries &amp; Forestry</Company>
  <LinksUpToDate>false</LinksUpToDate>
  <CharactersWithSpaces>82072</CharactersWithSpaces>
  <SharedDoc>false</SharedDoc>
  <HLinks>
    <vt:vector size="66" baseType="variant">
      <vt:variant>
        <vt:i4>5636113</vt:i4>
      </vt:variant>
      <vt:variant>
        <vt:i4>84</vt:i4>
      </vt:variant>
      <vt:variant>
        <vt:i4>0</vt:i4>
      </vt:variant>
      <vt:variant>
        <vt:i4>5</vt:i4>
      </vt:variant>
      <vt:variant>
        <vt:lpwstr>http://www.treasury.gov.au/PublicationsAndMedia/Publications/2012/Low-Value-Parcel-Processing</vt:lpwstr>
      </vt:variant>
      <vt:variant>
        <vt:lpwstr/>
      </vt:variant>
      <vt:variant>
        <vt:i4>4980759</vt:i4>
      </vt:variant>
      <vt:variant>
        <vt:i4>81</vt:i4>
      </vt:variant>
      <vt:variant>
        <vt:i4>0</vt:i4>
      </vt:variant>
      <vt:variant>
        <vt:i4>5</vt:i4>
      </vt:variant>
      <vt:variant>
        <vt:lpwstr>http://www.caws.org.au/awc/2014/awc201411821.pdf</vt:lpwstr>
      </vt:variant>
      <vt:variant>
        <vt:lpwstr/>
      </vt:variant>
      <vt:variant>
        <vt:i4>1245256</vt:i4>
      </vt:variant>
      <vt:variant>
        <vt:i4>78</vt:i4>
      </vt:variant>
      <vt:variant>
        <vt:i4>0</vt:i4>
      </vt:variant>
      <vt:variant>
        <vt:i4>5</vt:i4>
      </vt:variant>
      <vt:variant>
        <vt:lpwstr>http://www.pc.gov.au/projects/inquiry/retail-industry/report</vt:lpwstr>
      </vt:variant>
      <vt:variant>
        <vt:lpwstr/>
      </vt:variant>
      <vt:variant>
        <vt:i4>6815864</vt:i4>
      </vt:variant>
      <vt:variant>
        <vt:i4>75</vt:i4>
      </vt:variant>
      <vt:variant>
        <vt:i4>0</vt:i4>
      </vt:variant>
      <vt:variant>
        <vt:i4>5</vt:i4>
      </vt:variant>
      <vt:variant>
        <vt:lpwstr>http://www.agriculture.gov.au/biosecurity/import/general-info/documentary-requirements/minimum-document-requirements-policy</vt:lpwstr>
      </vt:variant>
      <vt:variant>
        <vt:lpwstr/>
      </vt:variant>
      <vt:variant>
        <vt:i4>6291519</vt:i4>
      </vt:variant>
      <vt:variant>
        <vt:i4>72</vt:i4>
      </vt:variant>
      <vt:variant>
        <vt:i4>0</vt:i4>
      </vt:variant>
      <vt:variant>
        <vt:i4>5</vt:i4>
      </vt:variant>
      <vt:variant>
        <vt:lpwstr>http://www.anao.gov.au/Publications/Audit-Reports/2013-2014/Screening-of-International-Mail</vt:lpwstr>
      </vt:variant>
      <vt:variant>
        <vt:lpwstr/>
      </vt:variant>
      <vt:variant>
        <vt:i4>4522074</vt:i4>
      </vt:variant>
      <vt:variant>
        <vt:i4>69</vt:i4>
      </vt:variant>
      <vt:variant>
        <vt:i4>0</vt:i4>
      </vt:variant>
      <vt:variant>
        <vt:i4>5</vt:i4>
      </vt:variant>
      <vt:variant>
        <vt:lpwstr>http://www.acma.gov.au/theACMA/research-report-australia-in-the-digital-economy-consumer-engagement-in-ecommerce</vt:lpwstr>
      </vt:variant>
      <vt:variant>
        <vt:lpwstr/>
      </vt:variant>
      <vt:variant>
        <vt:i4>5636218</vt:i4>
      </vt:variant>
      <vt:variant>
        <vt:i4>66</vt:i4>
      </vt:variant>
      <vt:variant>
        <vt:i4>0</vt:i4>
      </vt:variant>
      <vt:variant>
        <vt:i4>5</vt:i4>
      </vt:variant>
      <vt:variant>
        <vt:lpwstr>http://www.abs.gov.au/ausstats/abs@.nsf/mf/8146.0</vt:lpwstr>
      </vt:variant>
      <vt:variant>
        <vt:lpwstr/>
      </vt:variant>
      <vt:variant>
        <vt:i4>1048677</vt:i4>
      </vt:variant>
      <vt:variant>
        <vt:i4>63</vt:i4>
      </vt:variant>
      <vt:variant>
        <vt:i4>0</vt:i4>
      </vt:variant>
      <vt:variant>
        <vt:i4>5</vt:i4>
      </vt:variant>
      <vt:variant>
        <vt:lpwstr>http://en.wikipedia.org/wiki/Service_(economics)</vt:lpwstr>
      </vt:variant>
      <vt:variant>
        <vt:lpwstr/>
      </vt:variant>
      <vt:variant>
        <vt:i4>2555981</vt:i4>
      </vt:variant>
      <vt:variant>
        <vt:i4>60</vt:i4>
      </vt:variant>
      <vt:variant>
        <vt:i4>0</vt:i4>
      </vt:variant>
      <vt:variant>
        <vt:i4>5</vt:i4>
      </vt:variant>
      <vt:variant>
        <vt:lpwstr>http://en.wikipedia.org/wiki/Electronic_commerce</vt:lpwstr>
      </vt:variant>
      <vt:variant>
        <vt:lpwstr/>
      </vt:variant>
      <vt:variant>
        <vt:i4>1048677</vt:i4>
      </vt:variant>
      <vt:variant>
        <vt:i4>57</vt:i4>
      </vt:variant>
      <vt:variant>
        <vt:i4>0</vt:i4>
      </vt:variant>
      <vt:variant>
        <vt:i4>5</vt:i4>
      </vt:variant>
      <vt:variant>
        <vt:lpwstr>http://en.wikipedia.org/wiki/Service_(economics)</vt:lpwstr>
      </vt:variant>
      <vt:variant>
        <vt:lpwstr/>
      </vt:variant>
      <vt:variant>
        <vt:i4>2555981</vt:i4>
      </vt:variant>
      <vt:variant>
        <vt:i4>54</vt:i4>
      </vt:variant>
      <vt:variant>
        <vt:i4>0</vt:i4>
      </vt:variant>
      <vt:variant>
        <vt:i4>5</vt:i4>
      </vt:variant>
      <vt:variant>
        <vt:lpwstr>http://en.wikipedia.org/wiki/Electronic_commerce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dc:title>
  <dc:creator>Muller, Jonathan</dc:creator>
  <cp:lastModifiedBy>Jonathan Muller</cp:lastModifiedBy>
  <cp:revision>11</cp:revision>
  <cp:lastPrinted>2015-03-03T23:58:00Z</cp:lastPrinted>
  <dcterms:created xsi:type="dcterms:W3CDTF">2015-03-03T21:15:00Z</dcterms:created>
  <dcterms:modified xsi:type="dcterms:W3CDTF">2015-03-03T23:58:00Z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0x010100717E813A778C1B4BAD7753BE6071BE58</vt:lpwstr>
  </property>
</Properties>
</file>