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57E08A" w14:textId="07F9BF6D" w:rsidR="006B1FD7" w:rsidRDefault="006B1FD7" w:rsidP="005B72F1">
      <w:pPr>
        <w:spacing w:after="60" w:line="240" w:lineRule="auto"/>
        <w:rPr>
          <w:rFonts w:eastAsiaTheme="minorEastAsia"/>
          <w:b/>
          <w:sz w:val="28"/>
          <w:szCs w:val="28"/>
          <w:lang w:eastAsia="en-AU"/>
        </w:rPr>
      </w:pPr>
      <w:r>
        <w:rPr>
          <w:rFonts w:eastAsiaTheme="minorEastAsia"/>
          <w:b/>
          <w:noProof/>
          <w:sz w:val="28"/>
          <w:szCs w:val="28"/>
          <w:lang w:eastAsia="en-AU"/>
        </w:rPr>
        <w:drawing>
          <wp:inline distT="0" distB="0" distL="0" distR="0" wp14:anchorId="13315CCB" wp14:editId="296C469C">
            <wp:extent cx="2036068" cy="1042418"/>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GB_cres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36068" cy="1042418"/>
                    </a:xfrm>
                    <a:prstGeom prst="rect">
                      <a:avLst/>
                    </a:prstGeom>
                  </pic:spPr>
                </pic:pic>
              </a:graphicData>
            </a:graphic>
          </wp:inline>
        </w:drawing>
      </w:r>
    </w:p>
    <w:p w14:paraId="31ED39C7" w14:textId="7332A4A5" w:rsidR="006C7901" w:rsidRPr="00B401CF" w:rsidRDefault="00B401CF" w:rsidP="00B401CF">
      <w:pPr>
        <w:pStyle w:val="Heading1"/>
      </w:pPr>
      <w:r w:rsidRPr="00B401CF">
        <w:t>Confidence testing for critical biosecurity functions r</w:t>
      </w:r>
      <w:r w:rsidR="006C7901" w:rsidRPr="00B401CF">
        <w:t>eview</w:t>
      </w:r>
    </w:p>
    <w:p w14:paraId="74CE543E" w14:textId="77777777" w:rsidR="006C7901" w:rsidRPr="002E1B21" w:rsidRDefault="006C7901" w:rsidP="006C7901">
      <w:pPr>
        <w:spacing w:before="60" w:after="0" w:line="240" w:lineRule="auto"/>
        <w:rPr>
          <w:rFonts w:eastAsiaTheme="minorEastAsia"/>
          <w:b/>
          <w:sz w:val="24"/>
          <w:szCs w:val="24"/>
          <w:lang w:val="en" w:eastAsia="en-AU"/>
        </w:rPr>
      </w:pPr>
      <w:r w:rsidRPr="002E1B21">
        <w:rPr>
          <w:rFonts w:eastAsiaTheme="minorEastAsia"/>
          <w:b/>
          <w:sz w:val="24"/>
          <w:szCs w:val="24"/>
          <w:lang w:val="en" w:eastAsia="en-AU"/>
        </w:rPr>
        <w:t xml:space="preserve">Confidence testing for critical biosecurity functions—a review of the department’s policies, systems, personnel capability, </w:t>
      </w:r>
      <w:proofErr w:type="gramStart"/>
      <w:r w:rsidRPr="002E1B21">
        <w:rPr>
          <w:rFonts w:eastAsiaTheme="minorEastAsia"/>
          <w:b/>
          <w:sz w:val="24"/>
          <w:szCs w:val="24"/>
          <w:lang w:val="en" w:eastAsia="en-AU"/>
        </w:rPr>
        <w:t>processes</w:t>
      </w:r>
      <w:proofErr w:type="gramEnd"/>
      <w:r w:rsidRPr="002E1B21">
        <w:rPr>
          <w:rFonts w:eastAsiaTheme="minorEastAsia"/>
          <w:b/>
          <w:sz w:val="24"/>
          <w:szCs w:val="24"/>
          <w:lang w:val="en" w:eastAsia="en-AU"/>
        </w:rPr>
        <w:t xml:space="preserve"> and communication to support discharge of biosecurity responsibilities at the frontline</w:t>
      </w:r>
    </w:p>
    <w:p w14:paraId="2A82BD45" w14:textId="77777777" w:rsidR="006C7901" w:rsidRPr="009F0624" w:rsidRDefault="006C7901" w:rsidP="00B401CF">
      <w:pPr>
        <w:pStyle w:val="Heading2"/>
      </w:pPr>
      <w:r w:rsidRPr="00B401CF">
        <w:t>Objective</w:t>
      </w:r>
    </w:p>
    <w:p w14:paraId="74A3C586" w14:textId="77777777" w:rsidR="006C7901" w:rsidRPr="006C7901" w:rsidRDefault="006C7901" w:rsidP="006C7901">
      <w:pPr>
        <w:tabs>
          <w:tab w:val="left" w:pos="1708"/>
        </w:tabs>
        <w:spacing w:before="60" w:after="0" w:line="240" w:lineRule="auto"/>
        <w:rPr>
          <w:rFonts w:eastAsiaTheme="minorEastAsia"/>
          <w:sz w:val="24"/>
          <w:szCs w:val="24"/>
          <w:lang w:eastAsia="en-AU"/>
        </w:rPr>
      </w:pPr>
      <w:r w:rsidRPr="006C7901">
        <w:rPr>
          <w:rFonts w:eastAsiaTheme="minorEastAsia"/>
          <w:sz w:val="24"/>
          <w:szCs w:val="24"/>
          <w:lang w:eastAsia="en-AU"/>
        </w:rPr>
        <w:t xml:space="preserve">To examine the effectiveness of the Department of Agriculture, </w:t>
      </w:r>
      <w:proofErr w:type="gramStart"/>
      <w:r w:rsidRPr="006C7901">
        <w:rPr>
          <w:rFonts w:eastAsiaTheme="minorEastAsia"/>
          <w:sz w:val="24"/>
          <w:szCs w:val="24"/>
          <w:lang w:eastAsia="en-AU"/>
        </w:rPr>
        <w:t>Water</w:t>
      </w:r>
      <w:proofErr w:type="gramEnd"/>
      <w:r w:rsidRPr="006C7901">
        <w:rPr>
          <w:rFonts w:eastAsiaTheme="minorEastAsia"/>
          <w:sz w:val="24"/>
          <w:szCs w:val="24"/>
          <w:lang w:eastAsia="en-AU"/>
        </w:rPr>
        <w:t xml:space="preserve"> and the Environment’s (the department’s) systems, policies and processes in place to support biosecurity officers in the discharge of their frontline prevention biosecurity responsibilities, including in cooperation with other agencies.</w:t>
      </w:r>
    </w:p>
    <w:p w14:paraId="49DD8E21" w14:textId="77777777" w:rsidR="006C7901" w:rsidRPr="009F0624" w:rsidRDefault="006C7901" w:rsidP="00B401CF">
      <w:pPr>
        <w:pStyle w:val="Heading2"/>
      </w:pPr>
      <w:r w:rsidRPr="009F0624">
        <w:t>Context</w:t>
      </w:r>
    </w:p>
    <w:p w14:paraId="53A269EB" w14:textId="758DC0EF" w:rsidR="006C7901" w:rsidRPr="006C7901" w:rsidRDefault="006C7901" w:rsidP="006C7901">
      <w:pPr>
        <w:tabs>
          <w:tab w:val="left" w:pos="1708"/>
        </w:tabs>
        <w:spacing w:before="60" w:after="0" w:line="240" w:lineRule="auto"/>
        <w:rPr>
          <w:rFonts w:eastAsiaTheme="minorEastAsia"/>
          <w:sz w:val="24"/>
          <w:szCs w:val="24"/>
          <w:lang w:eastAsia="en-AU"/>
        </w:rPr>
      </w:pPr>
      <w:r w:rsidRPr="006C7901">
        <w:rPr>
          <w:rFonts w:eastAsiaTheme="minorEastAsia"/>
          <w:sz w:val="24"/>
          <w:szCs w:val="24"/>
          <w:lang w:eastAsia="en-AU"/>
        </w:rPr>
        <w:t xml:space="preserve">On 14 August 2020, the New South Wales (NSW) government released a </w:t>
      </w:r>
      <w:hyperlink r:id="rId8" w:history="1">
        <w:r w:rsidRPr="006C7901">
          <w:rPr>
            <w:rStyle w:val="Hyperlink"/>
            <w:rFonts w:eastAsiaTheme="minorEastAsia"/>
            <w:sz w:val="24"/>
            <w:szCs w:val="24"/>
            <w:lang w:eastAsia="en-AU"/>
          </w:rPr>
          <w:t>report</w:t>
        </w:r>
      </w:hyperlink>
      <w:r w:rsidRPr="006C7901">
        <w:rPr>
          <w:rFonts w:eastAsiaTheme="minorEastAsia"/>
          <w:sz w:val="24"/>
          <w:szCs w:val="24"/>
          <w:lang w:eastAsia="en-AU"/>
        </w:rPr>
        <w:t xml:space="preserve"> of the NSW Special Commission of Inquiry into Ruby Princess</w:t>
      </w:r>
      <w:r w:rsidR="004932FD">
        <w:rPr>
          <w:rFonts w:eastAsiaTheme="minorEastAsia"/>
          <w:sz w:val="24"/>
          <w:szCs w:val="24"/>
          <w:lang w:eastAsia="en-AU"/>
        </w:rPr>
        <w:t xml:space="preserve"> cruise liner</w:t>
      </w:r>
      <w:r w:rsidRPr="006C7901">
        <w:rPr>
          <w:rFonts w:eastAsiaTheme="minorEastAsia"/>
          <w:sz w:val="24"/>
          <w:szCs w:val="24"/>
          <w:lang w:eastAsia="en-AU"/>
        </w:rPr>
        <w:t xml:space="preserve"> incident. The report identified areas for improvement in the way in which the department delivers some of its biosecurity functions.</w:t>
      </w:r>
    </w:p>
    <w:p w14:paraId="18C645B9" w14:textId="1D4562C4" w:rsidR="006C7901" w:rsidRPr="006C7901" w:rsidRDefault="006C7901" w:rsidP="006C7901">
      <w:pPr>
        <w:tabs>
          <w:tab w:val="left" w:pos="1708"/>
        </w:tabs>
        <w:spacing w:before="120" w:after="0" w:line="240" w:lineRule="auto"/>
        <w:rPr>
          <w:rFonts w:eastAsiaTheme="minorEastAsia"/>
          <w:sz w:val="24"/>
          <w:szCs w:val="24"/>
          <w:lang w:eastAsia="en-AU"/>
        </w:rPr>
      </w:pPr>
      <w:r w:rsidRPr="006C7901">
        <w:rPr>
          <w:rFonts w:eastAsiaTheme="minorEastAsia"/>
          <w:sz w:val="24"/>
          <w:szCs w:val="24"/>
          <w:lang w:eastAsia="en-AU"/>
        </w:rPr>
        <w:t xml:space="preserve">On 26 August 2010, </w:t>
      </w:r>
      <w:r w:rsidR="00BD0E37">
        <w:rPr>
          <w:rFonts w:eastAsiaTheme="minorEastAsia"/>
          <w:sz w:val="24"/>
          <w:szCs w:val="24"/>
          <w:lang w:eastAsia="en-AU"/>
        </w:rPr>
        <w:t xml:space="preserve">the </w:t>
      </w:r>
      <w:r w:rsidR="00BD0E37" w:rsidRPr="00BD0E37">
        <w:rPr>
          <w:rFonts w:eastAsiaTheme="minorEastAsia"/>
          <w:sz w:val="24"/>
          <w:szCs w:val="24"/>
          <w:lang w:eastAsia="en-AU"/>
        </w:rPr>
        <w:t>Minister for Agriculture, Drought and Emergency Management</w:t>
      </w:r>
      <w:r w:rsidR="00BD0E37">
        <w:rPr>
          <w:rFonts w:eastAsiaTheme="minorEastAsia"/>
          <w:sz w:val="24"/>
          <w:szCs w:val="24"/>
          <w:lang w:eastAsia="en-AU"/>
        </w:rPr>
        <w:t xml:space="preserve">, </w:t>
      </w:r>
      <w:r w:rsidRPr="006C7901">
        <w:rPr>
          <w:rFonts w:eastAsiaTheme="minorEastAsia"/>
          <w:sz w:val="24"/>
          <w:szCs w:val="24"/>
          <w:lang w:eastAsia="en-AU"/>
        </w:rPr>
        <w:t>Hon</w:t>
      </w:r>
      <w:r w:rsidR="00BD0E37">
        <w:rPr>
          <w:rFonts w:eastAsiaTheme="minorEastAsia"/>
          <w:sz w:val="24"/>
          <w:szCs w:val="24"/>
          <w:lang w:eastAsia="en-AU"/>
        </w:rPr>
        <w:t> </w:t>
      </w:r>
      <w:r w:rsidRPr="006C7901">
        <w:rPr>
          <w:rFonts w:eastAsiaTheme="minorEastAsia"/>
          <w:sz w:val="24"/>
          <w:szCs w:val="24"/>
          <w:lang w:eastAsia="en-AU"/>
        </w:rPr>
        <w:t xml:space="preserve">David </w:t>
      </w:r>
      <w:proofErr w:type="spellStart"/>
      <w:r w:rsidRPr="006C7901">
        <w:rPr>
          <w:rFonts w:eastAsiaTheme="minorEastAsia"/>
          <w:sz w:val="24"/>
          <w:szCs w:val="24"/>
          <w:lang w:eastAsia="en-AU"/>
        </w:rPr>
        <w:t>Littleproud</w:t>
      </w:r>
      <w:proofErr w:type="spellEnd"/>
      <w:r w:rsidRPr="006C7901">
        <w:rPr>
          <w:rFonts w:eastAsiaTheme="minorEastAsia"/>
          <w:sz w:val="24"/>
          <w:szCs w:val="24"/>
          <w:lang w:eastAsia="en-AU"/>
        </w:rPr>
        <w:t xml:space="preserve"> MP requested the </w:t>
      </w:r>
      <w:r w:rsidR="00E03A5F">
        <w:rPr>
          <w:rFonts w:eastAsiaTheme="minorEastAsia"/>
          <w:sz w:val="24"/>
          <w:szCs w:val="24"/>
          <w:lang w:eastAsia="en-AU"/>
        </w:rPr>
        <w:t xml:space="preserve">Inspector-General of Biosecurity </w:t>
      </w:r>
      <w:r w:rsidRPr="006C7901">
        <w:rPr>
          <w:rFonts w:eastAsiaTheme="minorEastAsia"/>
          <w:sz w:val="24"/>
          <w:szCs w:val="24"/>
          <w:lang w:eastAsia="en-AU"/>
        </w:rPr>
        <w:t>to complete a review of relevant issues, including (in summary) the department’s:</w:t>
      </w:r>
    </w:p>
    <w:p w14:paraId="096D8C86" w14:textId="77777777" w:rsidR="006C7901" w:rsidRPr="006C7901" w:rsidRDefault="006C7901" w:rsidP="007B50CF">
      <w:pPr>
        <w:numPr>
          <w:ilvl w:val="0"/>
          <w:numId w:val="12"/>
        </w:numPr>
        <w:tabs>
          <w:tab w:val="left" w:pos="1708"/>
        </w:tabs>
        <w:spacing w:before="60" w:after="0" w:line="240" w:lineRule="auto"/>
        <w:ind w:left="357" w:hanging="357"/>
        <w:rPr>
          <w:rFonts w:ascii="Calibri" w:eastAsia="Calibri" w:hAnsi="Calibri"/>
          <w:sz w:val="24"/>
          <w:szCs w:val="24"/>
          <w:lang w:eastAsia="en-AU"/>
        </w:rPr>
      </w:pPr>
      <w:r w:rsidRPr="006C7901">
        <w:rPr>
          <w:rFonts w:ascii="Calibri" w:eastAsia="Calibri" w:hAnsi="Calibri"/>
          <w:sz w:val="24"/>
          <w:szCs w:val="24"/>
          <w:lang w:eastAsia="en-AU"/>
        </w:rPr>
        <w:t>awareness of its responsibilities and that of other agencies,</w:t>
      </w:r>
    </w:p>
    <w:p w14:paraId="4AB49AA4" w14:textId="77777777" w:rsidR="006C7901" w:rsidRPr="006C7901" w:rsidRDefault="006C7901" w:rsidP="007B50CF">
      <w:pPr>
        <w:numPr>
          <w:ilvl w:val="0"/>
          <w:numId w:val="12"/>
        </w:numPr>
        <w:tabs>
          <w:tab w:val="left" w:pos="1708"/>
        </w:tabs>
        <w:spacing w:before="60" w:after="0" w:line="240" w:lineRule="auto"/>
        <w:ind w:left="357" w:hanging="357"/>
        <w:rPr>
          <w:rFonts w:ascii="Calibri" w:eastAsia="Calibri" w:hAnsi="Calibri"/>
          <w:sz w:val="24"/>
          <w:szCs w:val="24"/>
          <w:lang w:eastAsia="en-AU"/>
        </w:rPr>
      </w:pPr>
      <w:r w:rsidRPr="006C7901">
        <w:rPr>
          <w:rFonts w:ascii="Calibri" w:eastAsia="Calibri" w:hAnsi="Calibri"/>
          <w:sz w:val="24"/>
          <w:szCs w:val="24"/>
          <w:lang w:eastAsia="en-AU"/>
        </w:rPr>
        <w:t>communication and interaction with other agencies, and</w:t>
      </w:r>
    </w:p>
    <w:p w14:paraId="0D9D54A2" w14:textId="77777777" w:rsidR="006C7901" w:rsidRPr="006C7901" w:rsidRDefault="006C7901" w:rsidP="007B50CF">
      <w:pPr>
        <w:numPr>
          <w:ilvl w:val="0"/>
          <w:numId w:val="12"/>
        </w:numPr>
        <w:tabs>
          <w:tab w:val="left" w:pos="1708"/>
        </w:tabs>
        <w:spacing w:before="60" w:after="0" w:line="240" w:lineRule="auto"/>
        <w:ind w:left="357" w:hanging="357"/>
        <w:rPr>
          <w:rFonts w:ascii="Calibri" w:eastAsia="Calibri" w:hAnsi="Calibri"/>
          <w:sz w:val="24"/>
          <w:szCs w:val="24"/>
          <w:lang w:eastAsia="en-AU"/>
        </w:rPr>
      </w:pPr>
      <w:r w:rsidRPr="006C7901">
        <w:rPr>
          <w:rFonts w:ascii="Calibri" w:eastAsia="Calibri" w:hAnsi="Calibri"/>
          <w:sz w:val="24"/>
          <w:szCs w:val="24"/>
          <w:lang w:eastAsia="en-AU"/>
        </w:rPr>
        <w:t>protocols and procedures for delivering border biosecurity functions.</w:t>
      </w:r>
    </w:p>
    <w:p w14:paraId="48E84855" w14:textId="6D239390" w:rsidR="006C7901" w:rsidRPr="00B401CF" w:rsidRDefault="006C7901" w:rsidP="00B401CF">
      <w:pPr>
        <w:pStyle w:val="Heading1"/>
        <w:rPr>
          <w:b w:val="0"/>
          <w:color w:val="auto"/>
          <w:sz w:val="24"/>
          <w:szCs w:val="24"/>
        </w:rPr>
      </w:pPr>
      <w:r w:rsidRPr="00B401CF">
        <w:rPr>
          <w:b w:val="0"/>
          <w:color w:val="auto"/>
          <w:sz w:val="24"/>
          <w:szCs w:val="24"/>
        </w:rPr>
        <w:t>The Inspector-General considers it is unlikely that the issues that led to weaknesses in the department’s role in the Ruby Princess incident are limited to a pathway (cruise</w:t>
      </w:r>
      <w:r w:rsidR="004932FD" w:rsidRPr="00B401CF">
        <w:rPr>
          <w:b w:val="0"/>
          <w:color w:val="auto"/>
          <w:sz w:val="24"/>
          <w:szCs w:val="24"/>
        </w:rPr>
        <w:t>, cargo and live animal export</w:t>
      </w:r>
      <w:r w:rsidRPr="00B401CF">
        <w:rPr>
          <w:b w:val="0"/>
          <w:color w:val="auto"/>
          <w:sz w:val="24"/>
          <w:szCs w:val="24"/>
        </w:rPr>
        <w:t xml:space="preserve"> ships), a region or specific First Point of Entry (Sydney) or human health (COVID-19) risks. This review will have an initial focus on the issues leading to weaknesses in the department’s role with respect to the Ruby Princess incident—following which, a similar analysis to other risk areas, where the consequences of regulatory failures may be extreme, will be applied.</w:t>
      </w:r>
    </w:p>
    <w:p w14:paraId="43FB7AB5" w14:textId="77777777" w:rsidR="007458AC" w:rsidRPr="009F0624" w:rsidRDefault="007458AC" w:rsidP="00B401CF">
      <w:pPr>
        <w:pStyle w:val="Heading2"/>
      </w:pPr>
      <w:r w:rsidRPr="009F0624">
        <w:t>Background</w:t>
      </w:r>
    </w:p>
    <w:p w14:paraId="390A0D1B" w14:textId="77777777" w:rsidR="005D0B08" w:rsidRPr="005D0B08" w:rsidRDefault="005D0B08" w:rsidP="00DD43DB">
      <w:pPr>
        <w:spacing w:before="120" w:after="0" w:line="240" w:lineRule="auto"/>
        <w:rPr>
          <w:rFonts w:eastAsiaTheme="minorEastAsia"/>
          <w:sz w:val="24"/>
          <w:szCs w:val="24"/>
          <w:lang w:eastAsia="en-AU"/>
        </w:rPr>
      </w:pPr>
      <w:r w:rsidRPr="005D0B08">
        <w:rPr>
          <w:rFonts w:eastAsiaTheme="minorEastAsia"/>
          <w:sz w:val="24"/>
          <w:szCs w:val="24"/>
          <w:lang w:eastAsia="en-AU"/>
        </w:rPr>
        <w:t>While Australia’s geographical isolation has played a key role in maintaining this status, its isolation as an island nation is rapidly changing as the barriers of time and distance become less relevant and international travel and trade increase.</w:t>
      </w:r>
    </w:p>
    <w:p w14:paraId="51A59834" w14:textId="77777777" w:rsidR="005D0B08" w:rsidRPr="005D0B08" w:rsidRDefault="005D0B08" w:rsidP="00DD43DB">
      <w:pPr>
        <w:spacing w:before="120" w:after="0" w:line="240" w:lineRule="auto"/>
        <w:rPr>
          <w:rFonts w:eastAsiaTheme="minorEastAsia"/>
          <w:sz w:val="24"/>
          <w:szCs w:val="24"/>
          <w:lang w:eastAsia="en-AU"/>
        </w:rPr>
      </w:pPr>
      <w:r w:rsidRPr="005D0B08">
        <w:rPr>
          <w:rFonts w:eastAsiaTheme="minorEastAsia"/>
          <w:sz w:val="24"/>
          <w:szCs w:val="24"/>
          <w:lang w:eastAsia="en-AU"/>
        </w:rPr>
        <w:t>With more than 60,000 kilometres of coastline offering a variety of pathways for exotic pests and diseases, the department screens, inspects and clears the millions of people, mail parcels, baggage, ships, animals, plants and cargo containers entering Australia every year—using intervention by regulatory officers, plus such tools as X-ray machines, surveillance and detector dogs.</w:t>
      </w:r>
    </w:p>
    <w:p w14:paraId="58CCE319" w14:textId="77777777" w:rsidR="005D0B08" w:rsidRPr="005D0B08" w:rsidRDefault="005D0B08" w:rsidP="00DD43DB">
      <w:pPr>
        <w:spacing w:before="120" w:after="0" w:line="240" w:lineRule="auto"/>
        <w:rPr>
          <w:rFonts w:eastAsiaTheme="minorEastAsia"/>
          <w:sz w:val="24"/>
          <w:szCs w:val="24"/>
          <w:lang w:eastAsia="en-AU"/>
        </w:rPr>
      </w:pPr>
      <w:r w:rsidRPr="005D0B08">
        <w:rPr>
          <w:rFonts w:eastAsiaTheme="minorEastAsia"/>
          <w:sz w:val="24"/>
          <w:szCs w:val="24"/>
          <w:lang w:eastAsia="en-AU"/>
        </w:rPr>
        <w:lastRenderedPageBreak/>
        <w:t>The department is the lead regulatory agency for managing biosecurity in Australia. Biosecurity controls at Australia’s borders minimise the risk of exotic pests and diseases entering Australia, protect the health of the Australian people, and our $32 billion agriculture export industries as well as our unique environment, native flora and fauna, our tourism industries and lifestyle. Biosecurity risks are increasing due to increased scale and speed of global trade and travel, increased agricultural expansion and intensification, increased urbanisation close to farmlands, and climate change.</w:t>
      </w:r>
    </w:p>
    <w:p w14:paraId="4731189D" w14:textId="17906836" w:rsidR="005D0B08" w:rsidRPr="005D0B08" w:rsidRDefault="005D0B08" w:rsidP="00DD43DB">
      <w:pPr>
        <w:spacing w:before="120" w:after="0" w:line="240" w:lineRule="auto"/>
        <w:rPr>
          <w:rFonts w:eastAsiaTheme="minorEastAsia"/>
          <w:sz w:val="24"/>
          <w:szCs w:val="24"/>
          <w:lang w:eastAsia="en-AU"/>
        </w:rPr>
      </w:pPr>
      <w:r w:rsidRPr="005D0B08">
        <w:rPr>
          <w:rFonts w:eastAsiaTheme="minorEastAsia"/>
          <w:sz w:val="24"/>
          <w:szCs w:val="24"/>
          <w:lang w:eastAsia="en-AU"/>
        </w:rPr>
        <w:t>A tight fiscal environment for governments, together with expanding trade and travel, has placed significant pressure on the ongoing capacity of biosecurity agencies to meet their evolving biosecurity commitments. Biosecurity stakeholders, especially those bearing an increasing share of the costs, want a greater say in decision</w:t>
      </w:r>
      <w:r w:rsidR="00AA112B">
        <w:rPr>
          <w:rFonts w:eastAsiaTheme="minorEastAsia"/>
          <w:sz w:val="24"/>
          <w:szCs w:val="24"/>
          <w:lang w:eastAsia="en-AU"/>
        </w:rPr>
        <w:t>-</w:t>
      </w:r>
      <w:r w:rsidRPr="005D0B08">
        <w:rPr>
          <w:rFonts w:eastAsiaTheme="minorEastAsia"/>
          <w:sz w:val="24"/>
          <w:szCs w:val="24"/>
          <w:lang w:eastAsia="en-AU"/>
        </w:rPr>
        <w:t>making about the national system, greater alignment of biosecurity and market access efforts, more efficient delivery of government biosecurity services, and stronger arrangements for environmental biosecurity, among other things. In addition, major biosecurity incidents continue to test public confidence in the national biosecurity arrangements.</w:t>
      </w:r>
    </w:p>
    <w:p w14:paraId="418A1368" w14:textId="00903024" w:rsidR="005D0B08" w:rsidRPr="005D0B08" w:rsidRDefault="005D0B08" w:rsidP="00DD43DB">
      <w:pPr>
        <w:tabs>
          <w:tab w:val="left" w:pos="1708"/>
        </w:tabs>
        <w:spacing w:before="120" w:after="0" w:line="240" w:lineRule="auto"/>
        <w:rPr>
          <w:rFonts w:eastAsiaTheme="minorEastAsia"/>
          <w:sz w:val="24"/>
          <w:szCs w:val="24"/>
          <w:lang w:eastAsia="en-AU"/>
        </w:rPr>
      </w:pPr>
      <w:r w:rsidRPr="005D0B08">
        <w:rPr>
          <w:rFonts w:eastAsiaTheme="minorEastAsia"/>
          <w:sz w:val="24"/>
          <w:szCs w:val="24"/>
          <w:lang w:eastAsia="en-AU"/>
        </w:rPr>
        <w:t xml:space="preserve">Infectious human diseases have increased over the last </w:t>
      </w:r>
      <w:r w:rsidR="007B50CF">
        <w:rPr>
          <w:rFonts w:eastAsiaTheme="minorEastAsia"/>
          <w:sz w:val="24"/>
          <w:szCs w:val="24"/>
          <w:lang w:eastAsia="en-AU"/>
        </w:rPr>
        <w:t xml:space="preserve">3 </w:t>
      </w:r>
      <w:r w:rsidRPr="005D0B08">
        <w:rPr>
          <w:rFonts w:eastAsiaTheme="minorEastAsia"/>
          <w:sz w:val="24"/>
          <w:szCs w:val="24"/>
          <w:lang w:eastAsia="en-AU"/>
        </w:rPr>
        <w:t>decades, with more than 70</w:t>
      </w:r>
      <w:r w:rsidR="007B50CF">
        <w:rPr>
          <w:rFonts w:eastAsiaTheme="minorEastAsia"/>
          <w:sz w:val="24"/>
          <w:szCs w:val="24"/>
          <w:lang w:eastAsia="en-AU"/>
        </w:rPr>
        <w:t xml:space="preserve"> per cent</w:t>
      </w:r>
      <w:r w:rsidRPr="005D0B08">
        <w:rPr>
          <w:rFonts w:eastAsiaTheme="minorEastAsia"/>
          <w:sz w:val="24"/>
          <w:szCs w:val="24"/>
          <w:lang w:eastAsia="en-AU"/>
        </w:rPr>
        <w:t xml:space="preserve"> of these diseases being zoonotic in nature—that is, passing from animals to people—for example, influenzas from poultry or pigs, Ebola, sudden acute and Middle East respiratory syndromes (SARS, MERS), and </w:t>
      </w:r>
      <w:proofErr w:type="spellStart"/>
      <w:r w:rsidRPr="005D0B08">
        <w:rPr>
          <w:rFonts w:eastAsiaTheme="minorEastAsia"/>
          <w:sz w:val="24"/>
          <w:szCs w:val="24"/>
          <w:lang w:eastAsia="en-AU"/>
        </w:rPr>
        <w:t>Nipah</w:t>
      </w:r>
      <w:proofErr w:type="spellEnd"/>
      <w:r w:rsidRPr="005D0B08">
        <w:rPr>
          <w:rFonts w:eastAsiaTheme="minorEastAsia"/>
          <w:sz w:val="24"/>
          <w:szCs w:val="24"/>
          <w:lang w:eastAsia="en-AU"/>
        </w:rPr>
        <w:t xml:space="preserve"> and Hendra viruses.</w:t>
      </w:r>
    </w:p>
    <w:p w14:paraId="71E59315" w14:textId="6917447C" w:rsidR="00293AEB" w:rsidRPr="00544D74" w:rsidRDefault="005D0B08" w:rsidP="00DD43DB">
      <w:pPr>
        <w:spacing w:before="120" w:after="0" w:line="240" w:lineRule="auto"/>
        <w:rPr>
          <w:sz w:val="24"/>
          <w:szCs w:val="24"/>
        </w:rPr>
      </w:pPr>
      <w:r w:rsidRPr="005D0B08">
        <w:rPr>
          <w:rFonts w:eastAsiaTheme="minorEastAsia"/>
          <w:sz w:val="24"/>
          <w:szCs w:val="24"/>
          <w:lang w:eastAsia="en-AU"/>
        </w:rPr>
        <w:t>Constant vigilance is required to maintain Australia’s strict quarantine measures that prevent a zoonotic disease incursion that could have serious impacts on people, domesticated animals and wildlife. One breakdown of this system of biosecurity measures occurred for the Ruby Princess cruise ship incident that led to spread of COVID-19 in various parts of Australia and overseas.</w:t>
      </w:r>
      <w:r w:rsidR="00293AEB" w:rsidRPr="00544D74">
        <w:rPr>
          <w:sz w:val="24"/>
          <w:szCs w:val="24"/>
        </w:rPr>
        <w:t xml:space="preserve">  </w:t>
      </w:r>
    </w:p>
    <w:p w14:paraId="2B161814" w14:textId="76DDC414" w:rsidR="0094667B" w:rsidRPr="009F0624" w:rsidRDefault="007458AC" w:rsidP="00B401CF">
      <w:pPr>
        <w:pStyle w:val="Heading2"/>
      </w:pPr>
      <w:r w:rsidRPr="009F0624">
        <w:t>Scope</w:t>
      </w:r>
    </w:p>
    <w:p w14:paraId="3EF7DF47" w14:textId="77777777" w:rsidR="00D85A8E" w:rsidRPr="00D85A8E" w:rsidRDefault="00D85A8E" w:rsidP="00DD43DB">
      <w:pPr>
        <w:tabs>
          <w:tab w:val="left" w:pos="1708"/>
        </w:tabs>
        <w:spacing w:before="120" w:after="0" w:line="240" w:lineRule="auto"/>
        <w:rPr>
          <w:rFonts w:ascii="Calibri" w:eastAsia="Calibri" w:hAnsi="Calibri"/>
          <w:sz w:val="24"/>
          <w:szCs w:val="24"/>
          <w:lang w:eastAsia="en-AU"/>
        </w:rPr>
      </w:pPr>
      <w:r w:rsidRPr="00D85A8E">
        <w:rPr>
          <w:rFonts w:ascii="Calibri" w:eastAsia="Calibri" w:hAnsi="Calibri"/>
          <w:sz w:val="24"/>
          <w:szCs w:val="24"/>
          <w:lang w:eastAsia="en-AU"/>
        </w:rPr>
        <w:t xml:space="preserve">This review will cover examining the department’s policies, management systems, documentation and processes in place to support frontline biosecurity officers in the discharge of border responsibilities—consistent with the </w:t>
      </w:r>
      <w:r w:rsidRPr="00D85A8E">
        <w:rPr>
          <w:rFonts w:ascii="Calibri" w:eastAsia="Calibri" w:hAnsi="Calibri"/>
          <w:i/>
          <w:sz w:val="24"/>
          <w:szCs w:val="24"/>
          <w:lang w:eastAsia="en-AU"/>
        </w:rPr>
        <w:t>Biosecurity Act 2015</w:t>
      </w:r>
      <w:r w:rsidRPr="00D85A8E">
        <w:rPr>
          <w:rFonts w:ascii="Calibri" w:eastAsia="Calibri" w:hAnsi="Calibri"/>
          <w:sz w:val="24"/>
          <w:szCs w:val="24"/>
          <w:lang w:eastAsia="en-AU"/>
        </w:rPr>
        <w:t>—unilaterally and in cooperation with other Commonwealth and state/territory agencies.</w:t>
      </w:r>
    </w:p>
    <w:p w14:paraId="4AD9C1DD" w14:textId="08472C07" w:rsidR="00D85A8E" w:rsidRDefault="00D85A8E" w:rsidP="00DD43DB">
      <w:pPr>
        <w:tabs>
          <w:tab w:val="left" w:pos="1708"/>
        </w:tabs>
        <w:spacing w:before="120" w:after="0" w:line="240" w:lineRule="auto"/>
        <w:rPr>
          <w:rFonts w:ascii="Calibri" w:eastAsia="Calibri" w:hAnsi="Calibri"/>
          <w:sz w:val="24"/>
          <w:szCs w:val="24"/>
          <w:lang w:eastAsia="en-AU"/>
        </w:rPr>
      </w:pPr>
      <w:r w:rsidRPr="00D85A8E">
        <w:rPr>
          <w:rFonts w:ascii="Calibri" w:eastAsia="Calibri" w:hAnsi="Calibri"/>
          <w:sz w:val="24"/>
          <w:szCs w:val="24"/>
          <w:lang w:eastAsia="en-AU"/>
        </w:rPr>
        <w:t xml:space="preserve">The review </w:t>
      </w:r>
      <w:r w:rsidR="00DD43DB">
        <w:rPr>
          <w:rFonts w:ascii="Calibri" w:eastAsia="Calibri" w:hAnsi="Calibri"/>
          <w:sz w:val="24"/>
          <w:szCs w:val="24"/>
          <w:lang w:eastAsia="en-AU"/>
        </w:rPr>
        <w:t>will consider</w:t>
      </w:r>
      <w:r w:rsidRPr="00D85A8E">
        <w:rPr>
          <w:rFonts w:ascii="Calibri" w:eastAsia="Calibri" w:hAnsi="Calibri"/>
          <w:sz w:val="24"/>
          <w:szCs w:val="24"/>
          <w:lang w:eastAsia="en-AU"/>
        </w:rPr>
        <w:t>:</w:t>
      </w:r>
    </w:p>
    <w:p w14:paraId="66101A0D" w14:textId="78BDE630" w:rsidR="008C18F1" w:rsidRPr="008C18F1" w:rsidRDefault="008C18F1" w:rsidP="008C18F1">
      <w:pPr>
        <w:numPr>
          <w:ilvl w:val="0"/>
          <w:numId w:val="15"/>
        </w:numPr>
        <w:tabs>
          <w:tab w:val="left" w:pos="1708"/>
        </w:tabs>
        <w:spacing w:before="60" w:after="0" w:line="240" w:lineRule="auto"/>
        <w:ind w:left="357" w:hanging="357"/>
        <w:rPr>
          <w:rFonts w:ascii="Calibri" w:eastAsia="Calibri" w:hAnsi="Calibri"/>
          <w:sz w:val="24"/>
          <w:szCs w:val="24"/>
          <w:lang w:eastAsia="en-AU"/>
        </w:rPr>
      </w:pPr>
      <w:r w:rsidRPr="008C18F1">
        <w:rPr>
          <w:rFonts w:ascii="Calibri" w:eastAsia="Calibri" w:hAnsi="Calibri"/>
          <w:sz w:val="24"/>
          <w:szCs w:val="24"/>
          <w:lang w:eastAsia="en-AU"/>
        </w:rPr>
        <w:t xml:space="preserve">The adequacy of departmental processes to manage current biosecurity risks, and identify and respond to emerging </w:t>
      </w:r>
      <w:r w:rsidR="00B033F8">
        <w:rPr>
          <w:rFonts w:ascii="Calibri" w:eastAsia="Calibri" w:hAnsi="Calibri"/>
          <w:sz w:val="24"/>
          <w:szCs w:val="24"/>
          <w:lang w:eastAsia="en-AU"/>
        </w:rPr>
        <w:t xml:space="preserve">human biosecurity </w:t>
      </w:r>
      <w:r w:rsidRPr="008C18F1">
        <w:rPr>
          <w:rFonts w:ascii="Calibri" w:eastAsia="Calibri" w:hAnsi="Calibri"/>
          <w:sz w:val="24"/>
          <w:szCs w:val="24"/>
          <w:lang w:eastAsia="en-AU"/>
        </w:rPr>
        <w:t>risks associated with arriving</w:t>
      </w:r>
      <w:r w:rsidR="00357568" w:rsidRPr="00357568">
        <w:rPr>
          <w:rFonts w:ascii="Calibri" w:eastAsia="Calibri" w:hAnsi="Calibri"/>
          <w:sz w:val="24"/>
          <w:szCs w:val="24"/>
          <w:lang w:eastAsia="en-AU"/>
        </w:rPr>
        <w:t xml:space="preserve"> </w:t>
      </w:r>
      <w:r w:rsidR="00357568" w:rsidRPr="008C18F1">
        <w:rPr>
          <w:rFonts w:ascii="Calibri" w:eastAsia="Calibri" w:hAnsi="Calibri"/>
          <w:sz w:val="24"/>
          <w:szCs w:val="24"/>
          <w:lang w:eastAsia="en-AU"/>
        </w:rPr>
        <w:t>vessels (</w:t>
      </w:r>
      <w:r w:rsidR="00357568">
        <w:rPr>
          <w:rFonts w:ascii="Calibri" w:eastAsia="Calibri" w:hAnsi="Calibri"/>
          <w:sz w:val="24"/>
          <w:szCs w:val="24"/>
          <w:lang w:eastAsia="en-AU"/>
        </w:rPr>
        <w:t xml:space="preserve">cruise liners, </w:t>
      </w:r>
      <w:r w:rsidR="00422B91">
        <w:rPr>
          <w:rFonts w:ascii="Calibri" w:eastAsia="Calibri" w:hAnsi="Calibri"/>
          <w:sz w:val="24"/>
          <w:szCs w:val="24"/>
          <w:lang w:eastAsia="en-AU"/>
        </w:rPr>
        <w:t xml:space="preserve">and </w:t>
      </w:r>
      <w:r w:rsidR="00357568" w:rsidRPr="008C18F1">
        <w:rPr>
          <w:rFonts w:ascii="Calibri" w:eastAsia="Calibri" w:hAnsi="Calibri"/>
          <w:sz w:val="24"/>
          <w:szCs w:val="24"/>
          <w:lang w:eastAsia="en-AU"/>
        </w:rPr>
        <w:t>cargo</w:t>
      </w:r>
      <w:r w:rsidR="00357568">
        <w:rPr>
          <w:rFonts w:ascii="Calibri" w:eastAsia="Calibri" w:hAnsi="Calibri"/>
          <w:sz w:val="24"/>
          <w:szCs w:val="24"/>
          <w:lang w:eastAsia="en-AU"/>
        </w:rPr>
        <w:t xml:space="preserve"> and live animal export ships).</w:t>
      </w:r>
    </w:p>
    <w:p w14:paraId="4F23E808" w14:textId="77777777" w:rsidR="008C18F1" w:rsidRPr="008C18F1" w:rsidRDefault="008C18F1" w:rsidP="008C18F1">
      <w:pPr>
        <w:keepNext/>
        <w:numPr>
          <w:ilvl w:val="0"/>
          <w:numId w:val="15"/>
        </w:numPr>
        <w:tabs>
          <w:tab w:val="left" w:pos="1708"/>
        </w:tabs>
        <w:spacing w:before="60" w:after="0" w:line="240" w:lineRule="auto"/>
        <w:ind w:left="357" w:hanging="357"/>
        <w:rPr>
          <w:rFonts w:ascii="Calibri" w:eastAsia="Calibri" w:hAnsi="Calibri"/>
          <w:sz w:val="24"/>
          <w:szCs w:val="24"/>
          <w:lang w:eastAsia="en-AU"/>
        </w:rPr>
      </w:pPr>
      <w:r w:rsidRPr="008C18F1">
        <w:rPr>
          <w:rFonts w:ascii="Calibri" w:eastAsia="Calibri" w:hAnsi="Calibri"/>
          <w:sz w:val="24"/>
          <w:szCs w:val="24"/>
          <w:lang w:eastAsia="en-AU"/>
        </w:rPr>
        <w:t>How the department:</w:t>
      </w:r>
    </w:p>
    <w:p w14:paraId="2F896861" w14:textId="4B91FD0B" w:rsidR="008C18F1" w:rsidRPr="008C18F1" w:rsidRDefault="008C18F1" w:rsidP="008C18F1">
      <w:pPr>
        <w:numPr>
          <w:ilvl w:val="0"/>
          <w:numId w:val="16"/>
        </w:numPr>
        <w:tabs>
          <w:tab w:val="left" w:pos="1708"/>
        </w:tabs>
        <w:spacing w:before="60" w:after="0" w:line="240" w:lineRule="auto"/>
        <w:ind w:left="714" w:hanging="357"/>
        <w:rPr>
          <w:rFonts w:ascii="Calibri" w:eastAsia="Calibri" w:hAnsi="Calibri"/>
          <w:sz w:val="24"/>
          <w:szCs w:val="24"/>
          <w:lang w:eastAsia="en-AU"/>
        </w:rPr>
      </w:pPr>
      <w:r w:rsidRPr="008C18F1">
        <w:rPr>
          <w:rFonts w:ascii="Calibri" w:eastAsia="Calibri" w:hAnsi="Calibri"/>
          <w:sz w:val="24"/>
          <w:szCs w:val="24"/>
          <w:lang w:eastAsia="en-AU"/>
        </w:rPr>
        <w:t xml:space="preserve">profiles, assesses, targets, screens and inspects international vessels at First Points of Entry in delivering biosecurity function of behalf of the </w:t>
      </w:r>
      <w:r w:rsidR="00CF7330">
        <w:rPr>
          <w:rFonts w:ascii="Calibri" w:eastAsia="Calibri" w:hAnsi="Calibri"/>
          <w:sz w:val="24"/>
          <w:szCs w:val="24"/>
          <w:lang w:eastAsia="en-AU"/>
        </w:rPr>
        <w:t xml:space="preserve">Commonwealth </w:t>
      </w:r>
      <w:r w:rsidRPr="008C18F1">
        <w:rPr>
          <w:rFonts w:ascii="Calibri" w:eastAsia="Calibri" w:hAnsi="Calibri"/>
          <w:sz w:val="24"/>
          <w:szCs w:val="24"/>
          <w:lang w:eastAsia="en-AU"/>
        </w:rPr>
        <w:t>Department of Health</w:t>
      </w:r>
    </w:p>
    <w:p w14:paraId="4576132D" w14:textId="77777777" w:rsidR="008C18F1" w:rsidRPr="008C18F1" w:rsidRDefault="008C18F1" w:rsidP="008C18F1">
      <w:pPr>
        <w:numPr>
          <w:ilvl w:val="0"/>
          <w:numId w:val="16"/>
        </w:numPr>
        <w:tabs>
          <w:tab w:val="left" w:pos="1708"/>
        </w:tabs>
        <w:spacing w:before="60" w:after="0" w:line="240" w:lineRule="auto"/>
        <w:ind w:left="714" w:hanging="357"/>
        <w:rPr>
          <w:rFonts w:ascii="Calibri" w:eastAsia="Calibri" w:hAnsi="Calibri"/>
          <w:sz w:val="24"/>
          <w:szCs w:val="24"/>
          <w:lang w:eastAsia="en-AU"/>
        </w:rPr>
      </w:pPr>
      <w:r w:rsidRPr="008C18F1">
        <w:rPr>
          <w:rFonts w:ascii="Calibri" w:eastAsia="Calibri" w:hAnsi="Calibri"/>
          <w:sz w:val="24"/>
          <w:szCs w:val="24"/>
          <w:lang w:eastAsia="en-AU"/>
        </w:rPr>
        <w:t>collaborates with other Commonwealth and state/territory agencies in delivering biosecurity activities in this pathway</w:t>
      </w:r>
    </w:p>
    <w:p w14:paraId="5DCA7931" w14:textId="77777777" w:rsidR="008C18F1" w:rsidRPr="008C18F1" w:rsidRDefault="008C18F1" w:rsidP="008C18F1">
      <w:pPr>
        <w:numPr>
          <w:ilvl w:val="0"/>
          <w:numId w:val="16"/>
        </w:numPr>
        <w:tabs>
          <w:tab w:val="left" w:pos="1708"/>
        </w:tabs>
        <w:spacing w:before="60" w:after="0" w:line="240" w:lineRule="auto"/>
        <w:ind w:left="714" w:hanging="357"/>
        <w:rPr>
          <w:rFonts w:ascii="Calibri" w:eastAsia="Calibri" w:hAnsi="Calibri"/>
          <w:sz w:val="24"/>
          <w:szCs w:val="24"/>
          <w:lang w:eastAsia="en-AU"/>
        </w:rPr>
      </w:pPr>
      <w:r w:rsidRPr="008C18F1">
        <w:rPr>
          <w:rFonts w:ascii="Calibri" w:eastAsia="Calibri" w:hAnsi="Calibri"/>
          <w:sz w:val="24"/>
          <w:szCs w:val="24"/>
          <w:lang w:eastAsia="en-AU"/>
        </w:rPr>
        <w:t>undertakes verification activities, if any, to ensure robustness of biosecurity controls for this pathway.</w:t>
      </w:r>
    </w:p>
    <w:p w14:paraId="3B983075" w14:textId="77777777" w:rsidR="008C18F1" w:rsidRPr="008C18F1" w:rsidRDefault="008C18F1" w:rsidP="008C18F1">
      <w:pPr>
        <w:numPr>
          <w:ilvl w:val="0"/>
          <w:numId w:val="15"/>
        </w:numPr>
        <w:tabs>
          <w:tab w:val="left" w:pos="1708"/>
        </w:tabs>
        <w:spacing w:before="60" w:after="0" w:line="240" w:lineRule="auto"/>
        <w:ind w:left="357" w:hanging="357"/>
        <w:rPr>
          <w:rFonts w:ascii="Calibri" w:eastAsia="Calibri" w:hAnsi="Calibri"/>
          <w:sz w:val="24"/>
          <w:szCs w:val="24"/>
          <w:lang w:eastAsia="en-AU"/>
        </w:rPr>
      </w:pPr>
      <w:r w:rsidRPr="008C18F1">
        <w:rPr>
          <w:rFonts w:ascii="Calibri" w:eastAsia="Calibri" w:hAnsi="Calibri"/>
          <w:sz w:val="24"/>
          <w:szCs w:val="24"/>
          <w:lang w:eastAsia="en-AU"/>
        </w:rPr>
        <w:t>Operational policies on:</w:t>
      </w:r>
    </w:p>
    <w:p w14:paraId="5887C24F" w14:textId="77777777" w:rsidR="008C18F1" w:rsidRPr="008C18F1" w:rsidRDefault="008C18F1" w:rsidP="008C18F1">
      <w:pPr>
        <w:numPr>
          <w:ilvl w:val="0"/>
          <w:numId w:val="16"/>
        </w:numPr>
        <w:tabs>
          <w:tab w:val="left" w:pos="1708"/>
        </w:tabs>
        <w:spacing w:before="60" w:after="0" w:line="240" w:lineRule="auto"/>
        <w:ind w:left="714" w:hanging="357"/>
        <w:rPr>
          <w:rFonts w:ascii="Calibri" w:eastAsia="Calibri" w:hAnsi="Calibri"/>
          <w:sz w:val="24"/>
          <w:szCs w:val="24"/>
          <w:lang w:eastAsia="en-AU"/>
        </w:rPr>
      </w:pPr>
      <w:r w:rsidRPr="008C18F1">
        <w:rPr>
          <w:rFonts w:ascii="Calibri" w:eastAsia="Calibri" w:hAnsi="Calibri"/>
          <w:sz w:val="24"/>
          <w:szCs w:val="24"/>
          <w:lang w:eastAsia="en-AU"/>
        </w:rPr>
        <w:t>the management of commercial vessels</w:t>
      </w:r>
    </w:p>
    <w:p w14:paraId="6B362750" w14:textId="77777777" w:rsidR="008C18F1" w:rsidRPr="008C18F1" w:rsidRDefault="008C18F1" w:rsidP="008C18F1">
      <w:pPr>
        <w:numPr>
          <w:ilvl w:val="0"/>
          <w:numId w:val="16"/>
        </w:numPr>
        <w:tabs>
          <w:tab w:val="left" w:pos="1708"/>
        </w:tabs>
        <w:spacing w:before="60" w:after="0" w:line="240" w:lineRule="auto"/>
        <w:ind w:left="714" w:hanging="357"/>
        <w:rPr>
          <w:rFonts w:ascii="Calibri" w:eastAsia="Calibri" w:hAnsi="Calibri"/>
          <w:sz w:val="24"/>
          <w:szCs w:val="24"/>
          <w:lang w:eastAsia="en-AU"/>
        </w:rPr>
      </w:pPr>
      <w:r w:rsidRPr="008C18F1">
        <w:rPr>
          <w:rFonts w:ascii="Calibri" w:eastAsia="Calibri" w:hAnsi="Calibri"/>
          <w:sz w:val="24"/>
          <w:szCs w:val="24"/>
          <w:lang w:eastAsia="en-AU"/>
        </w:rPr>
        <w:t>technical and regulatory competence of biosecurity officers—skills, experience, training, job cards, supervision, refresher courses, verification records.</w:t>
      </w:r>
    </w:p>
    <w:p w14:paraId="178F275E" w14:textId="77777777" w:rsidR="008C18F1" w:rsidRPr="008C18F1" w:rsidRDefault="008C18F1" w:rsidP="008C18F1">
      <w:pPr>
        <w:numPr>
          <w:ilvl w:val="0"/>
          <w:numId w:val="15"/>
        </w:numPr>
        <w:tabs>
          <w:tab w:val="left" w:pos="1708"/>
        </w:tabs>
        <w:spacing w:before="60" w:after="0" w:line="240" w:lineRule="auto"/>
        <w:ind w:left="357" w:hanging="357"/>
        <w:rPr>
          <w:rFonts w:ascii="Calibri" w:eastAsia="Calibri" w:hAnsi="Calibri"/>
          <w:sz w:val="24"/>
          <w:szCs w:val="24"/>
          <w:lang w:eastAsia="en-AU"/>
        </w:rPr>
      </w:pPr>
      <w:r w:rsidRPr="008C18F1">
        <w:rPr>
          <w:rFonts w:ascii="Calibri" w:eastAsia="Calibri" w:hAnsi="Calibri"/>
          <w:sz w:val="24"/>
          <w:szCs w:val="24"/>
          <w:lang w:eastAsia="en-AU"/>
        </w:rPr>
        <w:lastRenderedPageBreak/>
        <w:t>Standard operating procedures (instructional material)—availability, appropriateness and currency.</w:t>
      </w:r>
    </w:p>
    <w:p w14:paraId="69E60C00" w14:textId="14A2CBC9" w:rsidR="008C18F1" w:rsidRPr="008C18F1" w:rsidRDefault="008C18F1" w:rsidP="008C18F1">
      <w:pPr>
        <w:numPr>
          <w:ilvl w:val="0"/>
          <w:numId w:val="15"/>
        </w:numPr>
        <w:tabs>
          <w:tab w:val="left" w:pos="1708"/>
        </w:tabs>
        <w:spacing w:before="60" w:after="0" w:line="240" w:lineRule="auto"/>
        <w:ind w:left="357" w:hanging="357"/>
        <w:rPr>
          <w:rFonts w:ascii="Calibri" w:eastAsia="Calibri" w:hAnsi="Calibri"/>
          <w:sz w:val="24"/>
          <w:szCs w:val="24"/>
          <w:lang w:eastAsia="en-AU"/>
        </w:rPr>
      </w:pPr>
      <w:r w:rsidRPr="008C18F1">
        <w:rPr>
          <w:rFonts w:ascii="Calibri" w:eastAsia="Calibri" w:hAnsi="Calibri"/>
          <w:sz w:val="24"/>
          <w:szCs w:val="24"/>
          <w:lang w:eastAsia="en-AU"/>
        </w:rPr>
        <w:t xml:space="preserve">Assessment of data collection and management systems used for decision-making, and their integration for ease of data extraction to inform biosecurity risk management, </w:t>
      </w:r>
      <w:r w:rsidR="007B50CF">
        <w:rPr>
          <w:rFonts w:ascii="Calibri" w:eastAsia="Calibri" w:hAnsi="Calibri"/>
          <w:sz w:val="24"/>
          <w:szCs w:val="24"/>
          <w:lang w:eastAsia="en-AU"/>
        </w:rPr>
        <w:t>including</w:t>
      </w:r>
      <w:r w:rsidRPr="008C18F1">
        <w:rPr>
          <w:rFonts w:ascii="Calibri" w:eastAsia="Calibri" w:hAnsi="Calibri"/>
          <w:sz w:val="24"/>
          <w:szCs w:val="24"/>
          <w:lang w:eastAsia="en-AU"/>
        </w:rPr>
        <w:t xml:space="preserve"> policy formulation and development.</w:t>
      </w:r>
    </w:p>
    <w:p w14:paraId="39674773" w14:textId="77777777" w:rsidR="008C18F1" w:rsidRPr="008C18F1" w:rsidRDefault="008C18F1" w:rsidP="008C18F1">
      <w:pPr>
        <w:numPr>
          <w:ilvl w:val="0"/>
          <w:numId w:val="15"/>
        </w:numPr>
        <w:tabs>
          <w:tab w:val="left" w:pos="1708"/>
        </w:tabs>
        <w:spacing w:before="60" w:after="0" w:line="240" w:lineRule="auto"/>
        <w:ind w:left="357" w:hanging="357"/>
        <w:rPr>
          <w:rFonts w:ascii="Calibri" w:eastAsia="Calibri" w:hAnsi="Calibri"/>
          <w:sz w:val="24"/>
          <w:szCs w:val="24"/>
          <w:lang w:eastAsia="en-AU"/>
        </w:rPr>
      </w:pPr>
      <w:r w:rsidRPr="008C18F1">
        <w:rPr>
          <w:rFonts w:ascii="Calibri" w:eastAsia="Calibri" w:hAnsi="Calibri"/>
          <w:sz w:val="24"/>
          <w:szCs w:val="24"/>
          <w:lang w:eastAsia="en-AU"/>
        </w:rPr>
        <w:t>Mechanisms for sharing information with other Commonwealth, and state/territory government agencies and industry bodies (such as, port authorities, cruise ship operators etc.).</w:t>
      </w:r>
    </w:p>
    <w:p w14:paraId="4A2CCC63" w14:textId="77777777" w:rsidR="008C18F1" w:rsidRPr="008C18F1" w:rsidRDefault="008C18F1" w:rsidP="008C18F1">
      <w:pPr>
        <w:numPr>
          <w:ilvl w:val="0"/>
          <w:numId w:val="15"/>
        </w:numPr>
        <w:tabs>
          <w:tab w:val="left" w:pos="1708"/>
        </w:tabs>
        <w:spacing w:before="60" w:after="0" w:line="240" w:lineRule="auto"/>
        <w:ind w:left="357" w:hanging="357"/>
        <w:rPr>
          <w:rFonts w:ascii="Calibri" w:eastAsia="Calibri" w:hAnsi="Calibri"/>
          <w:sz w:val="24"/>
          <w:szCs w:val="24"/>
          <w:lang w:eastAsia="en-AU"/>
        </w:rPr>
      </w:pPr>
      <w:r w:rsidRPr="008C18F1">
        <w:rPr>
          <w:rFonts w:ascii="Calibri" w:eastAsia="Calibri" w:hAnsi="Calibri"/>
          <w:sz w:val="24"/>
          <w:szCs w:val="24"/>
          <w:lang w:eastAsia="en-AU"/>
        </w:rPr>
        <w:t>Identifying improvements required to manage biosecurity risks.</w:t>
      </w:r>
    </w:p>
    <w:p w14:paraId="1283E074" w14:textId="77777777" w:rsidR="008C18F1" w:rsidRPr="008C18F1" w:rsidRDefault="008C18F1" w:rsidP="00DD43DB">
      <w:pPr>
        <w:tabs>
          <w:tab w:val="left" w:pos="1708"/>
        </w:tabs>
        <w:spacing w:before="180" w:after="0" w:line="240" w:lineRule="auto"/>
        <w:rPr>
          <w:rFonts w:eastAsiaTheme="minorEastAsia"/>
          <w:sz w:val="24"/>
          <w:szCs w:val="24"/>
          <w:lang w:eastAsia="en-AU"/>
        </w:rPr>
      </w:pPr>
      <w:r w:rsidRPr="008C18F1">
        <w:rPr>
          <w:rFonts w:eastAsiaTheme="minorEastAsia"/>
          <w:sz w:val="24"/>
          <w:szCs w:val="24"/>
          <w:lang w:eastAsia="en-AU"/>
        </w:rPr>
        <w:t>This review will not examine:</w:t>
      </w:r>
    </w:p>
    <w:p w14:paraId="684677F0" w14:textId="77777777" w:rsidR="008C18F1" w:rsidRPr="008C18F1" w:rsidRDefault="008C18F1" w:rsidP="008C18F1">
      <w:pPr>
        <w:numPr>
          <w:ilvl w:val="0"/>
          <w:numId w:val="15"/>
        </w:numPr>
        <w:tabs>
          <w:tab w:val="left" w:pos="1708"/>
        </w:tabs>
        <w:spacing w:before="60" w:after="0" w:line="240" w:lineRule="auto"/>
        <w:ind w:left="357" w:hanging="357"/>
        <w:rPr>
          <w:rFonts w:ascii="Calibri" w:eastAsia="Calibri" w:hAnsi="Calibri"/>
          <w:sz w:val="24"/>
          <w:szCs w:val="24"/>
          <w:lang w:eastAsia="en-AU"/>
        </w:rPr>
      </w:pPr>
      <w:r w:rsidRPr="008C18F1">
        <w:rPr>
          <w:rFonts w:ascii="Calibri" w:eastAsia="Calibri" w:hAnsi="Calibri"/>
          <w:sz w:val="24"/>
          <w:szCs w:val="24"/>
          <w:lang w:eastAsia="en-AU"/>
        </w:rPr>
        <w:t>any post-border (domestic) biosecurity responsibilities or functions,</w:t>
      </w:r>
    </w:p>
    <w:p w14:paraId="72741C0F" w14:textId="77777777" w:rsidR="008C18F1" w:rsidRPr="008C18F1" w:rsidRDefault="008C18F1" w:rsidP="008C18F1">
      <w:pPr>
        <w:numPr>
          <w:ilvl w:val="0"/>
          <w:numId w:val="15"/>
        </w:numPr>
        <w:tabs>
          <w:tab w:val="left" w:pos="1708"/>
        </w:tabs>
        <w:spacing w:before="60" w:after="0" w:line="240" w:lineRule="auto"/>
        <w:ind w:left="357" w:hanging="357"/>
        <w:rPr>
          <w:rFonts w:ascii="Calibri" w:eastAsia="Calibri" w:hAnsi="Calibri"/>
          <w:sz w:val="24"/>
          <w:szCs w:val="24"/>
          <w:lang w:eastAsia="en-AU"/>
        </w:rPr>
      </w:pPr>
      <w:r w:rsidRPr="008C18F1">
        <w:rPr>
          <w:rFonts w:ascii="Calibri" w:eastAsia="Calibri" w:hAnsi="Calibri"/>
          <w:sz w:val="24"/>
          <w:szCs w:val="24"/>
          <w:lang w:eastAsia="en-AU"/>
        </w:rPr>
        <w:t>policies and activities of external stakeholders, including other Commonwealth agencies, state/territory governments and individuals, and</w:t>
      </w:r>
    </w:p>
    <w:p w14:paraId="4C08036F" w14:textId="6B655E89" w:rsidR="0094667B" w:rsidRPr="00357568" w:rsidRDefault="008C18F1" w:rsidP="00357568">
      <w:pPr>
        <w:numPr>
          <w:ilvl w:val="0"/>
          <w:numId w:val="15"/>
        </w:numPr>
        <w:tabs>
          <w:tab w:val="left" w:pos="1708"/>
        </w:tabs>
        <w:spacing w:before="60" w:after="0" w:line="240" w:lineRule="auto"/>
        <w:ind w:left="357" w:hanging="357"/>
        <w:rPr>
          <w:rFonts w:ascii="Calibri" w:eastAsia="Calibri" w:hAnsi="Calibri"/>
          <w:sz w:val="24"/>
          <w:szCs w:val="24"/>
          <w:lang w:eastAsia="en-AU"/>
        </w:rPr>
      </w:pPr>
      <w:r w:rsidRPr="00357568">
        <w:rPr>
          <w:rFonts w:ascii="Calibri" w:eastAsia="Calibri" w:hAnsi="Calibri"/>
          <w:sz w:val="24"/>
          <w:szCs w:val="24"/>
          <w:lang w:eastAsia="en-AU"/>
        </w:rPr>
        <w:t>commercial considerations.</w:t>
      </w:r>
    </w:p>
    <w:p w14:paraId="1A022D20" w14:textId="77777777" w:rsidR="00B473C7" w:rsidRPr="009F0624" w:rsidRDefault="00B473C7" w:rsidP="00B401CF">
      <w:pPr>
        <w:pStyle w:val="Heading2"/>
      </w:pPr>
      <w:r w:rsidRPr="009F0624">
        <w:t>Contact</w:t>
      </w:r>
    </w:p>
    <w:p w14:paraId="6089F013" w14:textId="61704CA5" w:rsidR="00B473C7" w:rsidRPr="00544D74" w:rsidRDefault="00B473C7" w:rsidP="001B7572">
      <w:pPr>
        <w:spacing w:before="120" w:after="0" w:line="240" w:lineRule="auto"/>
        <w:rPr>
          <w:sz w:val="24"/>
          <w:szCs w:val="24"/>
        </w:rPr>
      </w:pPr>
      <w:r w:rsidRPr="00544D74">
        <w:rPr>
          <w:sz w:val="24"/>
          <w:szCs w:val="24"/>
        </w:rPr>
        <w:t>If you wish</w:t>
      </w:r>
      <w:r w:rsidR="00357568">
        <w:rPr>
          <w:sz w:val="24"/>
          <w:szCs w:val="24"/>
        </w:rPr>
        <w:t xml:space="preserve"> to</w:t>
      </w:r>
      <w:r w:rsidRPr="00544D74">
        <w:rPr>
          <w:sz w:val="24"/>
          <w:szCs w:val="24"/>
        </w:rPr>
        <w:t xml:space="preserve"> discuss this review</w:t>
      </w:r>
      <w:r w:rsidR="00357568">
        <w:rPr>
          <w:sz w:val="24"/>
          <w:szCs w:val="24"/>
        </w:rPr>
        <w:t>,</w:t>
      </w:r>
      <w:r w:rsidRPr="00544D74">
        <w:rPr>
          <w:sz w:val="24"/>
          <w:szCs w:val="24"/>
        </w:rPr>
        <w:t xml:space="preserve"> you can contact the I</w:t>
      </w:r>
      <w:r w:rsidR="00544D74">
        <w:rPr>
          <w:sz w:val="24"/>
          <w:szCs w:val="24"/>
        </w:rPr>
        <w:t>nspector-</w:t>
      </w:r>
      <w:r w:rsidRPr="00544D74">
        <w:rPr>
          <w:sz w:val="24"/>
          <w:szCs w:val="24"/>
        </w:rPr>
        <w:t>G</w:t>
      </w:r>
      <w:r w:rsidR="00544D74">
        <w:rPr>
          <w:sz w:val="24"/>
          <w:szCs w:val="24"/>
        </w:rPr>
        <w:t>eneral</w:t>
      </w:r>
      <w:r w:rsidR="00AA112B">
        <w:rPr>
          <w:sz w:val="24"/>
          <w:szCs w:val="24"/>
        </w:rPr>
        <w:t xml:space="preserve"> as below:</w:t>
      </w:r>
    </w:p>
    <w:p w14:paraId="26CC05BC" w14:textId="3053BDFA" w:rsidR="00B473C7" w:rsidRPr="00544D74" w:rsidRDefault="00B473C7" w:rsidP="001B7572">
      <w:pPr>
        <w:spacing w:before="120" w:after="0" w:line="240" w:lineRule="auto"/>
        <w:rPr>
          <w:sz w:val="24"/>
          <w:szCs w:val="24"/>
        </w:rPr>
      </w:pPr>
      <w:r w:rsidRPr="00544D74">
        <w:rPr>
          <w:sz w:val="24"/>
          <w:szCs w:val="24"/>
        </w:rPr>
        <w:t xml:space="preserve">Email: </w:t>
      </w:r>
      <w:hyperlink r:id="rId9" w:history="1">
        <w:r w:rsidR="001B6CE4" w:rsidRPr="00544D74">
          <w:rPr>
            <w:rStyle w:val="Hyperlink"/>
            <w:sz w:val="24"/>
            <w:szCs w:val="24"/>
          </w:rPr>
          <w:t>inspgenbiosecurity@agriculture.gov.au</w:t>
        </w:r>
      </w:hyperlink>
    </w:p>
    <w:p w14:paraId="7C04C84C" w14:textId="561EC486" w:rsidR="00B473C7" w:rsidRPr="00544D74" w:rsidRDefault="00B473C7" w:rsidP="00357568">
      <w:pPr>
        <w:spacing w:after="0" w:line="240" w:lineRule="auto"/>
        <w:rPr>
          <w:sz w:val="24"/>
          <w:szCs w:val="24"/>
        </w:rPr>
      </w:pPr>
      <w:r w:rsidRPr="00544D74">
        <w:rPr>
          <w:sz w:val="24"/>
          <w:szCs w:val="24"/>
        </w:rPr>
        <w:t>Ph</w:t>
      </w:r>
      <w:r w:rsidR="00544D74">
        <w:rPr>
          <w:sz w:val="24"/>
          <w:szCs w:val="24"/>
        </w:rPr>
        <w:t>one</w:t>
      </w:r>
      <w:r w:rsidRPr="00544D74">
        <w:rPr>
          <w:sz w:val="24"/>
          <w:szCs w:val="24"/>
        </w:rPr>
        <w:t xml:space="preserve">: +61 2 </w:t>
      </w:r>
      <w:r w:rsidR="00AA112B">
        <w:rPr>
          <w:sz w:val="24"/>
          <w:szCs w:val="24"/>
        </w:rPr>
        <w:t>6272 3760</w:t>
      </w:r>
    </w:p>
    <w:p w14:paraId="5E8504FE" w14:textId="77777777" w:rsidR="00B473C7" w:rsidRPr="00544D74" w:rsidRDefault="00B473C7" w:rsidP="00937A30">
      <w:pPr>
        <w:spacing w:line="240" w:lineRule="auto"/>
        <w:rPr>
          <w:rFonts w:eastAsiaTheme="majorEastAsia" w:cstheme="majorBidi"/>
          <w:color w:val="1F4D78" w:themeColor="accent1" w:themeShade="7F"/>
          <w:sz w:val="24"/>
          <w:szCs w:val="24"/>
        </w:rPr>
      </w:pPr>
    </w:p>
    <w:sectPr w:rsidR="00B473C7" w:rsidRPr="00544D74" w:rsidSect="00C83C08">
      <w:headerReference w:type="default" r:id="rId10"/>
      <w:pgSz w:w="11906" w:h="16838" w:code="9"/>
      <w:pgMar w:top="1021" w:right="1247" w:bottom="1021" w:left="1418"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02D295" w14:textId="77777777" w:rsidR="0082476D" w:rsidRDefault="0082476D" w:rsidP="0095238C">
      <w:pPr>
        <w:spacing w:after="0" w:line="240" w:lineRule="auto"/>
      </w:pPr>
      <w:r>
        <w:separator/>
      </w:r>
    </w:p>
  </w:endnote>
  <w:endnote w:type="continuationSeparator" w:id="0">
    <w:p w14:paraId="23F02857" w14:textId="77777777" w:rsidR="0082476D" w:rsidRDefault="0082476D" w:rsidP="00952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DB4685" w14:textId="77777777" w:rsidR="0082476D" w:rsidRDefault="0082476D" w:rsidP="0095238C">
      <w:pPr>
        <w:spacing w:after="0" w:line="240" w:lineRule="auto"/>
      </w:pPr>
      <w:r>
        <w:separator/>
      </w:r>
    </w:p>
  </w:footnote>
  <w:footnote w:type="continuationSeparator" w:id="0">
    <w:p w14:paraId="1265D5F3" w14:textId="77777777" w:rsidR="0082476D" w:rsidRDefault="0082476D" w:rsidP="009523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C0A0E" w14:textId="09AD6724" w:rsidR="00C83C08" w:rsidRPr="0095238C" w:rsidRDefault="00C83C08" w:rsidP="006B1FD7">
    <w:pPr>
      <w:pStyle w:val="Header"/>
      <w:jc w:val="right"/>
      <w:rPr>
        <w:lang w:val="en-AU"/>
      </w:rPr>
    </w:pPr>
    <w:r>
      <w:rPr>
        <w:lang w:val="en-AU"/>
      </w:rPr>
      <w:t>Inspector-General of Biosecurity review</w:t>
    </w:r>
    <w:r w:rsidRPr="006B1FD7">
      <w:rPr>
        <w:lang w:val="en-AU"/>
      </w:rPr>
      <w:t>—Confidence testing for critical biosecurity functions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156C0"/>
    <w:multiLevelType w:val="multilevel"/>
    <w:tmpl w:val="E490E802"/>
    <w:styleLink w:val="Part1"/>
    <w:lvl w:ilvl="0">
      <w:start w:val="1"/>
      <w:numFmt w:val="decimal"/>
      <w:pStyle w:val="ListNumber"/>
      <w:lvlText w:val="s%1."/>
      <w:lvlJc w:val="left"/>
      <w:pPr>
        <w:ind w:left="1134" w:hanging="1134"/>
      </w:pPr>
      <w:rPr>
        <w:rFonts w:hint="default"/>
      </w:rPr>
    </w:lvl>
    <w:lvl w:ilvl="1">
      <w:start w:val="1"/>
      <w:numFmt w:val="lowerLetter"/>
      <w:lvlText w:val="%2."/>
      <w:lvlJc w:val="left"/>
      <w:pPr>
        <w:ind w:left="1701" w:hanging="1134"/>
      </w:pPr>
      <w:rPr>
        <w:rFonts w:hint="default"/>
      </w:rPr>
    </w:lvl>
    <w:lvl w:ilvl="2">
      <w:start w:val="1"/>
      <w:numFmt w:val="lowerRoman"/>
      <w:lvlText w:val="%3."/>
      <w:lvlJc w:val="right"/>
      <w:pPr>
        <w:ind w:left="2268" w:hanging="1134"/>
      </w:pPr>
      <w:rPr>
        <w:rFonts w:hint="default"/>
      </w:rPr>
    </w:lvl>
    <w:lvl w:ilvl="3">
      <w:start w:val="1"/>
      <w:numFmt w:val="decimal"/>
      <w:lvlText w:val="%4."/>
      <w:lvlJc w:val="left"/>
      <w:pPr>
        <w:ind w:left="2835" w:hanging="1134"/>
      </w:pPr>
      <w:rPr>
        <w:rFonts w:hint="default"/>
      </w:rPr>
    </w:lvl>
    <w:lvl w:ilvl="4">
      <w:start w:val="1"/>
      <w:numFmt w:val="lowerLetter"/>
      <w:lvlText w:val="%5."/>
      <w:lvlJc w:val="left"/>
      <w:pPr>
        <w:ind w:left="3402" w:hanging="1134"/>
      </w:pPr>
      <w:rPr>
        <w:rFonts w:hint="default"/>
      </w:rPr>
    </w:lvl>
    <w:lvl w:ilvl="5">
      <w:start w:val="1"/>
      <w:numFmt w:val="lowerRoman"/>
      <w:lvlText w:val="%6."/>
      <w:lvlJc w:val="right"/>
      <w:pPr>
        <w:ind w:left="3969" w:hanging="1134"/>
      </w:pPr>
      <w:rPr>
        <w:rFonts w:hint="default"/>
      </w:rPr>
    </w:lvl>
    <w:lvl w:ilvl="6">
      <w:start w:val="1"/>
      <w:numFmt w:val="decimal"/>
      <w:lvlText w:val="%7."/>
      <w:lvlJc w:val="left"/>
      <w:pPr>
        <w:ind w:left="4536" w:hanging="1134"/>
      </w:pPr>
      <w:rPr>
        <w:rFonts w:hint="default"/>
      </w:rPr>
    </w:lvl>
    <w:lvl w:ilvl="7">
      <w:start w:val="1"/>
      <w:numFmt w:val="lowerLetter"/>
      <w:lvlText w:val="%8."/>
      <w:lvlJc w:val="left"/>
      <w:pPr>
        <w:ind w:left="5103" w:hanging="1134"/>
      </w:pPr>
      <w:rPr>
        <w:rFonts w:hint="default"/>
      </w:rPr>
    </w:lvl>
    <w:lvl w:ilvl="8">
      <w:start w:val="1"/>
      <w:numFmt w:val="lowerRoman"/>
      <w:lvlText w:val="%9."/>
      <w:lvlJc w:val="right"/>
      <w:pPr>
        <w:ind w:left="5670" w:hanging="1134"/>
      </w:pPr>
      <w:rPr>
        <w:rFonts w:hint="default"/>
      </w:rPr>
    </w:lvl>
  </w:abstractNum>
  <w:abstractNum w:abstractNumId="1" w15:restartNumberingAfterBreak="0">
    <w:nsid w:val="0E8F2D25"/>
    <w:multiLevelType w:val="hybridMultilevel"/>
    <w:tmpl w:val="5CBCEEF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FE024FD"/>
    <w:multiLevelType w:val="hybridMultilevel"/>
    <w:tmpl w:val="4E52FEA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54A59C8"/>
    <w:multiLevelType w:val="hybridMultilevel"/>
    <w:tmpl w:val="58FAC65C"/>
    <w:lvl w:ilvl="0" w:tplc="74BCC4A0">
      <w:start w:val="1"/>
      <w:numFmt w:val="bullet"/>
      <w:pStyle w:val="ListBullet2"/>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5A1B62"/>
    <w:multiLevelType w:val="multilevel"/>
    <w:tmpl w:val="E490E802"/>
    <w:numStyleLink w:val="Part1"/>
  </w:abstractNum>
  <w:abstractNum w:abstractNumId="5" w15:restartNumberingAfterBreak="0">
    <w:nsid w:val="36907C96"/>
    <w:multiLevelType w:val="hybridMultilevel"/>
    <w:tmpl w:val="10C4757C"/>
    <w:lvl w:ilvl="0" w:tplc="A4782C78">
      <w:start w:val="1"/>
      <w:numFmt w:val="bullet"/>
      <w:pStyle w:val="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7836D5E"/>
    <w:multiLevelType w:val="hybridMultilevel"/>
    <w:tmpl w:val="3E26834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F7A6E06"/>
    <w:multiLevelType w:val="hybridMultilevel"/>
    <w:tmpl w:val="48124B9A"/>
    <w:lvl w:ilvl="0" w:tplc="B57E443C">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1010CE1"/>
    <w:multiLevelType w:val="hybridMultilevel"/>
    <w:tmpl w:val="AA286D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30E29C5"/>
    <w:multiLevelType w:val="hybridMultilevel"/>
    <w:tmpl w:val="D5F0D626"/>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ABD7387"/>
    <w:multiLevelType w:val="hybridMultilevel"/>
    <w:tmpl w:val="D78A60F2"/>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48A6CB4"/>
    <w:multiLevelType w:val="hybridMultilevel"/>
    <w:tmpl w:val="0CE88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3B015C3"/>
    <w:multiLevelType w:val="hybridMultilevel"/>
    <w:tmpl w:val="0AC8FD4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7A61789"/>
    <w:multiLevelType w:val="multilevel"/>
    <w:tmpl w:val="7CE26BD4"/>
    <w:styleLink w:val="Part2"/>
    <w:lvl w:ilvl="0">
      <w:start w:val="1"/>
      <w:numFmt w:val="decimal"/>
      <w:pStyle w:val="Heading2numbered"/>
      <w:lvlText w:val="%1"/>
      <w:lvlJc w:val="left"/>
      <w:pPr>
        <w:ind w:left="851" w:hanging="851"/>
      </w:pPr>
      <w:rPr>
        <w:rFonts w:hint="default"/>
      </w:rPr>
    </w:lvl>
    <w:lvl w:ilvl="1">
      <w:start w:val="1"/>
      <w:numFmt w:val="decimal"/>
      <w:pStyle w:val="ListNumber2"/>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B44643F"/>
    <w:multiLevelType w:val="multilevel"/>
    <w:tmpl w:val="7CE26BD4"/>
    <w:numStyleLink w:val="Part2"/>
  </w:abstractNum>
  <w:num w:numId="1">
    <w:abstractNumId w:val="10"/>
  </w:num>
  <w:num w:numId="2">
    <w:abstractNumId w:val="12"/>
  </w:num>
  <w:num w:numId="3">
    <w:abstractNumId w:val="6"/>
  </w:num>
  <w:num w:numId="4">
    <w:abstractNumId w:val="11"/>
  </w:num>
  <w:num w:numId="5">
    <w:abstractNumId w:val="9"/>
  </w:num>
  <w:num w:numId="6">
    <w:abstractNumId w:val="2"/>
  </w:num>
  <w:num w:numId="7">
    <w:abstractNumId w:val="3"/>
  </w:num>
  <w:num w:numId="8">
    <w:abstractNumId w:val="0"/>
  </w:num>
  <w:num w:numId="9">
    <w:abstractNumId w:val="4"/>
    <w:lvlOverride w:ilvl="0">
      <w:lvl w:ilvl="0">
        <w:start w:val="1"/>
        <w:numFmt w:val="decimal"/>
        <w:pStyle w:val="ListNumber"/>
        <w:lvlText w:val="%1."/>
        <w:lvlJc w:val="left"/>
        <w:pPr>
          <w:ind w:left="36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10">
    <w:abstractNumId w:val="5"/>
  </w:num>
  <w:num w:numId="11">
    <w:abstractNumId w:val="3"/>
  </w:num>
  <w:num w:numId="12">
    <w:abstractNumId w:val="8"/>
  </w:num>
  <w:num w:numId="13">
    <w:abstractNumId w:val="13"/>
  </w:num>
  <w:num w:numId="14">
    <w:abstractNumId w:val="14"/>
  </w:num>
  <w:num w:numId="15">
    <w:abstractNumId w:val="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B25"/>
    <w:rsid w:val="000B2832"/>
    <w:rsid w:val="000B4085"/>
    <w:rsid w:val="00127324"/>
    <w:rsid w:val="001B6CE4"/>
    <w:rsid w:val="001B7572"/>
    <w:rsid w:val="00293AEB"/>
    <w:rsid w:val="002B298A"/>
    <w:rsid w:val="002E1B21"/>
    <w:rsid w:val="00357568"/>
    <w:rsid w:val="003F7B25"/>
    <w:rsid w:val="00422B91"/>
    <w:rsid w:val="00443D91"/>
    <w:rsid w:val="004932FD"/>
    <w:rsid w:val="00544D74"/>
    <w:rsid w:val="005B72F1"/>
    <w:rsid w:val="005D0B08"/>
    <w:rsid w:val="006B1FD7"/>
    <w:rsid w:val="006C7901"/>
    <w:rsid w:val="007458AC"/>
    <w:rsid w:val="00755B3D"/>
    <w:rsid w:val="007B50CF"/>
    <w:rsid w:val="007D350D"/>
    <w:rsid w:val="0082476D"/>
    <w:rsid w:val="008C18F1"/>
    <w:rsid w:val="00937A30"/>
    <w:rsid w:val="0094667B"/>
    <w:rsid w:val="0095238C"/>
    <w:rsid w:val="00987BE4"/>
    <w:rsid w:val="009F0624"/>
    <w:rsid w:val="00A3623C"/>
    <w:rsid w:val="00AA112B"/>
    <w:rsid w:val="00AA326B"/>
    <w:rsid w:val="00AD6C71"/>
    <w:rsid w:val="00B033F8"/>
    <w:rsid w:val="00B401CF"/>
    <w:rsid w:val="00B473C7"/>
    <w:rsid w:val="00BD0E37"/>
    <w:rsid w:val="00C10DC3"/>
    <w:rsid w:val="00C83C08"/>
    <w:rsid w:val="00CB565C"/>
    <w:rsid w:val="00CF7330"/>
    <w:rsid w:val="00D85A8E"/>
    <w:rsid w:val="00DD43DB"/>
    <w:rsid w:val="00E03A5F"/>
    <w:rsid w:val="00E27EBD"/>
    <w:rsid w:val="00EE2967"/>
    <w:rsid w:val="00F174D1"/>
    <w:rsid w:val="00FC406D"/>
    <w:rsid w:val="00FF78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316B1"/>
  <w15:chartTrackingRefBased/>
  <w15:docId w15:val="{85F64A79-F7D5-4591-8E81-25208E258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01CF"/>
    <w:pPr>
      <w:spacing w:before="360" w:after="60" w:line="240" w:lineRule="auto"/>
      <w:outlineLvl w:val="0"/>
    </w:pPr>
    <w:rPr>
      <w:rFonts w:eastAsiaTheme="minorEastAsia"/>
      <w:b/>
      <w:color w:val="0070C0"/>
      <w:sz w:val="28"/>
      <w:szCs w:val="28"/>
      <w:lang w:eastAsia="en-AU"/>
    </w:rPr>
  </w:style>
  <w:style w:type="paragraph" w:styleId="Heading2">
    <w:name w:val="heading 2"/>
    <w:basedOn w:val="Normal"/>
    <w:next w:val="Normal"/>
    <w:link w:val="Heading2Char"/>
    <w:uiPriority w:val="9"/>
    <w:unhideWhenUsed/>
    <w:qFormat/>
    <w:rsid w:val="00B401CF"/>
    <w:pPr>
      <w:spacing w:before="240" w:after="60" w:line="240" w:lineRule="auto"/>
      <w:outlineLvl w:val="1"/>
    </w:pPr>
    <w:rPr>
      <w:rFonts w:eastAsiaTheme="minorEastAsia"/>
      <w:b/>
      <w:color w:val="0070C0"/>
      <w:sz w:val="28"/>
      <w:szCs w:val="28"/>
      <w:lang w:eastAsia="en-AU"/>
    </w:rPr>
  </w:style>
  <w:style w:type="paragraph" w:styleId="Heading3">
    <w:name w:val="heading 3"/>
    <w:basedOn w:val="Normal"/>
    <w:next w:val="Normal"/>
    <w:link w:val="Heading3Char"/>
    <w:uiPriority w:val="9"/>
    <w:unhideWhenUsed/>
    <w:qFormat/>
    <w:rsid w:val="007458A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01CF"/>
    <w:rPr>
      <w:rFonts w:eastAsiaTheme="minorEastAsia"/>
      <w:b/>
      <w:color w:val="0070C0"/>
      <w:sz w:val="28"/>
      <w:szCs w:val="28"/>
      <w:lang w:eastAsia="en-AU"/>
    </w:rPr>
  </w:style>
  <w:style w:type="character" w:customStyle="1" w:styleId="Heading2Char">
    <w:name w:val="Heading 2 Char"/>
    <w:basedOn w:val="DefaultParagraphFont"/>
    <w:link w:val="Heading2"/>
    <w:uiPriority w:val="9"/>
    <w:rsid w:val="00B401CF"/>
    <w:rPr>
      <w:rFonts w:eastAsiaTheme="minorEastAsia"/>
      <w:b/>
      <w:color w:val="0070C0"/>
      <w:sz w:val="28"/>
      <w:szCs w:val="28"/>
      <w:lang w:eastAsia="en-AU"/>
    </w:rPr>
  </w:style>
  <w:style w:type="character" w:customStyle="1" w:styleId="Heading3Char">
    <w:name w:val="Heading 3 Char"/>
    <w:basedOn w:val="DefaultParagraphFont"/>
    <w:link w:val="Heading3"/>
    <w:uiPriority w:val="9"/>
    <w:rsid w:val="007458AC"/>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link w:val="ListParagraphChar"/>
    <w:uiPriority w:val="34"/>
    <w:qFormat/>
    <w:rsid w:val="007458AC"/>
    <w:pPr>
      <w:spacing w:after="0" w:line="240" w:lineRule="auto"/>
      <w:ind w:left="720"/>
    </w:pPr>
    <w:rPr>
      <w:rFonts w:ascii="Calibri" w:eastAsia="Calibri" w:hAnsi="Calibri" w:cs="Times New Roman"/>
      <w:lang w:eastAsia="en-AU"/>
    </w:rPr>
  </w:style>
  <w:style w:type="character" w:styleId="Hyperlink">
    <w:name w:val="Hyperlink"/>
    <w:basedOn w:val="DefaultParagraphFont"/>
    <w:uiPriority w:val="99"/>
    <w:unhideWhenUsed/>
    <w:rsid w:val="007D350D"/>
    <w:rPr>
      <w:color w:val="0563C1" w:themeColor="hyperlink"/>
      <w:u w:val="single"/>
    </w:rPr>
  </w:style>
  <w:style w:type="character" w:styleId="CommentReference">
    <w:name w:val="annotation reference"/>
    <w:basedOn w:val="DefaultParagraphFont"/>
    <w:uiPriority w:val="99"/>
    <w:semiHidden/>
    <w:unhideWhenUsed/>
    <w:rsid w:val="00B473C7"/>
    <w:rPr>
      <w:sz w:val="16"/>
      <w:szCs w:val="16"/>
    </w:rPr>
  </w:style>
  <w:style w:type="paragraph" w:styleId="CommentText">
    <w:name w:val="annotation text"/>
    <w:basedOn w:val="Normal"/>
    <w:link w:val="CommentTextChar"/>
    <w:uiPriority w:val="99"/>
    <w:semiHidden/>
    <w:unhideWhenUsed/>
    <w:rsid w:val="00B473C7"/>
    <w:pPr>
      <w:spacing w:line="240" w:lineRule="auto"/>
    </w:pPr>
    <w:rPr>
      <w:sz w:val="20"/>
      <w:szCs w:val="20"/>
    </w:rPr>
  </w:style>
  <w:style w:type="character" w:customStyle="1" w:styleId="CommentTextChar">
    <w:name w:val="Comment Text Char"/>
    <w:basedOn w:val="DefaultParagraphFont"/>
    <w:link w:val="CommentText"/>
    <w:uiPriority w:val="99"/>
    <w:semiHidden/>
    <w:rsid w:val="00B473C7"/>
    <w:rPr>
      <w:sz w:val="20"/>
      <w:szCs w:val="20"/>
    </w:rPr>
  </w:style>
  <w:style w:type="paragraph" w:styleId="CommentSubject">
    <w:name w:val="annotation subject"/>
    <w:basedOn w:val="CommentText"/>
    <w:next w:val="CommentText"/>
    <w:link w:val="CommentSubjectChar"/>
    <w:uiPriority w:val="99"/>
    <w:semiHidden/>
    <w:unhideWhenUsed/>
    <w:rsid w:val="00B473C7"/>
    <w:rPr>
      <w:b/>
      <w:bCs/>
    </w:rPr>
  </w:style>
  <w:style w:type="character" w:customStyle="1" w:styleId="CommentSubjectChar">
    <w:name w:val="Comment Subject Char"/>
    <w:basedOn w:val="CommentTextChar"/>
    <w:link w:val="CommentSubject"/>
    <w:uiPriority w:val="99"/>
    <w:semiHidden/>
    <w:rsid w:val="00B473C7"/>
    <w:rPr>
      <w:b/>
      <w:bCs/>
      <w:sz w:val="20"/>
      <w:szCs w:val="20"/>
    </w:rPr>
  </w:style>
  <w:style w:type="paragraph" w:styleId="BalloonText">
    <w:name w:val="Balloon Text"/>
    <w:basedOn w:val="Normal"/>
    <w:link w:val="BalloonTextChar"/>
    <w:uiPriority w:val="99"/>
    <w:semiHidden/>
    <w:unhideWhenUsed/>
    <w:rsid w:val="00B473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73C7"/>
    <w:rPr>
      <w:rFonts w:ascii="Segoe UI" w:hAnsi="Segoe UI" w:cs="Segoe UI"/>
      <w:sz w:val="18"/>
      <w:szCs w:val="18"/>
    </w:rPr>
  </w:style>
  <w:style w:type="paragraph" w:customStyle="1" w:styleId="IIGBHeading2">
    <w:name w:val="IIGB Heading 2"/>
    <w:basedOn w:val="Normal"/>
    <w:rsid w:val="0094667B"/>
    <w:pPr>
      <w:spacing w:before="120" w:after="120" w:line="240" w:lineRule="auto"/>
    </w:pPr>
    <w:rPr>
      <w:rFonts w:ascii="Palatino Linotype" w:eastAsia="Times New Roman" w:hAnsi="Palatino Linotype" w:cs="Times New Roman"/>
      <w:b/>
      <w:smallCaps/>
      <w:sz w:val="28"/>
      <w:szCs w:val="24"/>
      <w:lang w:eastAsia="en-AU"/>
    </w:rPr>
  </w:style>
  <w:style w:type="paragraph" w:styleId="Footer">
    <w:name w:val="footer"/>
    <w:basedOn w:val="Normal"/>
    <w:link w:val="FooterChar"/>
    <w:uiPriority w:val="99"/>
    <w:rsid w:val="00544D74"/>
    <w:pPr>
      <w:tabs>
        <w:tab w:val="center" w:pos="4153"/>
        <w:tab w:val="right" w:pos="8306"/>
      </w:tabs>
    </w:pPr>
    <w:rPr>
      <w:rFonts w:eastAsiaTheme="minorEastAsia"/>
      <w:lang w:eastAsia="en-AU"/>
    </w:rPr>
  </w:style>
  <w:style w:type="character" w:customStyle="1" w:styleId="FooterChar">
    <w:name w:val="Footer Char"/>
    <w:basedOn w:val="DefaultParagraphFont"/>
    <w:link w:val="Footer"/>
    <w:uiPriority w:val="99"/>
    <w:rsid w:val="00544D74"/>
    <w:rPr>
      <w:rFonts w:eastAsiaTheme="minorEastAsia"/>
      <w:lang w:eastAsia="en-AU"/>
    </w:rPr>
  </w:style>
  <w:style w:type="character" w:customStyle="1" w:styleId="ListParagraphChar">
    <w:name w:val="List Paragraph Char"/>
    <w:basedOn w:val="DefaultParagraphFont"/>
    <w:link w:val="ListParagraph"/>
    <w:uiPriority w:val="34"/>
    <w:rsid w:val="00544D74"/>
    <w:rPr>
      <w:rFonts w:ascii="Calibri" w:eastAsia="Calibri" w:hAnsi="Calibri" w:cs="Times New Roman"/>
      <w:lang w:eastAsia="en-AU"/>
    </w:rPr>
  </w:style>
  <w:style w:type="paragraph" w:styleId="Header">
    <w:name w:val="header"/>
    <w:basedOn w:val="Normal"/>
    <w:link w:val="HeaderChar"/>
    <w:uiPriority w:val="99"/>
    <w:semiHidden/>
    <w:rsid w:val="00544D74"/>
    <w:pPr>
      <w:tabs>
        <w:tab w:val="left" w:pos="567"/>
        <w:tab w:val="center" w:pos="4820"/>
      </w:tabs>
      <w:spacing w:before="120" w:after="120" w:line="240" w:lineRule="auto"/>
      <w:jc w:val="center"/>
    </w:pPr>
    <w:rPr>
      <w:rFonts w:ascii="Calibri" w:eastAsia="Times New Roman" w:hAnsi="Calibri" w:cs="Times New Roman"/>
      <w:sz w:val="20"/>
      <w:szCs w:val="20"/>
      <w:lang w:val="x-none" w:eastAsia="x-none"/>
    </w:rPr>
  </w:style>
  <w:style w:type="character" w:customStyle="1" w:styleId="HeaderChar">
    <w:name w:val="Header Char"/>
    <w:basedOn w:val="DefaultParagraphFont"/>
    <w:link w:val="Header"/>
    <w:uiPriority w:val="99"/>
    <w:semiHidden/>
    <w:rsid w:val="00544D74"/>
    <w:rPr>
      <w:rFonts w:ascii="Calibri" w:eastAsia="Times New Roman" w:hAnsi="Calibri" w:cs="Times New Roman"/>
      <w:sz w:val="20"/>
      <w:szCs w:val="20"/>
      <w:lang w:val="x-none" w:eastAsia="x-none"/>
    </w:rPr>
  </w:style>
  <w:style w:type="paragraph" w:styleId="ListBullet">
    <w:name w:val="List Bullet"/>
    <w:rsid w:val="00544D74"/>
    <w:pPr>
      <w:numPr>
        <w:numId w:val="10"/>
      </w:numPr>
      <w:tabs>
        <w:tab w:val="left" w:pos="1134"/>
      </w:tabs>
      <w:spacing w:before="120" w:after="60" w:line="240" w:lineRule="auto"/>
      <w:ind w:left="357" w:right="284" w:hanging="357"/>
    </w:pPr>
    <w:rPr>
      <w:rFonts w:ascii="Calibri" w:eastAsia="Calibri" w:hAnsi="Calibri" w:cs="Arial"/>
      <w:sz w:val="24"/>
      <w:szCs w:val="24"/>
    </w:rPr>
  </w:style>
  <w:style w:type="paragraph" w:styleId="ListBullet2">
    <w:name w:val="List Bullet 2"/>
    <w:basedOn w:val="Normal"/>
    <w:rsid w:val="00544D74"/>
    <w:pPr>
      <w:numPr>
        <w:numId w:val="7"/>
      </w:numPr>
      <w:spacing w:before="120" w:after="120" w:line="240" w:lineRule="auto"/>
    </w:pPr>
    <w:rPr>
      <w:rFonts w:ascii="Calibri" w:eastAsia="Calibri" w:hAnsi="Calibri" w:cs="Times New Roman"/>
      <w:sz w:val="24"/>
    </w:rPr>
  </w:style>
  <w:style w:type="paragraph" w:styleId="ListNumber">
    <w:name w:val="List Number"/>
    <w:rsid w:val="00544D74"/>
    <w:pPr>
      <w:numPr>
        <w:numId w:val="9"/>
      </w:numPr>
      <w:tabs>
        <w:tab w:val="left" w:pos="567"/>
      </w:tabs>
      <w:spacing w:before="240" w:after="0" w:line="240" w:lineRule="auto"/>
    </w:pPr>
    <w:rPr>
      <w:rFonts w:ascii="Calibri" w:eastAsia="Calibri" w:hAnsi="Calibri" w:cs="Times New Roman"/>
      <w:sz w:val="24"/>
    </w:rPr>
  </w:style>
  <w:style w:type="numbering" w:customStyle="1" w:styleId="Part1">
    <w:name w:val="Part 1"/>
    <w:uiPriority w:val="99"/>
    <w:rsid w:val="00544D74"/>
    <w:pPr>
      <w:numPr>
        <w:numId w:val="8"/>
      </w:numPr>
    </w:pPr>
  </w:style>
  <w:style w:type="paragraph" w:customStyle="1" w:styleId="Heading2numbered">
    <w:name w:val="Heading 2 numbered"/>
    <w:basedOn w:val="Heading2"/>
    <w:qFormat/>
    <w:rsid w:val="008C18F1"/>
    <w:pPr>
      <w:pageBreakBefore/>
      <w:numPr>
        <w:numId w:val="14"/>
      </w:numPr>
      <w:suppressAutoHyphens/>
      <w:autoSpaceDN w:val="0"/>
      <w:spacing w:before="0" w:after="240"/>
      <w:textAlignment w:val="baseline"/>
    </w:pPr>
    <w:rPr>
      <w:rFonts w:ascii="Cambria" w:eastAsia="Times New Roman" w:hAnsi="Cambria" w:cs="Times New Roman"/>
      <w:b w:val="0"/>
      <w:bCs/>
      <w:color w:val="000000"/>
      <w:sz w:val="36"/>
    </w:rPr>
  </w:style>
  <w:style w:type="paragraph" w:styleId="ListNumber2">
    <w:name w:val="List Number 2"/>
    <w:uiPriority w:val="99"/>
    <w:rsid w:val="008C18F1"/>
    <w:pPr>
      <w:numPr>
        <w:ilvl w:val="1"/>
        <w:numId w:val="14"/>
      </w:numPr>
      <w:suppressAutoHyphens/>
      <w:autoSpaceDN w:val="0"/>
      <w:spacing w:before="120" w:after="0" w:line="240" w:lineRule="auto"/>
      <w:textAlignment w:val="baseline"/>
    </w:pPr>
    <w:rPr>
      <w:rFonts w:ascii="Calibri" w:eastAsia="Calibri" w:hAnsi="Calibri" w:cs="Times New Roman"/>
      <w:sz w:val="24"/>
    </w:rPr>
  </w:style>
  <w:style w:type="numbering" w:customStyle="1" w:styleId="Part2">
    <w:name w:val="Part 2"/>
    <w:basedOn w:val="NoList"/>
    <w:rsid w:val="008C18F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ubyprincessinquiry.nsw.gov.a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spgenbiosecurity@agriculture.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1022</Words>
  <Characters>5829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Confidence testing for critical biosecurity functions review</vt:lpstr>
    </vt:vector>
  </TitlesOfParts>
  <Company/>
  <LinksUpToDate>false</LinksUpToDate>
  <CharactersWithSpaces>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Confidence testing for critical biosecurity functions review</dc:title>
  <dc:subject/>
  <dc:creator>Australian Government Inspector-General of Biosecurity</dc:creator>
  <cp:keywords/>
  <dc:description/>
  <cp:lastModifiedBy>Dang, Van</cp:lastModifiedBy>
  <cp:revision>14</cp:revision>
  <dcterms:created xsi:type="dcterms:W3CDTF">2020-09-27T10:46:00Z</dcterms:created>
  <dcterms:modified xsi:type="dcterms:W3CDTF">2020-09-28T01:03:00Z</dcterms:modified>
</cp:coreProperties>
</file>