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A49EBF" w14:textId="51E2EB2A" w:rsidR="00AB0E44" w:rsidRDefault="00361FA3">
      <w:pPr>
        <w:tabs>
          <w:tab w:val="clear" w:pos="567"/>
        </w:tabs>
        <w:spacing w:before="0" w:after="0"/>
        <w:rPr>
          <w:b/>
          <w:bCs/>
        </w:rPr>
      </w:pPr>
      <w:r>
        <w:rPr>
          <w:noProof/>
          <w:lang w:eastAsia="en-AU"/>
        </w:rPr>
        <w:drawing>
          <wp:inline distT="0" distB="0" distL="0" distR="0" wp14:anchorId="45FB4D20" wp14:editId="54CA9685">
            <wp:extent cx="2035810" cy="1041400"/>
            <wp:effectExtent l="0" t="0" r="2540" b="6350"/>
            <wp:docPr id="22" name="Picture 22" descr="Australian Government Inspector-General of Bio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GB_crest-0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035810" cy="1041400"/>
                    </a:xfrm>
                    <a:prstGeom prst="rect">
                      <a:avLst/>
                    </a:prstGeom>
                    <a:noFill/>
                    <a:ln>
                      <a:noFill/>
                    </a:ln>
                  </pic:spPr>
                </pic:pic>
              </a:graphicData>
            </a:graphic>
          </wp:inline>
        </w:drawing>
      </w:r>
    </w:p>
    <w:p w14:paraId="1C6AEDC4" w14:textId="77777777" w:rsidR="00AB0E44" w:rsidRDefault="00361FA3">
      <w:pPr>
        <w:spacing w:before="240" w:after="0"/>
        <w:rPr>
          <w:b/>
        </w:rPr>
      </w:pPr>
      <w:r>
        <w:rPr>
          <w:rStyle w:val="Bold"/>
        </w:rPr>
        <w:t>Review report No.</w:t>
      </w:r>
      <w:r>
        <w:rPr>
          <w:rFonts w:cs="Calibri"/>
          <w:szCs w:val="24"/>
        </w:rPr>
        <w:t xml:space="preserve"> 2017–18/02</w:t>
      </w:r>
    </w:p>
    <w:p w14:paraId="4D302CA7" w14:textId="77777777" w:rsidR="00AB0E44" w:rsidRDefault="00361FA3">
      <w:pPr>
        <w:pStyle w:val="Heading1"/>
      </w:pPr>
      <w:r>
        <w:rPr>
          <w:lang w:val="en"/>
        </w:rPr>
        <w:t xml:space="preserve">Hitchhiker pest and contaminant biosecurity risk management </w:t>
      </w:r>
      <w:r>
        <w:t>in Australia</w:t>
      </w:r>
    </w:p>
    <w:p w14:paraId="4C2DE233" w14:textId="77777777" w:rsidR="00AB0E44" w:rsidRDefault="00847E6D">
      <w:r>
        <w:rPr>
          <w:noProof/>
        </w:rPr>
        <w:pict w14:anchorId="3FB0C80E">
          <v:rect id="_x0000_i1025" alt="" style="width:223.95pt;height:.05pt;mso-width-percent:0;mso-height-percent:0;mso-width-percent:0;mso-height-percent:0" o:hralign="center" o:hrstd="t" o:hr="t" fillcolor="#aca899" stroked="f"/>
        </w:pict>
      </w:r>
    </w:p>
    <w:p w14:paraId="174BAF13" w14:textId="77777777" w:rsidR="00AB0E44" w:rsidRDefault="00AB0E44"/>
    <w:p w14:paraId="4D8818A2" w14:textId="77777777" w:rsidR="00AB0E44" w:rsidRDefault="00361FA3" w:rsidP="00061F39">
      <w:pPr>
        <w:jc w:val="center"/>
      </w:pPr>
      <w:r>
        <w:rPr>
          <w:noProof/>
          <w:lang w:eastAsia="en-AU"/>
        </w:rPr>
        <w:drawing>
          <wp:inline distT="0" distB="0" distL="0" distR="0" wp14:anchorId="6489FAE5" wp14:editId="1C6B1682">
            <wp:extent cx="4857735" cy="5700314"/>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4596" cy="5720100"/>
                    </a:xfrm>
                    <a:prstGeom prst="rect">
                      <a:avLst/>
                    </a:prstGeom>
                    <a:noFill/>
                  </pic:spPr>
                </pic:pic>
              </a:graphicData>
            </a:graphic>
          </wp:inline>
        </w:drawing>
      </w:r>
      <w:r>
        <w:br w:type="page"/>
      </w:r>
    </w:p>
    <w:p w14:paraId="7925E98C" w14:textId="77777777" w:rsidR="00AB0E44" w:rsidRDefault="00361FA3">
      <w:pPr>
        <w:pStyle w:val="Normalsmall"/>
      </w:pPr>
      <w:r>
        <w:lastRenderedPageBreak/>
        <w:t>© Commonwealth of Australia 2018</w:t>
      </w:r>
    </w:p>
    <w:p w14:paraId="3E7D92E0" w14:textId="77777777" w:rsidR="00AB0E44" w:rsidRDefault="00361FA3">
      <w:pPr>
        <w:pStyle w:val="Normalsmall"/>
      </w:pPr>
      <w:r>
        <w:t>Ownership of intellectual property rights</w:t>
      </w:r>
    </w:p>
    <w:p w14:paraId="72786E51" w14:textId="77777777" w:rsidR="00AB0E44" w:rsidRDefault="00361FA3">
      <w:pPr>
        <w:pStyle w:val="Normalsmall"/>
      </w:pPr>
      <w:r>
        <w:t>Unless otherwise noted, copyright (and any other intellectual property rights, if any) in this publication is owned by the Commonwealth of Australia (referred to as the Commonwealth).</w:t>
      </w:r>
    </w:p>
    <w:p w14:paraId="112D1C8E" w14:textId="77777777" w:rsidR="00AB0E44" w:rsidRDefault="00361FA3">
      <w:pPr>
        <w:pStyle w:val="Normalsmall"/>
        <w:rPr>
          <w:rStyle w:val="Strong"/>
        </w:rPr>
      </w:pPr>
      <w:proofErr w:type="gramStart"/>
      <w:r>
        <w:rPr>
          <w:rStyle w:val="Strong"/>
        </w:rPr>
        <w:t>Creative Commons</w:t>
      </w:r>
      <w:proofErr w:type="gramEnd"/>
      <w:r>
        <w:rPr>
          <w:rStyle w:val="Strong"/>
        </w:rPr>
        <w:t xml:space="preserve"> licence</w:t>
      </w:r>
    </w:p>
    <w:p w14:paraId="0AAD2245" w14:textId="77777777" w:rsidR="00AB0E44" w:rsidRDefault="00361FA3">
      <w:pPr>
        <w:pStyle w:val="Normalsmall"/>
      </w:pPr>
      <w:r>
        <w:t xml:space="preserve">All material in this publication is licensed under a Creative </w:t>
      </w:r>
      <w:hyperlink r:id="rId10" w:history="1">
        <w:r>
          <w:rPr>
            <w:rStyle w:val="Hyperlink"/>
          </w:rPr>
          <w:t>Commons Attribution 4.0 International Licence</w:t>
        </w:r>
      </w:hyperlink>
      <w:r>
        <w:t xml:space="preserve"> except content supplied by third parties, logos and the Commonwealth Coat of Arms.</w:t>
      </w:r>
    </w:p>
    <w:p w14:paraId="2F086AC3" w14:textId="77777777" w:rsidR="00AB0E44" w:rsidRDefault="00361FA3">
      <w:pPr>
        <w:pStyle w:val="Normalsmall"/>
      </w:pPr>
      <w:r>
        <w:t xml:space="preserve">Inquiries about the licence and any use of this document should be emailed to </w:t>
      </w:r>
      <w:hyperlink r:id="rId11" w:history="1">
        <w:r>
          <w:rPr>
            <w:rStyle w:val="Hyperlink"/>
          </w:rPr>
          <w:t>copyright@agriculture.gov.au</w:t>
        </w:r>
      </w:hyperlink>
      <w:r>
        <w:t>.</w:t>
      </w:r>
    </w:p>
    <w:p w14:paraId="70F48F6E" w14:textId="77777777" w:rsidR="00AB0E44" w:rsidRDefault="00361FA3">
      <w:pPr>
        <w:pStyle w:val="Normalsmall"/>
        <w:rPr>
          <w:highlight w:val="yellow"/>
        </w:rPr>
      </w:pPr>
      <w:r>
        <w:rPr>
          <w:noProof/>
          <w:highlight w:val="yellow"/>
          <w:lang w:eastAsia="en-AU"/>
        </w:rPr>
        <w:drawing>
          <wp:inline distT="0" distB="0" distL="0" distR="0" wp14:anchorId="534B419B" wp14:editId="0920C2FC">
            <wp:extent cx="723265" cy="254635"/>
            <wp:effectExtent l="0" t="0" r="635" b="0"/>
            <wp:docPr id="23" name="Picture 23"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y"/>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23265" cy="254635"/>
                    </a:xfrm>
                    <a:prstGeom prst="rect">
                      <a:avLst/>
                    </a:prstGeom>
                    <a:noFill/>
                    <a:ln>
                      <a:noFill/>
                    </a:ln>
                  </pic:spPr>
                </pic:pic>
              </a:graphicData>
            </a:graphic>
          </wp:inline>
        </w:drawing>
      </w:r>
    </w:p>
    <w:p w14:paraId="712F71EF" w14:textId="77777777" w:rsidR="00AB0E44" w:rsidRDefault="00361FA3">
      <w:pPr>
        <w:pStyle w:val="Normalsmall"/>
        <w:rPr>
          <w:rStyle w:val="Strong"/>
        </w:rPr>
      </w:pPr>
      <w:r>
        <w:rPr>
          <w:rStyle w:val="Strong"/>
        </w:rPr>
        <w:t>Cataloguing data</w:t>
      </w:r>
    </w:p>
    <w:p w14:paraId="4432CB25" w14:textId="20320CC1" w:rsidR="00AB0E44" w:rsidRDefault="00361FA3">
      <w:pPr>
        <w:pStyle w:val="Normalsmall"/>
      </w:pPr>
      <w:r>
        <w:t xml:space="preserve">Inspector-General of Biosecurity 2018, </w:t>
      </w:r>
      <w:r>
        <w:rPr>
          <w:rStyle w:val="Emphasis"/>
        </w:rPr>
        <w:t xml:space="preserve">Hitchhiker </w:t>
      </w:r>
      <w:r w:rsidR="00562942">
        <w:rPr>
          <w:rStyle w:val="Emphasis"/>
        </w:rPr>
        <w:t xml:space="preserve">pest </w:t>
      </w:r>
      <w:r>
        <w:rPr>
          <w:rStyle w:val="Emphasis"/>
        </w:rPr>
        <w:t>and contaminant biosecurity risk management in Australia</w:t>
      </w:r>
      <w:r>
        <w:t>, Department of Agriculture and Water Resources, Canberra.</w:t>
      </w:r>
    </w:p>
    <w:p w14:paraId="7A6E5B65" w14:textId="179CC47C" w:rsidR="00432A03" w:rsidRDefault="00432A03">
      <w:pPr>
        <w:pStyle w:val="Normalsmall"/>
      </w:pPr>
      <w:r>
        <w:t xml:space="preserve">ISBN: </w:t>
      </w:r>
      <w:r w:rsidRPr="00432A03">
        <w:t>9781760031619</w:t>
      </w:r>
    </w:p>
    <w:p w14:paraId="6BA824E1" w14:textId="77777777" w:rsidR="00AB0E44" w:rsidRDefault="00361FA3">
      <w:pPr>
        <w:pStyle w:val="Normalsmall"/>
      </w:pPr>
      <w:r>
        <w:t xml:space="preserve">This publication is available at </w:t>
      </w:r>
      <w:hyperlink r:id="rId13" w:history="1">
        <w:r>
          <w:rPr>
            <w:rStyle w:val="Hyperlink"/>
          </w:rPr>
          <w:t>igb.gov.au/Pages/completed-audits-and-reviews.aspx</w:t>
        </w:r>
      </w:hyperlink>
      <w:r>
        <w:t>.</w:t>
      </w:r>
    </w:p>
    <w:p w14:paraId="2C9BAECC" w14:textId="77777777" w:rsidR="00AB0E44" w:rsidRDefault="00361FA3">
      <w:pPr>
        <w:pStyle w:val="Normalsmall"/>
        <w:spacing w:after="0"/>
      </w:pPr>
      <w:r>
        <w:t>Inspector-General of Biosecurity</w:t>
      </w:r>
    </w:p>
    <w:p w14:paraId="6B8D80AE" w14:textId="77777777" w:rsidR="00AB0E44" w:rsidRDefault="00361FA3">
      <w:pPr>
        <w:pStyle w:val="Normalsmall"/>
        <w:spacing w:after="0"/>
      </w:pPr>
      <w:proofErr w:type="gramStart"/>
      <w:r>
        <w:t>c/o</w:t>
      </w:r>
      <w:proofErr w:type="gramEnd"/>
      <w:r>
        <w:t xml:space="preserve"> Department of Agriculture and Water Resources</w:t>
      </w:r>
    </w:p>
    <w:p w14:paraId="2E8E725F" w14:textId="77777777" w:rsidR="00AB0E44" w:rsidRDefault="00361FA3">
      <w:pPr>
        <w:pStyle w:val="Normalsmall"/>
        <w:spacing w:after="0"/>
      </w:pPr>
      <w:r>
        <w:t>PO Box 657</w:t>
      </w:r>
    </w:p>
    <w:p w14:paraId="29C6745D" w14:textId="77777777" w:rsidR="00AB0E44" w:rsidRDefault="00361FA3">
      <w:pPr>
        <w:pStyle w:val="Normalsmall"/>
        <w:spacing w:after="0"/>
      </w:pPr>
      <w:r>
        <w:t>Mascot NSW 1460</w:t>
      </w:r>
    </w:p>
    <w:p w14:paraId="3D6AE30F" w14:textId="77777777" w:rsidR="00AB0E44" w:rsidRDefault="00361FA3">
      <w:pPr>
        <w:pStyle w:val="Normalsmall"/>
      </w:pPr>
      <w:r>
        <w:t>Switchboard +61 2 6272 3933</w:t>
      </w:r>
    </w:p>
    <w:p w14:paraId="48959708" w14:textId="77777777" w:rsidR="00AB0E44" w:rsidRDefault="00361FA3">
      <w:pPr>
        <w:pStyle w:val="Normalsmall"/>
      </w:pPr>
      <w:r>
        <w:t xml:space="preserve">Email </w:t>
      </w:r>
      <w:hyperlink r:id="rId14" w:history="1">
        <w:r>
          <w:rPr>
            <w:rStyle w:val="Hyperlink"/>
          </w:rPr>
          <w:t>inspgenbiosecurity@agriculture.gov.au</w:t>
        </w:r>
      </w:hyperlink>
    </w:p>
    <w:p w14:paraId="2DCFECEB" w14:textId="77777777" w:rsidR="00AB0E44" w:rsidRDefault="00361FA3">
      <w:pPr>
        <w:pStyle w:val="Normalsmall"/>
      </w:pPr>
      <w:r>
        <w:t xml:space="preserve">Web </w:t>
      </w:r>
      <w:hyperlink r:id="rId15" w:history="1">
        <w:r>
          <w:rPr>
            <w:rStyle w:val="Hyperlink"/>
          </w:rPr>
          <w:t>igb.gov.au/Pages/default.aspx</w:t>
        </w:r>
      </w:hyperlink>
    </w:p>
    <w:p w14:paraId="1CC0B323" w14:textId="77777777" w:rsidR="00AB0E44" w:rsidRDefault="00361FA3">
      <w:pPr>
        <w:pStyle w:val="Normalsmall"/>
      </w:pPr>
      <w:r>
        <w:t>The Australian Government, represented by the Inspector-General of Biosecurity, has exercised due care and skill in preparing and compiling the information and data in this publication. Notwithstanding, the Inspector-General of Biosecurity, the Australian Government’s employees and advisers disclaim all liability, including for negligence and for any loss, damage, injury, expense or cost incurred by any person as a result of accessing, using or relying on information or data in this publication to the maximum extent permitted by law.</w:t>
      </w:r>
    </w:p>
    <w:p w14:paraId="27A50F4C" w14:textId="77777777" w:rsidR="00AB0E44" w:rsidRDefault="00361FA3">
      <w:pPr>
        <w:pStyle w:val="Normalsmall"/>
        <w:rPr>
          <w:rStyle w:val="Strong"/>
        </w:rPr>
      </w:pPr>
      <w:r>
        <w:rPr>
          <w:rStyle w:val="Strong"/>
        </w:rPr>
        <w:t>Credits</w:t>
      </w:r>
    </w:p>
    <w:p w14:paraId="02489853" w14:textId="77777777" w:rsidR="00AB0E44" w:rsidRDefault="00361FA3">
      <w:pPr>
        <w:pStyle w:val="Normalsmall"/>
      </w:pPr>
      <w:r>
        <w:t xml:space="preserve">Photographs courtesy of Department of Agriculture and Water Resources </w:t>
      </w:r>
      <w:r>
        <w:rPr>
          <w:b/>
          <w:bCs/>
        </w:rPr>
        <w:br w:type="page"/>
      </w:r>
    </w:p>
    <w:sdt>
      <w:sdtPr>
        <w:rPr>
          <w:rFonts w:ascii="Calibri" w:hAnsi="Calibri"/>
          <w:b w:val="0"/>
          <w:bCs/>
          <w:color w:val="auto"/>
          <w:sz w:val="24"/>
          <w:szCs w:val="22"/>
          <w:lang w:val="en-AU"/>
        </w:rPr>
        <w:id w:val="1274512769"/>
        <w:docPartObj>
          <w:docPartGallery w:val="Table of Contents"/>
          <w:docPartUnique/>
        </w:docPartObj>
      </w:sdtPr>
      <w:sdtEndPr>
        <w:rPr>
          <w:rFonts w:asciiTheme="minorHAnsi" w:hAnsiTheme="minorHAnsi"/>
          <w:bCs w:val="0"/>
          <w:noProof/>
        </w:rPr>
      </w:sdtEndPr>
      <w:sdtContent>
        <w:p w14:paraId="36086718" w14:textId="77777777" w:rsidR="00AB0E44" w:rsidRDefault="00361FA3">
          <w:pPr>
            <w:pStyle w:val="TOCHeading"/>
          </w:pPr>
          <w:r>
            <w:t>Contents</w:t>
          </w:r>
        </w:p>
        <w:p w14:paraId="08DE435D" w14:textId="77777777" w:rsidR="00847E6D" w:rsidRDefault="00361FA3">
          <w:pPr>
            <w:pStyle w:val="TOC1"/>
            <w:rPr>
              <w:rFonts w:eastAsiaTheme="minorEastAsia" w:cstheme="minorBidi"/>
              <w:b w:val="0"/>
              <w:noProof/>
              <w:sz w:val="22"/>
              <w:szCs w:val="22"/>
              <w:lang w:eastAsia="en-AU"/>
            </w:rPr>
          </w:pPr>
          <w:r>
            <w:rPr>
              <w:bCs/>
            </w:rPr>
            <w:fldChar w:fldCharType="begin"/>
          </w:r>
          <w:r>
            <w:rPr>
              <w:bCs/>
            </w:rPr>
            <w:instrText xml:space="preserve"> TOC \h \z \t "Heading 2,1,Heading 3,2" </w:instrText>
          </w:r>
          <w:r>
            <w:rPr>
              <w:bCs/>
            </w:rPr>
            <w:fldChar w:fldCharType="separate"/>
          </w:r>
          <w:hyperlink w:anchor="_Toc521069527" w:history="1">
            <w:r w:rsidR="00847E6D" w:rsidRPr="00FF0E45">
              <w:rPr>
                <w:rStyle w:val="Hyperlink"/>
                <w:noProof/>
              </w:rPr>
              <w:t>Review process</w:t>
            </w:r>
            <w:r w:rsidR="00847E6D">
              <w:rPr>
                <w:noProof/>
                <w:webHidden/>
              </w:rPr>
              <w:tab/>
            </w:r>
            <w:r w:rsidR="00847E6D">
              <w:rPr>
                <w:noProof/>
                <w:webHidden/>
              </w:rPr>
              <w:fldChar w:fldCharType="begin"/>
            </w:r>
            <w:r w:rsidR="00847E6D">
              <w:rPr>
                <w:noProof/>
                <w:webHidden/>
              </w:rPr>
              <w:instrText xml:space="preserve"> PAGEREF _Toc521069527 \h </w:instrText>
            </w:r>
            <w:r w:rsidR="00847E6D">
              <w:rPr>
                <w:noProof/>
                <w:webHidden/>
              </w:rPr>
            </w:r>
            <w:r w:rsidR="00847E6D">
              <w:rPr>
                <w:noProof/>
                <w:webHidden/>
              </w:rPr>
              <w:fldChar w:fldCharType="separate"/>
            </w:r>
            <w:r w:rsidR="00847E6D">
              <w:rPr>
                <w:noProof/>
                <w:webHidden/>
              </w:rPr>
              <w:t>1</w:t>
            </w:r>
            <w:r w:rsidR="00847E6D">
              <w:rPr>
                <w:noProof/>
                <w:webHidden/>
              </w:rPr>
              <w:fldChar w:fldCharType="end"/>
            </w:r>
          </w:hyperlink>
        </w:p>
        <w:p w14:paraId="51CB068C" w14:textId="77777777" w:rsidR="00847E6D" w:rsidRDefault="00847E6D">
          <w:pPr>
            <w:pStyle w:val="TOC1"/>
            <w:rPr>
              <w:rFonts w:eastAsiaTheme="minorEastAsia" w:cstheme="minorBidi"/>
              <w:b w:val="0"/>
              <w:noProof/>
              <w:sz w:val="22"/>
              <w:szCs w:val="22"/>
              <w:lang w:eastAsia="en-AU"/>
            </w:rPr>
          </w:pPr>
          <w:hyperlink w:anchor="_Toc521069528" w:history="1">
            <w:r w:rsidRPr="00FF0E45">
              <w:rPr>
                <w:rStyle w:val="Hyperlink"/>
                <w:noProof/>
              </w:rPr>
              <w:t>Summary</w:t>
            </w:r>
            <w:r>
              <w:rPr>
                <w:noProof/>
                <w:webHidden/>
              </w:rPr>
              <w:tab/>
            </w:r>
            <w:r>
              <w:rPr>
                <w:noProof/>
                <w:webHidden/>
              </w:rPr>
              <w:fldChar w:fldCharType="begin"/>
            </w:r>
            <w:r>
              <w:rPr>
                <w:noProof/>
                <w:webHidden/>
              </w:rPr>
              <w:instrText xml:space="preserve"> PAGEREF _Toc521069528 \h </w:instrText>
            </w:r>
            <w:r>
              <w:rPr>
                <w:noProof/>
                <w:webHidden/>
              </w:rPr>
            </w:r>
            <w:r>
              <w:rPr>
                <w:noProof/>
                <w:webHidden/>
              </w:rPr>
              <w:fldChar w:fldCharType="separate"/>
            </w:r>
            <w:r>
              <w:rPr>
                <w:noProof/>
                <w:webHidden/>
              </w:rPr>
              <w:t>3</w:t>
            </w:r>
            <w:r>
              <w:rPr>
                <w:noProof/>
                <w:webHidden/>
              </w:rPr>
              <w:fldChar w:fldCharType="end"/>
            </w:r>
          </w:hyperlink>
        </w:p>
        <w:p w14:paraId="74C718CD" w14:textId="77777777" w:rsidR="00847E6D" w:rsidRDefault="00847E6D">
          <w:pPr>
            <w:pStyle w:val="TOC1"/>
            <w:rPr>
              <w:rFonts w:eastAsiaTheme="minorEastAsia" w:cstheme="minorBidi"/>
              <w:b w:val="0"/>
              <w:noProof/>
              <w:sz w:val="22"/>
              <w:szCs w:val="22"/>
              <w:lang w:eastAsia="en-AU"/>
            </w:rPr>
          </w:pPr>
          <w:hyperlink w:anchor="_Toc521069529" w:history="1">
            <w:r w:rsidRPr="00FF0E45">
              <w:rPr>
                <w:rStyle w:val="Hyperlink"/>
                <w:noProof/>
              </w:rPr>
              <w:t>Recommendations</w:t>
            </w:r>
            <w:r>
              <w:rPr>
                <w:noProof/>
                <w:webHidden/>
              </w:rPr>
              <w:tab/>
            </w:r>
            <w:r>
              <w:rPr>
                <w:noProof/>
                <w:webHidden/>
              </w:rPr>
              <w:fldChar w:fldCharType="begin"/>
            </w:r>
            <w:r>
              <w:rPr>
                <w:noProof/>
                <w:webHidden/>
              </w:rPr>
              <w:instrText xml:space="preserve"> PAGEREF _Toc521069529 \h </w:instrText>
            </w:r>
            <w:r>
              <w:rPr>
                <w:noProof/>
                <w:webHidden/>
              </w:rPr>
            </w:r>
            <w:r>
              <w:rPr>
                <w:noProof/>
                <w:webHidden/>
              </w:rPr>
              <w:fldChar w:fldCharType="separate"/>
            </w:r>
            <w:r>
              <w:rPr>
                <w:noProof/>
                <w:webHidden/>
              </w:rPr>
              <w:t>11</w:t>
            </w:r>
            <w:r>
              <w:rPr>
                <w:noProof/>
                <w:webHidden/>
              </w:rPr>
              <w:fldChar w:fldCharType="end"/>
            </w:r>
          </w:hyperlink>
        </w:p>
        <w:p w14:paraId="150F588D" w14:textId="77777777" w:rsidR="00847E6D" w:rsidRDefault="00847E6D">
          <w:pPr>
            <w:pStyle w:val="TOC1"/>
            <w:rPr>
              <w:rFonts w:eastAsiaTheme="minorEastAsia" w:cstheme="minorBidi"/>
              <w:b w:val="0"/>
              <w:noProof/>
              <w:sz w:val="22"/>
              <w:szCs w:val="22"/>
              <w:lang w:eastAsia="en-AU"/>
            </w:rPr>
          </w:pPr>
          <w:hyperlink w:anchor="_Toc521069530" w:history="1">
            <w:r w:rsidRPr="00FF0E45">
              <w:rPr>
                <w:rStyle w:val="Hyperlink"/>
                <w:rFonts w:ascii="Calibri" w:hAnsi="Calibri"/>
                <w:noProof/>
              </w:rPr>
              <w:t>1</w:t>
            </w:r>
            <w:r>
              <w:rPr>
                <w:rFonts w:eastAsiaTheme="minorEastAsia" w:cstheme="minorBidi"/>
                <w:b w:val="0"/>
                <w:noProof/>
                <w:sz w:val="22"/>
                <w:szCs w:val="22"/>
                <w:lang w:eastAsia="en-AU"/>
              </w:rPr>
              <w:tab/>
            </w:r>
            <w:r w:rsidRPr="00FF0E45">
              <w:rPr>
                <w:rStyle w:val="Hyperlink"/>
                <w:noProof/>
              </w:rPr>
              <w:t>Challenges for Australia</w:t>
            </w:r>
            <w:r>
              <w:rPr>
                <w:noProof/>
                <w:webHidden/>
              </w:rPr>
              <w:tab/>
            </w:r>
            <w:r>
              <w:rPr>
                <w:noProof/>
                <w:webHidden/>
              </w:rPr>
              <w:fldChar w:fldCharType="begin"/>
            </w:r>
            <w:r>
              <w:rPr>
                <w:noProof/>
                <w:webHidden/>
              </w:rPr>
              <w:instrText xml:space="preserve"> PAGEREF _Toc521069530 \h </w:instrText>
            </w:r>
            <w:r>
              <w:rPr>
                <w:noProof/>
                <w:webHidden/>
              </w:rPr>
            </w:r>
            <w:r>
              <w:rPr>
                <w:noProof/>
                <w:webHidden/>
              </w:rPr>
              <w:fldChar w:fldCharType="separate"/>
            </w:r>
            <w:r>
              <w:rPr>
                <w:noProof/>
                <w:webHidden/>
              </w:rPr>
              <w:t>14</w:t>
            </w:r>
            <w:r>
              <w:rPr>
                <w:noProof/>
                <w:webHidden/>
              </w:rPr>
              <w:fldChar w:fldCharType="end"/>
            </w:r>
          </w:hyperlink>
        </w:p>
        <w:p w14:paraId="08C4D83E" w14:textId="77777777" w:rsidR="00847E6D" w:rsidRDefault="00847E6D">
          <w:pPr>
            <w:pStyle w:val="TOC2"/>
            <w:rPr>
              <w:rFonts w:eastAsiaTheme="minorEastAsia" w:cstheme="minorBidi"/>
              <w:iCs w:val="0"/>
              <w:sz w:val="22"/>
              <w:szCs w:val="22"/>
              <w:lang w:eastAsia="en-AU"/>
            </w:rPr>
          </w:pPr>
          <w:hyperlink w:anchor="_Toc521069531" w:history="1">
            <w:r w:rsidRPr="00FF0E45">
              <w:rPr>
                <w:rStyle w:val="Hyperlink"/>
                <w:rFonts w:ascii="Calibri" w:hAnsi="Calibri"/>
              </w:rPr>
              <w:t>1.1</w:t>
            </w:r>
            <w:r>
              <w:rPr>
                <w:rFonts w:eastAsiaTheme="minorEastAsia" w:cstheme="minorBidi"/>
                <w:iCs w:val="0"/>
                <w:sz w:val="22"/>
                <w:szCs w:val="22"/>
                <w:lang w:eastAsia="en-AU"/>
              </w:rPr>
              <w:tab/>
            </w:r>
            <w:r w:rsidRPr="00FF0E45">
              <w:rPr>
                <w:rStyle w:val="Hyperlink"/>
              </w:rPr>
              <w:t>Hitchhiker and contaminant biosecurity risks increasing</w:t>
            </w:r>
            <w:r>
              <w:rPr>
                <w:webHidden/>
              </w:rPr>
              <w:tab/>
            </w:r>
            <w:r>
              <w:rPr>
                <w:webHidden/>
              </w:rPr>
              <w:fldChar w:fldCharType="begin"/>
            </w:r>
            <w:r>
              <w:rPr>
                <w:webHidden/>
              </w:rPr>
              <w:instrText xml:space="preserve"> PAGEREF _Toc521069531 \h </w:instrText>
            </w:r>
            <w:r>
              <w:rPr>
                <w:webHidden/>
              </w:rPr>
            </w:r>
            <w:r>
              <w:rPr>
                <w:webHidden/>
              </w:rPr>
              <w:fldChar w:fldCharType="separate"/>
            </w:r>
            <w:r>
              <w:rPr>
                <w:webHidden/>
              </w:rPr>
              <w:t>14</w:t>
            </w:r>
            <w:r>
              <w:rPr>
                <w:webHidden/>
              </w:rPr>
              <w:fldChar w:fldCharType="end"/>
            </w:r>
          </w:hyperlink>
        </w:p>
        <w:p w14:paraId="02A86CC9" w14:textId="77777777" w:rsidR="00847E6D" w:rsidRDefault="00847E6D">
          <w:pPr>
            <w:pStyle w:val="TOC2"/>
            <w:rPr>
              <w:rFonts w:eastAsiaTheme="minorEastAsia" w:cstheme="minorBidi"/>
              <w:iCs w:val="0"/>
              <w:sz w:val="22"/>
              <w:szCs w:val="22"/>
              <w:lang w:eastAsia="en-AU"/>
            </w:rPr>
          </w:pPr>
          <w:hyperlink w:anchor="_Toc521069532" w:history="1">
            <w:r w:rsidRPr="00FF0E45">
              <w:rPr>
                <w:rStyle w:val="Hyperlink"/>
                <w:rFonts w:ascii="Calibri" w:hAnsi="Calibri"/>
              </w:rPr>
              <w:t>1.2</w:t>
            </w:r>
            <w:r>
              <w:rPr>
                <w:rFonts w:eastAsiaTheme="minorEastAsia" w:cstheme="minorBidi"/>
                <w:iCs w:val="0"/>
                <w:sz w:val="22"/>
                <w:szCs w:val="22"/>
                <w:lang w:eastAsia="en-AU"/>
              </w:rPr>
              <w:tab/>
            </w:r>
            <w:r w:rsidRPr="00FF0E45">
              <w:rPr>
                <w:rStyle w:val="Hyperlink"/>
              </w:rPr>
              <w:t>Terrestrial hitchhiker pests and contaminants</w:t>
            </w:r>
            <w:r>
              <w:rPr>
                <w:webHidden/>
              </w:rPr>
              <w:tab/>
            </w:r>
            <w:r>
              <w:rPr>
                <w:webHidden/>
              </w:rPr>
              <w:fldChar w:fldCharType="begin"/>
            </w:r>
            <w:r>
              <w:rPr>
                <w:webHidden/>
              </w:rPr>
              <w:instrText xml:space="preserve"> PAGEREF _Toc521069532 \h </w:instrText>
            </w:r>
            <w:r>
              <w:rPr>
                <w:webHidden/>
              </w:rPr>
            </w:r>
            <w:r>
              <w:rPr>
                <w:webHidden/>
              </w:rPr>
              <w:fldChar w:fldCharType="separate"/>
            </w:r>
            <w:r>
              <w:rPr>
                <w:webHidden/>
              </w:rPr>
              <w:t>15</w:t>
            </w:r>
            <w:r>
              <w:rPr>
                <w:webHidden/>
              </w:rPr>
              <w:fldChar w:fldCharType="end"/>
            </w:r>
          </w:hyperlink>
        </w:p>
        <w:p w14:paraId="12621F95" w14:textId="77777777" w:rsidR="00847E6D" w:rsidRDefault="00847E6D">
          <w:pPr>
            <w:pStyle w:val="TOC2"/>
            <w:rPr>
              <w:rFonts w:eastAsiaTheme="minorEastAsia" w:cstheme="minorBidi"/>
              <w:iCs w:val="0"/>
              <w:sz w:val="22"/>
              <w:szCs w:val="22"/>
              <w:lang w:eastAsia="en-AU"/>
            </w:rPr>
          </w:pPr>
          <w:hyperlink w:anchor="_Toc521069533" w:history="1">
            <w:r w:rsidRPr="00FF0E45">
              <w:rPr>
                <w:rStyle w:val="Hyperlink"/>
                <w:rFonts w:ascii="Calibri" w:hAnsi="Calibri"/>
                <w:lang w:eastAsia="ja-JP"/>
              </w:rPr>
              <w:t>1.3</w:t>
            </w:r>
            <w:r>
              <w:rPr>
                <w:rFonts w:eastAsiaTheme="minorEastAsia" w:cstheme="minorBidi"/>
                <w:iCs w:val="0"/>
                <w:sz w:val="22"/>
                <w:szCs w:val="22"/>
                <w:lang w:eastAsia="en-AU"/>
              </w:rPr>
              <w:tab/>
            </w:r>
            <w:r w:rsidRPr="00FF0E45">
              <w:rPr>
                <w:rStyle w:val="Hyperlink"/>
              </w:rPr>
              <w:t>Marine hitchhiker and contaminant risks</w:t>
            </w:r>
            <w:r>
              <w:rPr>
                <w:webHidden/>
              </w:rPr>
              <w:tab/>
            </w:r>
            <w:r>
              <w:rPr>
                <w:webHidden/>
              </w:rPr>
              <w:fldChar w:fldCharType="begin"/>
            </w:r>
            <w:r>
              <w:rPr>
                <w:webHidden/>
              </w:rPr>
              <w:instrText xml:space="preserve"> PAGEREF _Toc521069533 \h </w:instrText>
            </w:r>
            <w:r>
              <w:rPr>
                <w:webHidden/>
              </w:rPr>
            </w:r>
            <w:r>
              <w:rPr>
                <w:webHidden/>
              </w:rPr>
              <w:fldChar w:fldCharType="separate"/>
            </w:r>
            <w:r>
              <w:rPr>
                <w:webHidden/>
              </w:rPr>
              <w:t>17</w:t>
            </w:r>
            <w:r>
              <w:rPr>
                <w:webHidden/>
              </w:rPr>
              <w:fldChar w:fldCharType="end"/>
            </w:r>
          </w:hyperlink>
        </w:p>
        <w:p w14:paraId="59625253" w14:textId="77777777" w:rsidR="00847E6D" w:rsidRDefault="00847E6D">
          <w:pPr>
            <w:pStyle w:val="TOC1"/>
            <w:rPr>
              <w:rFonts w:eastAsiaTheme="minorEastAsia" w:cstheme="minorBidi"/>
              <w:b w:val="0"/>
              <w:noProof/>
              <w:sz w:val="22"/>
              <w:szCs w:val="22"/>
              <w:lang w:eastAsia="en-AU"/>
            </w:rPr>
          </w:pPr>
          <w:hyperlink w:anchor="_Toc521069534" w:history="1">
            <w:r w:rsidRPr="00FF0E45">
              <w:rPr>
                <w:rStyle w:val="Hyperlink"/>
                <w:rFonts w:ascii="Calibri" w:hAnsi="Calibri"/>
                <w:noProof/>
                <w:lang w:eastAsia="ja-JP"/>
              </w:rPr>
              <w:t>2</w:t>
            </w:r>
            <w:r>
              <w:rPr>
                <w:rFonts w:eastAsiaTheme="minorEastAsia" w:cstheme="minorBidi"/>
                <w:b w:val="0"/>
                <w:noProof/>
                <w:sz w:val="22"/>
                <w:szCs w:val="22"/>
                <w:lang w:eastAsia="en-AU"/>
              </w:rPr>
              <w:tab/>
            </w:r>
            <w:r w:rsidRPr="00FF0E45">
              <w:rPr>
                <w:rStyle w:val="Hyperlink"/>
                <w:noProof/>
                <w:lang w:eastAsia="ja-JP"/>
              </w:rPr>
              <w:t xml:space="preserve">Hitchhiker pest and contaminant risk </w:t>
            </w:r>
            <w:r w:rsidRPr="00FF0E45">
              <w:rPr>
                <w:rStyle w:val="Hyperlink"/>
                <w:noProof/>
              </w:rPr>
              <w:t>management</w:t>
            </w:r>
            <w:r>
              <w:rPr>
                <w:noProof/>
                <w:webHidden/>
              </w:rPr>
              <w:tab/>
            </w:r>
            <w:r>
              <w:rPr>
                <w:noProof/>
                <w:webHidden/>
              </w:rPr>
              <w:fldChar w:fldCharType="begin"/>
            </w:r>
            <w:r>
              <w:rPr>
                <w:noProof/>
                <w:webHidden/>
              </w:rPr>
              <w:instrText xml:space="preserve"> PAGEREF _Toc521069534 \h </w:instrText>
            </w:r>
            <w:r>
              <w:rPr>
                <w:noProof/>
                <w:webHidden/>
              </w:rPr>
            </w:r>
            <w:r>
              <w:rPr>
                <w:noProof/>
                <w:webHidden/>
              </w:rPr>
              <w:fldChar w:fldCharType="separate"/>
            </w:r>
            <w:r>
              <w:rPr>
                <w:noProof/>
                <w:webHidden/>
              </w:rPr>
              <w:t>18</w:t>
            </w:r>
            <w:r>
              <w:rPr>
                <w:noProof/>
                <w:webHidden/>
              </w:rPr>
              <w:fldChar w:fldCharType="end"/>
            </w:r>
          </w:hyperlink>
        </w:p>
        <w:p w14:paraId="2BFD17AA" w14:textId="77777777" w:rsidR="00847E6D" w:rsidRDefault="00847E6D">
          <w:pPr>
            <w:pStyle w:val="TOC2"/>
            <w:rPr>
              <w:rFonts w:eastAsiaTheme="minorEastAsia" w:cstheme="minorBidi"/>
              <w:iCs w:val="0"/>
              <w:sz w:val="22"/>
              <w:szCs w:val="22"/>
              <w:lang w:eastAsia="en-AU"/>
            </w:rPr>
          </w:pPr>
          <w:hyperlink w:anchor="_Toc521069535" w:history="1">
            <w:r w:rsidRPr="00FF0E45">
              <w:rPr>
                <w:rStyle w:val="Hyperlink"/>
                <w:rFonts w:ascii="Calibri" w:hAnsi="Calibri"/>
              </w:rPr>
              <w:t>2.1</w:t>
            </w:r>
            <w:r>
              <w:rPr>
                <w:rFonts w:eastAsiaTheme="minorEastAsia" w:cstheme="minorBidi"/>
                <w:iCs w:val="0"/>
                <w:sz w:val="22"/>
                <w:szCs w:val="22"/>
                <w:lang w:eastAsia="en-AU"/>
              </w:rPr>
              <w:tab/>
            </w:r>
            <w:r w:rsidRPr="00FF0E45">
              <w:rPr>
                <w:rStyle w:val="Hyperlink"/>
              </w:rPr>
              <w:t>International measures</w:t>
            </w:r>
            <w:r>
              <w:rPr>
                <w:webHidden/>
              </w:rPr>
              <w:tab/>
            </w:r>
            <w:r>
              <w:rPr>
                <w:webHidden/>
              </w:rPr>
              <w:fldChar w:fldCharType="begin"/>
            </w:r>
            <w:r>
              <w:rPr>
                <w:webHidden/>
              </w:rPr>
              <w:instrText xml:space="preserve"> PAGEREF _Toc521069535 \h </w:instrText>
            </w:r>
            <w:r>
              <w:rPr>
                <w:webHidden/>
              </w:rPr>
            </w:r>
            <w:r>
              <w:rPr>
                <w:webHidden/>
              </w:rPr>
              <w:fldChar w:fldCharType="separate"/>
            </w:r>
            <w:r>
              <w:rPr>
                <w:webHidden/>
              </w:rPr>
              <w:t>18</w:t>
            </w:r>
            <w:r>
              <w:rPr>
                <w:webHidden/>
              </w:rPr>
              <w:fldChar w:fldCharType="end"/>
            </w:r>
          </w:hyperlink>
        </w:p>
        <w:p w14:paraId="2781A29C" w14:textId="77777777" w:rsidR="00847E6D" w:rsidRDefault="00847E6D">
          <w:pPr>
            <w:pStyle w:val="TOC2"/>
            <w:rPr>
              <w:rFonts w:eastAsiaTheme="minorEastAsia" w:cstheme="minorBidi"/>
              <w:iCs w:val="0"/>
              <w:sz w:val="22"/>
              <w:szCs w:val="22"/>
              <w:lang w:eastAsia="en-AU"/>
            </w:rPr>
          </w:pPr>
          <w:hyperlink w:anchor="_Toc521069536" w:history="1">
            <w:r w:rsidRPr="00FF0E45">
              <w:rPr>
                <w:rStyle w:val="Hyperlink"/>
                <w:rFonts w:ascii="Calibri" w:hAnsi="Calibri"/>
              </w:rPr>
              <w:t>2.2</w:t>
            </w:r>
            <w:r>
              <w:rPr>
                <w:rFonts w:eastAsiaTheme="minorEastAsia" w:cstheme="minorBidi"/>
                <w:iCs w:val="0"/>
                <w:sz w:val="22"/>
                <w:szCs w:val="22"/>
                <w:lang w:eastAsia="en-AU"/>
              </w:rPr>
              <w:tab/>
            </w:r>
            <w:r w:rsidRPr="00FF0E45">
              <w:rPr>
                <w:rStyle w:val="Hyperlink"/>
              </w:rPr>
              <w:t>National measures</w:t>
            </w:r>
            <w:r>
              <w:rPr>
                <w:webHidden/>
              </w:rPr>
              <w:tab/>
            </w:r>
            <w:r>
              <w:rPr>
                <w:webHidden/>
              </w:rPr>
              <w:fldChar w:fldCharType="begin"/>
            </w:r>
            <w:r>
              <w:rPr>
                <w:webHidden/>
              </w:rPr>
              <w:instrText xml:space="preserve"> PAGEREF _Toc521069536 \h </w:instrText>
            </w:r>
            <w:r>
              <w:rPr>
                <w:webHidden/>
              </w:rPr>
            </w:r>
            <w:r>
              <w:rPr>
                <w:webHidden/>
              </w:rPr>
              <w:fldChar w:fldCharType="separate"/>
            </w:r>
            <w:r>
              <w:rPr>
                <w:webHidden/>
              </w:rPr>
              <w:t>18</w:t>
            </w:r>
            <w:r>
              <w:rPr>
                <w:webHidden/>
              </w:rPr>
              <w:fldChar w:fldCharType="end"/>
            </w:r>
          </w:hyperlink>
        </w:p>
        <w:p w14:paraId="334809F2" w14:textId="77777777" w:rsidR="00847E6D" w:rsidRDefault="00847E6D">
          <w:pPr>
            <w:pStyle w:val="TOC2"/>
            <w:rPr>
              <w:rFonts w:eastAsiaTheme="minorEastAsia" w:cstheme="minorBidi"/>
              <w:iCs w:val="0"/>
              <w:sz w:val="22"/>
              <w:szCs w:val="22"/>
              <w:lang w:eastAsia="en-AU"/>
            </w:rPr>
          </w:pPr>
          <w:hyperlink w:anchor="_Toc521069537" w:history="1">
            <w:r w:rsidRPr="00FF0E45">
              <w:rPr>
                <w:rStyle w:val="Hyperlink"/>
                <w:rFonts w:ascii="Calibri" w:hAnsi="Calibri"/>
              </w:rPr>
              <w:t>2.3</w:t>
            </w:r>
            <w:r>
              <w:rPr>
                <w:rFonts w:eastAsiaTheme="minorEastAsia" w:cstheme="minorBidi"/>
                <w:iCs w:val="0"/>
                <w:sz w:val="22"/>
                <w:szCs w:val="22"/>
                <w:lang w:eastAsia="en-AU"/>
              </w:rPr>
              <w:tab/>
            </w:r>
            <w:r w:rsidRPr="00FF0E45">
              <w:rPr>
                <w:rStyle w:val="Hyperlink"/>
              </w:rPr>
              <w:t>Stakeholder engagement</w:t>
            </w:r>
            <w:r>
              <w:rPr>
                <w:webHidden/>
              </w:rPr>
              <w:tab/>
            </w:r>
            <w:r>
              <w:rPr>
                <w:webHidden/>
              </w:rPr>
              <w:fldChar w:fldCharType="begin"/>
            </w:r>
            <w:r>
              <w:rPr>
                <w:webHidden/>
              </w:rPr>
              <w:instrText xml:space="preserve"> PAGEREF _Toc521069537 \h </w:instrText>
            </w:r>
            <w:r>
              <w:rPr>
                <w:webHidden/>
              </w:rPr>
            </w:r>
            <w:r>
              <w:rPr>
                <w:webHidden/>
              </w:rPr>
              <w:fldChar w:fldCharType="separate"/>
            </w:r>
            <w:r>
              <w:rPr>
                <w:webHidden/>
              </w:rPr>
              <w:t>21</w:t>
            </w:r>
            <w:r>
              <w:rPr>
                <w:webHidden/>
              </w:rPr>
              <w:fldChar w:fldCharType="end"/>
            </w:r>
          </w:hyperlink>
        </w:p>
        <w:p w14:paraId="6DB2697F" w14:textId="77777777" w:rsidR="00847E6D" w:rsidRDefault="00847E6D">
          <w:pPr>
            <w:pStyle w:val="TOC1"/>
            <w:rPr>
              <w:rFonts w:eastAsiaTheme="minorEastAsia" w:cstheme="minorBidi"/>
              <w:b w:val="0"/>
              <w:noProof/>
              <w:sz w:val="22"/>
              <w:szCs w:val="22"/>
              <w:lang w:eastAsia="en-AU"/>
            </w:rPr>
          </w:pPr>
          <w:hyperlink w:anchor="_Toc521069538" w:history="1">
            <w:r w:rsidRPr="00FF0E45">
              <w:rPr>
                <w:rStyle w:val="Hyperlink"/>
                <w:rFonts w:ascii="Calibri" w:hAnsi="Calibri"/>
                <w:noProof/>
              </w:rPr>
              <w:t>3</w:t>
            </w:r>
            <w:r>
              <w:rPr>
                <w:rFonts w:eastAsiaTheme="minorEastAsia" w:cstheme="minorBidi"/>
                <w:b w:val="0"/>
                <w:noProof/>
                <w:sz w:val="22"/>
                <w:szCs w:val="22"/>
                <w:lang w:eastAsia="en-AU"/>
              </w:rPr>
              <w:tab/>
            </w:r>
            <w:r w:rsidRPr="00FF0E45">
              <w:rPr>
                <w:rStyle w:val="Hyperlink"/>
                <w:noProof/>
              </w:rPr>
              <w:t>Sea vessel entry pathway</w:t>
            </w:r>
            <w:r>
              <w:rPr>
                <w:noProof/>
                <w:webHidden/>
              </w:rPr>
              <w:tab/>
            </w:r>
            <w:r>
              <w:rPr>
                <w:noProof/>
                <w:webHidden/>
              </w:rPr>
              <w:fldChar w:fldCharType="begin"/>
            </w:r>
            <w:r>
              <w:rPr>
                <w:noProof/>
                <w:webHidden/>
              </w:rPr>
              <w:instrText xml:space="preserve"> PAGEREF _Toc521069538 \h </w:instrText>
            </w:r>
            <w:r>
              <w:rPr>
                <w:noProof/>
                <w:webHidden/>
              </w:rPr>
            </w:r>
            <w:r>
              <w:rPr>
                <w:noProof/>
                <w:webHidden/>
              </w:rPr>
              <w:fldChar w:fldCharType="separate"/>
            </w:r>
            <w:r>
              <w:rPr>
                <w:noProof/>
                <w:webHidden/>
              </w:rPr>
              <w:t>23</w:t>
            </w:r>
            <w:r>
              <w:rPr>
                <w:noProof/>
                <w:webHidden/>
              </w:rPr>
              <w:fldChar w:fldCharType="end"/>
            </w:r>
          </w:hyperlink>
        </w:p>
        <w:p w14:paraId="70860C25" w14:textId="77777777" w:rsidR="00847E6D" w:rsidRDefault="00847E6D">
          <w:pPr>
            <w:pStyle w:val="TOC2"/>
            <w:rPr>
              <w:rFonts w:eastAsiaTheme="minorEastAsia" w:cstheme="minorBidi"/>
              <w:iCs w:val="0"/>
              <w:sz w:val="22"/>
              <w:szCs w:val="22"/>
              <w:lang w:eastAsia="en-AU"/>
            </w:rPr>
          </w:pPr>
          <w:hyperlink w:anchor="_Toc521069539" w:history="1">
            <w:r w:rsidRPr="00FF0E45">
              <w:rPr>
                <w:rStyle w:val="Hyperlink"/>
                <w:rFonts w:ascii="Calibri" w:hAnsi="Calibri"/>
              </w:rPr>
              <w:t>3.1</w:t>
            </w:r>
            <w:r>
              <w:rPr>
                <w:rFonts w:eastAsiaTheme="minorEastAsia" w:cstheme="minorBidi"/>
                <w:iCs w:val="0"/>
                <w:sz w:val="22"/>
                <w:szCs w:val="22"/>
                <w:lang w:eastAsia="en-AU"/>
              </w:rPr>
              <w:tab/>
            </w:r>
            <w:r w:rsidRPr="00FF0E45">
              <w:rPr>
                <w:rStyle w:val="Hyperlink"/>
              </w:rPr>
              <w:t>Sea vessel biosecurity risk management</w:t>
            </w:r>
            <w:r>
              <w:rPr>
                <w:webHidden/>
              </w:rPr>
              <w:tab/>
            </w:r>
            <w:r>
              <w:rPr>
                <w:webHidden/>
              </w:rPr>
              <w:fldChar w:fldCharType="begin"/>
            </w:r>
            <w:r>
              <w:rPr>
                <w:webHidden/>
              </w:rPr>
              <w:instrText xml:space="preserve"> PAGEREF _Toc521069539 \h </w:instrText>
            </w:r>
            <w:r>
              <w:rPr>
                <w:webHidden/>
              </w:rPr>
            </w:r>
            <w:r>
              <w:rPr>
                <w:webHidden/>
              </w:rPr>
              <w:fldChar w:fldCharType="separate"/>
            </w:r>
            <w:r>
              <w:rPr>
                <w:webHidden/>
              </w:rPr>
              <w:t>23</w:t>
            </w:r>
            <w:r>
              <w:rPr>
                <w:webHidden/>
              </w:rPr>
              <w:fldChar w:fldCharType="end"/>
            </w:r>
          </w:hyperlink>
        </w:p>
        <w:p w14:paraId="618CCD91" w14:textId="77777777" w:rsidR="00847E6D" w:rsidRDefault="00847E6D">
          <w:pPr>
            <w:pStyle w:val="TOC2"/>
            <w:rPr>
              <w:rFonts w:eastAsiaTheme="minorEastAsia" w:cstheme="minorBidi"/>
              <w:iCs w:val="0"/>
              <w:sz w:val="22"/>
              <w:szCs w:val="22"/>
              <w:lang w:eastAsia="en-AU"/>
            </w:rPr>
          </w:pPr>
          <w:hyperlink w:anchor="_Toc521069540" w:history="1">
            <w:r w:rsidRPr="00FF0E45">
              <w:rPr>
                <w:rStyle w:val="Hyperlink"/>
                <w:rFonts w:ascii="Calibri" w:hAnsi="Calibri"/>
              </w:rPr>
              <w:t>3.2</w:t>
            </w:r>
            <w:r>
              <w:rPr>
                <w:rFonts w:eastAsiaTheme="minorEastAsia" w:cstheme="minorBidi"/>
                <w:iCs w:val="0"/>
                <w:sz w:val="22"/>
                <w:szCs w:val="22"/>
                <w:lang w:eastAsia="en-AU"/>
              </w:rPr>
              <w:tab/>
            </w:r>
            <w:r w:rsidRPr="00FF0E45">
              <w:rPr>
                <w:rStyle w:val="Hyperlink"/>
              </w:rPr>
              <w:t>Maritime Arrivals Reporting System</w:t>
            </w:r>
            <w:r>
              <w:rPr>
                <w:webHidden/>
              </w:rPr>
              <w:tab/>
            </w:r>
            <w:r>
              <w:rPr>
                <w:webHidden/>
              </w:rPr>
              <w:fldChar w:fldCharType="begin"/>
            </w:r>
            <w:r>
              <w:rPr>
                <w:webHidden/>
              </w:rPr>
              <w:instrText xml:space="preserve"> PAGEREF _Toc521069540 \h </w:instrText>
            </w:r>
            <w:r>
              <w:rPr>
                <w:webHidden/>
              </w:rPr>
            </w:r>
            <w:r>
              <w:rPr>
                <w:webHidden/>
              </w:rPr>
              <w:fldChar w:fldCharType="separate"/>
            </w:r>
            <w:r>
              <w:rPr>
                <w:webHidden/>
              </w:rPr>
              <w:t>24</w:t>
            </w:r>
            <w:r>
              <w:rPr>
                <w:webHidden/>
              </w:rPr>
              <w:fldChar w:fldCharType="end"/>
            </w:r>
          </w:hyperlink>
        </w:p>
        <w:p w14:paraId="71B723B1" w14:textId="77777777" w:rsidR="00847E6D" w:rsidRDefault="00847E6D">
          <w:pPr>
            <w:pStyle w:val="TOC2"/>
            <w:rPr>
              <w:rFonts w:eastAsiaTheme="minorEastAsia" w:cstheme="minorBidi"/>
              <w:iCs w:val="0"/>
              <w:sz w:val="22"/>
              <w:szCs w:val="22"/>
              <w:lang w:eastAsia="en-AU"/>
            </w:rPr>
          </w:pPr>
          <w:hyperlink w:anchor="_Toc521069541" w:history="1">
            <w:r w:rsidRPr="00FF0E45">
              <w:rPr>
                <w:rStyle w:val="Hyperlink"/>
                <w:rFonts w:ascii="Calibri" w:hAnsi="Calibri"/>
              </w:rPr>
              <w:t>3.3</w:t>
            </w:r>
            <w:r>
              <w:rPr>
                <w:rFonts w:eastAsiaTheme="minorEastAsia" w:cstheme="minorBidi"/>
                <w:iCs w:val="0"/>
                <w:sz w:val="22"/>
                <w:szCs w:val="22"/>
                <w:lang w:eastAsia="en-AU"/>
              </w:rPr>
              <w:tab/>
            </w:r>
            <w:r w:rsidRPr="00FF0E45">
              <w:rPr>
                <w:rStyle w:val="Hyperlink"/>
              </w:rPr>
              <w:t>Vessel Compliance Scheme</w:t>
            </w:r>
            <w:r>
              <w:rPr>
                <w:webHidden/>
              </w:rPr>
              <w:tab/>
            </w:r>
            <w:r>
              <w:rPr>
                <w:webHidden/>
              </w:rPr>
              <w:fldChar w:fldCharType="begin"/>
            </w:r>
            <w:r>
              <w:rPr>
                <w:webHidden/>
              </w:rPr>
              <w:instrText xml:space="preserve"> PAGEREF _Toc521069541 \h </w:instrText>
            </w:r>
            <w:r>
              <w:rPr>
                <w:webHidden/>
              </w:rPr>
            </w:r>
            <w:r>
              <w:rPr>
                <w:webHidden/>
              </w:rPr>
              <w:fldChar w:fldCharType="separate"/>
            </w:r>
            <w:r>
              <w:rPr>
                <w:webHidden/>
              </w:rPr>
              <w:t>25</w:t>
            </w:r>
            <w:r>
              <w:rPr>
                <w:webHidden/>
              </w:rPr>
              <w:fldChar w:fldCharType="end"/>
            </w:r>
          </w:hyperlink>
        </w:p>
        <w:p w14:paraId="19E12C59" w14:textId="77777777" w:rsidR="00847E6D" w:rsidRDefault="00847E6D">
          <w:pPr>
            <w:pStyle w:val="TOC2"/>
            <w:rPr>
              <w:rFonts w:eastAsiaTheme="minorEastAsia" w:cstheme="minorBidi"/>
              <w:iCs w:val="0"/>
              <w:sz w:val="22"/>
              <w:szCs w:val="22"/>
              <w:lang w:eastAsia="en-AU"/>
            </w:rPr>
          </w:pPr>
          <w:hyperlink w:anchor="_Toc521069542" w:history="1">
            <w:r w:rsidRPr="00FF0E45">
              <w:rPr>
                <w:rStyle w:val="Hyperlink"/>
                <w:rFonts w:ascii="Calibri" w:hAnsi="Calibri"/>
              </w:rPr>
              <w:t>3.4</w:t>
            </w:r>
            <w:r>
              <w:rPr>
                <w:rFonts w:eastAsiaTheme="minorEastAsia" w:cstheme="minorBidi"/>
                <w:iCs w:val="0"/>
                <w:sz w:val="22"/>
                <w:szCs w:val="22"/>
                <w:lang w:eastAsia="en-AU"/>
              </w:rPr>
              <w:tab/>
            </w:r>
            <w:r w:rsidRPr="00FF0E45">
              <w:rPr>
                <w:rStyle w:val="Hyperlink"/>
              </w:rPr>
              <w:t>Improvements to Maritime Arrivals Reporting System</w:t>
            </w:r>
            <w:r>
              <w:rPr>
                <w:webHidden/>
              </w:rPr>
              <w:tab/>
            </w:r>
            <w:r>
              <w:rPr>
                <w:webHidden/>
              </w:rPr>
              <w:fldChar w:fldCharType="begin"/>
            </w:r>
            <w:r>
              <w:rPr>
                <w:webHidden/>
              </w:rPr>
              <w:instrText xml:space="preserve"> PAGEREF _Toc521069542 \h </w:instrText>
            </w:r>
            <w:r>
              <w:rPr>
                <w:webHidden/>
              </w:rPr>
            </w:r>
            <w:r>
              <w:rPr>
                <w:webHidden/>
              </w:rPr>
              <w:fldChar w:fldCharType="separate"/>
            </w:r>
            <w:r>
              <w:rPr>
                <w:webHidden/>
              </w:rPr>
              <w:t>28</w:t>
            </w:r>
            <w:r>
              <w:rPr>
                <w:webHidden/>
              </w:rPr>
              <w:fldChar w:fldCharType="end"/>
            </w:r>
          </w:hyperlink>
        </w:p>
        <w:p w14:paraId="6E6F0D4C" w14:textId="77777777" w:rsidR="00847E6D" w:rsidRDefault="00847E6D">
          <w:pPr>
            <w:pStyle w:val="TOC1"/>
            <w:rPr>
              <w:rFonts w:eastAsiaTheme="minorEastAsia" w:cstheme="minorBidi"/>
              <w:b w:val="0"/>
              <w:noProof/>
              <w:sz w:val="22"/>
              <w:szCs w:val="22"/>
              <w:lang w:eastAsia="en-AU"/>
            </w:rPr>
          </w:pPr>
          <w:hyperlink w:anchor="_Toc521069543" w:history="1">
            <w:r w:rsidRPr="00FF0E45">
              <w:rPr>
                <w:rStyle w:val="Hyperlink"/>
                <w:rFonts w:ascii="Calibri" w:hAnsi="Calibri"/>
                <w:noProof/>
                <w:lang w:eastAsia="x-none"/>
              </w:rPr>
              <w:t>4</w:t>
            </w:r>
            <w:r>
              <w:rPr>
                <w:rFonts w:eastAsiaTheme="minorEastAsia" w:cstheme="minorBidi"/>
                <w:b w:val="0"/>
                <w:noProof/>
                <w:sz w:val="22"/>
                <w:szCs w:val="22"/>
                <w:lang w:eastAsia="en-AU"/>
              </w:rPr>
              <w:tab/>
            </w:r>
            <w:r w:rsidRPr="00FF0E45">
              <w:rPr>
                <w:rStyle w:val="Hyperlink"/>
                <w:noProof/>
              </w:rPr>
              <w:t>Sea container entry pathway</w:t>
            </w:r>
            <w:r>
              <w:rPr>
                <w:noProof/>
                <w:webHidden/>
              </w:rPr>
              <w:tab/>
            </w:r>
            <w:r>
              <w:rPr>
                <w:noProof/>
                <w:webHidden/>
              </w:rPr>
              <w:fldChar w:fldCharType="begin"/>
            </w:r>
            <w:r>
              <w:rPr>
                <w:noProof/>
                <w:webHidden/>
              </w:rPr>
              <w:instrText xml:space="preserve"> PAGEREF _Toc521069543 \h </w:instrText>
            </w:r>
            <w:r>
              <w:rPr>
                <w:noProof/>
                <w:webHidden/>
              </w:rPr>
            </w:r>
            <w:r>
              <w:rPr>
                <w:noProof/>
                <w:webHidden/>
              </w:rPr>
              <w:fldChar w:fldCharType="separate"/>
            </w:r>
            <w:r>
              <w:rPr>
                <w:noProof/>
                <w:webHidden/>
              </w:rPr>
              <w:t>29</w:t>
            </w:r>
            <w:r>
              <w:rPr>
                <w:noProof/>
                <w:webHidden/>
              </w:rPr>
              <w:fldChar w:fldCharType="end"/>
            </w:r>
          </w:hyperlink>
        </w:p>
        <w:p w14:paraId="355E1AF1" w14:textId="77777777" w:rsidR="00847E6D" w:rsidRDefault="00847E6D">
          <w:pPr>
            <w:pStyle w:val="TOC2"/>
            <w:rPr>
              <w:rFonts w:eastAsiaTheme="minorEastAsia" w:cstheme="minorBidi"/>
              <w:iCs w:val="0"/>
              <w:sz w:val="22"/>
              <w:szCs w:val="22"/>
              <w:lang w:eastAsia="en-AU"/>
            </w:rPr>
          </w:pPr>
          <w:hyperlink w:anchor="_Toc521069544" w:history="1">
            <w:r w:rsidRPr="00FF0E45">
              <w:rPr>
                <w:rStyle w:val="Hyperlink"/>
                <w:rFonts w:ascii="Calibri" w:hAnsi="Calibri"/>
              </w:rPr>
              <w:t>4.1</w:t>
            </w:r>
            <w:r>
              <w:rPr>
                <w:rFonts w:eastAsiaTheme="minorEastAsia" w:cstheme="minorBidi"/>
                <w:iCs w:val="0"/>
                <w:sz w:val="22"/>
                <w:szCs w:val="22"/>
                <w:lang w:eastAsia="en-AU"/>
              </w:rPr>
              <w:tab/>
            </w:r>
            <w:r w:rsidRPr="00FF0E45">
              <w:rPr>
                <w:rStyle w:val="Hyperlink"/>
              </w:rPr>
              <w:t>Sea container arrivals</w:t>
            </w:r>
            <w:r>
              <w:rPr>
                <w:webHidden/>
              </w:rPr>
              <w:tab/>
            </w:r>
            <w:r>
              <w:rPr>
                <w:webHidden/>
              </w:rPr>
              <w:fldChar w:fldCharType="begin"/>
            </w:r>
            <w:r>
              <w:rPr>
                <w:webHidden/>
              </w:rPr>
              <w:instrText xml:space="preserve"> PAGEREF _Toc521069544 \h </w:instrText>
            </w:r>
            <w:r>
              <w:rPr>
                <w:webHidden/>
              </w:rPr>
            </w:r>
            <w:r>
              <w:rPr>
                <w:webHidden/>
              </w:rPr>
              <w:fldChar w:fldCharType="separate"/>
            </w:r>
            <w:r>
              <w:rPr>
                <w:webHidden/>
              </w:rPr>
              <w:t>29</w:t>
            </w:r>
            <w:r>
              <w:rPr>
                <w:webHidden/>
              </w:rPr>
              <w:fldChar w:fldCharType="end"/>
            </w:r>
          </w:hyperlink>
        </w:p>
        <w:p w14:paraId="763C4C9D" w14:textId="77777777" w:rsidR="00847E6D" w:rsidRDefault="00847E6D">
          <w:pPr>
            <w:pStyle w:val="TOC2"/>
            <w:rPr>
              <w:rFonts w:eastAsiaTheme="minorEastAsia" w:cstheme="minorBidi"/>
              <w:iCs w:val="0"/>
              <w:sz w:val="22"/>
              <w:szCs w:val="22"/>
              <w:lang w:eastAsia="en-AU"/>
            </w:rPr>
          </w:pPr>
          <w:hyperlink w:anchor="_Toc521069545" w:history="1">
            <w:r w:rsidRPr="00FF0E45">
              <w:rPr>
                <w:rStyle w:val="Hyperlink"/>
                <w:rFonts w:ascii="Calibri" w:hAnsi="Calibri"/>
              </w:rPr>
              <w:t>4.2</w:t>
            </w:r>
            <w:r>
              <w:rPr>
                <w:rFonts w:eastAsiaTheme="minorEastAsia" w:cstheme="minorBidi"/>
                <w:iCs w:val="0"/>
                <w:sz w:val="22"/>
                <w:szCs w:val="22"/>
                <w:lang w:eastAsia="en-AU"/>
              </w:rPr>
              <w:tab/>
            </w:r>
            <w:r w:rsidRPr="00FF0E45">
              <w:rPr>
                <w:rStyle w:val="Hyperlink"/>
              </w:rPr>
              <w:t>Sea container risk management policy, 2010–2018</w:t>
            </w:r>
            <w:r>
              <w:rPr>
                <w:webHidden/>
              </w:rPr>
              <w:tab/>
            </w:r>
            <w:r>
              <w:rPr>
                <w:webHidden/>
              </w:rPr>
              <w:fldChar w:fldCharType="begin"/>
            </w:r>
            <w:r>
              <w:rPr>
                <w:webHidden/>
              </w:rPr>
              <w:instrText xml:space="preserve"> PAGEREF _Toc521069545 \h </w:instrText>
            </w:r>
            <w:r>
              <w:rPr>
                <w:webHidden/>
              </w:rPr>
            </w:r>
            <w:r>
              <w:rPr>
                <w:webHidden/>
              </w:rPr>
              <w:fldChar w:fldCharType="separate"/>
            </w:r>
            <w:r>
              <w:rPr>
                <w:webHidden/>
              </w:rPr>
              <w:t>30</w:t>
            </w:r>
            <w:r>
              <w:rPr>
                <w:webHidden/>
              </w:rPr>
              <w:fldChar w:fldCharType="end"/>
            </w:r>
          </w:hyperlink>
        </w:p>
        <w:p w14:paraId="025424AA" w14:textId="77777777" w:rsidR="00847E6D" w:rsidRDefault="00847E6D">
          <w:pPr>
            <w:pStyle w:val="TOC2"/>
            <w:rPr>
              <w:rFonts w:eastAsiaTheme="minorEastAsia" w:cstheme="minorBidi"/>
              <w:iCs w:val="0"/>
              <w:sz w:val="22"/>
              <w:szCs w:val="22"/>
              <w:lang w:eastAsia="en-AU"/>
            </w:rPr>
          </w:pPr>
          <w:hyperlink w:anchor="_Toc521069546" w:history="1">
            <w:r w:rsidRPr="00FF0E45">
              <w:rPr>
                <w:rStyle w:val="Hyperlink"/>
                <w:rFonts w:ascii="Calibri" w:hAnsi="Calibri"/>
              </w:rPr>
              <w:t>4.3</w:t>
            </w:r>
            <w:r>
              <w:rPr>
                <w:rFonts w:eastAsiaTheme="minorEastAsia" w:cstheme="minorBidi"/>
                <w:iCs w:val="0"/>
                <w:sz w:val="22"/>
                <w:szCs w:val="22"/>
                <w:lang w:eastAsia="en-AU"/>
              </w:rPr>
              <w:tab/>
            </w:r>
            <w:r w:rsidRPr="00FF0E45">
              <w:rPr>
                <w:rStyle w:val="Hyperlink"/>
              </w:rPr>
              <w:t>Future sea container biosecurity risk management</w:t>
            </w:r>
            <w:r>
              <w:rPr>
                <w:webHidden/>
              </w:rPr>
              <w:tab/>
            </w:r>
            <w:r>
              <w:rPr>
                <w:webHidden/>
              </w:rPr>
              <w:fldChar w:fldCharType="begin"/>
            </w:r>
            <w:r>
              <w:rPr>
                <w:webHidden/>
              </w:rPr>
              <w:instrText xml:space="preserve"> PAGEREF _Toc521069546 \h </w:instrText>
            </w:r>
            <w:r>
              <w:rPr>
                <w:webHidden/>
              </w:rPr>
            </w:r>
            <w:r>
              <w:rPr>
                <w:webHidden/>
              </w:rPr>
              <w:fldChar w:fldCharType="separate"/>
            </w:r>
            <w:r>
              <w:rPr>
                <w:webHidden/>
              </w:rPr>
              <w:t>38</w:t>
            </w:r>
            <w:r>
              <w:rPr>
                <w:webHidden/>
              </w:rPr>
              <w:fldChar w:fldCharType="end"/>
            </w:r>
          </w:hyperlink>
        </w:p>
        <w:p w14:paraId="710F4A86" w14:textId="77777777" w:rsidR="00847E6D" w:rsidRDefault="00847E6D">
          <w:pPr>
            <w:pStyle w:val="TOC1"/>
            <w:rPr>
              <w:rFonts w:eastAsiaTheme="minorEastAsia" w:cstheme="minorBidi"/>
              <w:b w:val="0"/>
              <w:noProof/>
              <w:sz w:val="22"/>
              <w:szCs w:val="22"/>
              <w:lang w:eastAsia="en-AU"/>
            </w:rPr>
          </w:pPr>
          <w:hyperlink w:anchor="_Toc521069547" w:history="1">
            <w:r w:rsidRPr="00FF0E45">
              <w:rPr>
                <w:rStyle w:val="Hyperlink"/>
                <w:rFonts w:ascii="Calibri" w:hAnsi="Calibri"/>
                <w:noProof/>
                <w:lang w:eastAsia="x-none"/>
              </w:rPr>
              <w:t>5</w:t>
            </w:r>
            <w:r>
              <w:rPr>
                <w:rFonts w:eastAsiaTheme="minorEastAsia" w:cstheme="minorBidi"/>
                <w:b w:val="0"/>
                <w:noProof/>
                <w:sz w:val="22"/>
                <w:szCs w:val="22"/>
                <w:lang w:eastAsia="en-AU"/>
              </w:rPr>
              <w:tab/>
            </w:r>
            <w:r w:rsidRPr="00FF0E45">
              <w:rPr>
                <w:rStyle w:val="Hyperlink"/>
                <w:noProof/>
              </w:rPr>
              <w:t>Break-bulk cargo and bulk cargo ships’ holds entry pathways</w:t>
            </w:r>
            <w:r>
              <w:rPr>
                <w:noProof/>
                <w:webHidden/>
              </w:rPr>
              <w:tab/>
            </w:r>
            <w:r>
              <w:rPr>
                <w:noProof/>
                <w:webHidden/>
              </w:rPr>
              <w:fldChar w:fldCharType="begin"/>
            </w:r>
            <w:r>
              <w:rPr>
                <w:noProof/>
                <w:webHidden/>
              </w:rPr>
              <w:instrText xml:space="preserve"> PAGEREF _Toc521069547 \h </w:instrText>
            </w:r>
            <w:r>
              <w:rPr>
                <w:noProof/>
                <w:webHidden/>
              </w:rPr>
            </w:r>
            <w:r>
              <w:rPr>
                <w:noProof/>
                <w:webHidden/>
              </w:rPr>
              <w:fldChar w:fldCharType="separate"/>
            </w:r>
            <w:r>
              <w:rPr>
                <w:noProof/>
                <w:webHidden/>
              </w:rPr>
              <w:t>43</w:t>
            </w:r>
            <w:r>
              <w:rPr>
                <w:noProof/>
                <w:webHidden/>
              </w:rPr>
              <w:fldChar w:fldCharType="end"/>
            </w:r>
          </w:hyperlink>
        </w:p>
        <w:p w14:paraId="72AADC6F" w14:textId="77777777" w:rsidR="00847E6D" w:rsidRDefault="00847E6D">
          <w:pPr>
            <w:pStyle w:val="TOC2"/>
            <w:rPr>
              <w:rFonts w:eastAsiaTheme="minorEastAsia" w:cstheme="minorBidi"/>
              <w:iCs w:val="0"/>
              <w:sz w:val="22"/>
              <w:szCs w:val="22"/>
              <w:lang w:eastAsia="en-AU"/>
            </w:rPr>
          </w:pPr>
          <w:hyperlink w:anchor="_Toc521069548" w:history="1">
            <w:r w:rsidRPr="00FF0E45">
              <w:rPr>
                <w:rStyle w:val="Hyperlink"/>
                <w:rFonts w:ascii="Calibri" w:hAnsi="Calibri"/>
              </w:rPr>
              <w:t>5.1</w:t>
            </w:r>
            <w:r>
              <w:rPr>
                <w:rFonts w:eastAsiaTheme="minorEastAsia" w:cstheme="minorBidi"/>
                <w:iCs w:val="0"/>
                <w:sz w:val="22"/>
                <w:szCs w:val="22"/>
                <w:lang w:eastAsia="en-AU"/>
              </w:rPr>
              <w:tab/>
            </w:r>
            <w:r w:rsidRPr="00FF0E45">
              <w:rPr>
                <w:rStyle w:val="Hyperlink"/>
              </w:rPr>
              <w:t>Break-bulk cargo entry patterns</w:t>
            </w:r>
            <w:r>
              <w:rPr>
                <w:webHidden/>
              </w:rPr>
              <w:tab/>
            </w:r>
            <w:r>
              <w:rPr>
                <w:webHidden/>
              </w:rPr>
              <w:fldChar w:fldCharType="begin"/>
            </w:r>
            <w:r>
              <w:rPr>
                <w:webHidden/>
              </w:rPr>
              <w:instrText xml:space="preserve"> PAGEREF _Toc521069548 \h </w:instrText>
            </w:r>
            <w:r>
              <w:rPr>
                <w:webHidden/>
              </w:rPr>
            </w:r>
            <w:r>
              <w:rPr>
                <w:webHidden/>
              </w:rPr>
              <w:fldChar w:fldCharType="separate"/>
            </w:r>
            <w:r>
              <w:rPr>
                <w:webHidden/>
              </w:rPr>
              <w:t>43</w:t>
            </w:r>
            <w:r>
              <w:rPr>
                <w:webHidden/>
              </w:rPr>
              <w:fldChar w:fldCharType="end"/>
            </w:r>
          </w:hyperlink>
        </w:p>
        <w:p w14:paraId="1FD77281" w14:textId="77777777" w:rsidR="00847E6D" w:rsidRDefault="00847E6D">
          <w:pPr>
            <w:pStyle w:val="TOC2"/>
            <w:rPr>
              <w:rFonts w:eastAsiaTheme="minorEastAsia" w:cstheme="minorBidi"/>
              <w:iCs w:val="0"/>
              <w:sz w:val="22"/>
              <w:szCs w:val="22"/>
              <w:lang w:eastAsia="en-AU"/>
            </w:rPr>
          </w:pPr>
          <w:hyperlink w:anchor="_Toc521069549" w:history="1">
            <w:r w:rsidRPr="00FF0E45">
              <w:rPr>
                <w:rStyle w:val="Hyperlink"/>
                <w:rFonts w:ascii="Calibri" w:hAnsi="Calibri"/>
              </w:rPr>
              <w:t>5.2</w:t>
            </w:r>
            <w:r>
              <w:rPr>
                <w:rFonts w:eastAsiaTheme="minorEastAsia" w:cstheme="minorBidi"/>
                <w:iCs w:val="0"/>
                <w:sz w:val="22"/>
                <w:szCs w:val="22"/>
                <w:lang w:eastAsia="en-AU"/>
              </w:rPr>
              <w:tab/>
            </w:r>
            <w:r w:rsidRPr="00FF0E45">
              <w:rPr>
                <w:rStyle w:val="Hyperlink"/>
              </w:rPr>
              <w:t>Break-bulk cargo biosecurity risk management</w:t>
            </w:r>
            <w:r>
              <w:rPr>
                <w:webHidden/>
              </w:rPr>
              <w:tab/>
            </w:r>
            <w:r>
              <w:rPr>
                <w:webHidden/>
              </w:rPr>
              <w:fldChar w:fldCharType="begin"/>
            </w:r>
            <w:r>
              <w:rPr>
                <w:webHidden/>
              </w:rPr>
              <w:instrText xml:space="preserve"> PAGEREF _Toc521069549 \h </w:instrText>
            </w:r>
            <w:r>
              <w:rPr>
                <w:webHidden/>
              </w:rPr>
            </w:r>
            <w:r>
              <w:rPr>
                <w:webHidden/>
              </w:rPr>
              <w:fldChar w:fldCharType="separate"/>
            </w:r>
            <w:r>
              <w:rPr>
                <w:webHidden/>
              </w:rPr>
              <w:t>44</w:t>
            </w:r>
            <w:r>
              <w:rPr>
                <w:webHidden/>
              </w:rPr>
              <w:fldChar w:fldCharType="end"/>
            </w:r>
          </w:hyperlink>
        </w:p>
        <w:p w14:paraId="27509329" w14:textId="77777777" w:rsidR="00847E6D" w:rsidRDefault="00847E6D">
          <w:pPr>
            <w:pStyle w:val="TOC2"/>
            <w:rPr>
              <w:rFonts w:eastAsiaTheme="minorEastAsia" w:cstheme="minorBidi"/>
              <w:iCs w:val="0"/>
              <w:sz w:val="22"/>
              <w:szCs w:val="22"/>
              <w:lang w:eastAsia="en-AU"/>
            </w:rPr>
          </w:pPr>
          <w:hyperlink w:anchor="_Toc521069550" w:history="1">
            <w:r w:rsidRPr="00FF0E45">
              <w:rPr>
                <w:rStyle w:val="Hyperlink"/>
                <w:rFonts w:ascii="Calibri" w:hAnsi="Calibri"/>
              </w:rPr>
              <w:t>5.3</w:t>
            </w:r>
            <w:r>
              <w:rPr>
                <w:rFonts w:eastAsiaTheme="minorEastAsia" w:cstheme="minorBidi"/>
                <w:iCs w:val="0"/>
                <w:sz w:val="22"/>
                <w:szCs w:val="22"/>
                <w:lang w:eastAsia="en-AU"/>
              </w:rPr>
              <w:tab/>
            </w:r>
            <w:r w:rsidRPr="00FF0E45">
              <w:rPr>
                <w:rStyle w:val="Hyperlink"/>
              </w:rPr>
              <w:t>Bulk cargo hold entry pathway</w:t>
            </w:r>
            <w:r>
              <w:rPr>
                <w:webHidden/>
              </w:rPr>
              <w:tab/>
            </w:r>
            <w:r>
              <w:rPr>
                <w:webHidden/>
              </w:rPr>
              <w:fldChar w:fldCharType="begin"/>
            </w:r>
            <w:r>
              <w:rPr>
                <w:webHidden/>
              </w:rPr>
              <w:instrText xml:space="preserve"> PAGEREF _Toc521069550 \h </w:instrText>
            </w:r>
            <w:r>
              <w:rPr>
                <w:webHidden/>
              </w:rPr>
            </w:r>
            <w:r>
              <w:rPr>
                <w:webHidden/>
              </w:rPr>
              <w:fldChar w:fldCharType="separate"/>
            </w:r>
            <w:r>
              <w:rPr>
                <w:webHidden/>
              </w:rPr>
              <w:t>47</w:t>
            </w:r>
            <w:r>
              <w:rPr>
                <w:webHidden/>
              </w:rPr>
              <w:fldChar w:fldCharType="end"/>
            </w:r>
          </w:hyperlink>
        </w:p>
        <w:p w14:paraId="592A4CA2" w14:textId="77777777" w:rsidR="00847E6D" w:rsidRDefault="00847E6D">
          <w:pPr>
            <w:pStyle w:val="TOC1"/>
            <w:rPr>
              <w:rFonts w:eastAsiaTheme="minorEastAsia" w:cstheme="minorBidi"/>
              <w:b w:val="0"/>
              <w:noProof/>
              <w:sz w:val="22"/>
              <w:szCs w:val="22"/>
              <w:lang w:eastAsia="en-AU"/>
            </w:rPr>
          </w:pPr>
          <w:hyperlink w:anchor="_Toc521069551" w:history="1">
            <w:r w:rsidRPr="00FF0E45">
              <w:rPr>
                <w:rStyle w:val="Hyperlink"/>
                <w:rFonts w:ascii="Calibri" w:hAnsi="Calibri"/>
                <w:noProof/>
              </w:rPr>
              <w:t>6</w:t>
            </w:r>
            <w:r>
              <w:rPr>
                <w:rFonts w:eastAsiaTheme="minorEastAsia" w:cstheme="minorBidi"/>
                <w:b w:val="0"/>
                <w:noProof/>
                <w:sz w:val="22"/>
                <w:szCs w:val="22"/>
                <w:lang w:eastAsia="en-AU"/>
              </w:rPr>
              <w:tab/>
            </w:r>
            <w:r w:rsidRPr="00FF0E45">
              <w:rPr>
                <w:rStyle w:val="Hyperlink"/>
                <w:noProof/>
              </w:rPr>
              <w:t>Aircraft and air cargo entry pathway</w:t>
            </w:r>
            <w:r>
              <w:rPr>
                <w:noProof/>
                <w:webHidden/>
              </w:rPr>
              <w:tab/>
            </w:r>
            <w:r>
              <w:rPr>
                <w:noProof/>
                <w:webHidden/>
              </w:rPr>
              <w:fldChar w:fldCharType="begin"/>
            </w:r>
            <w:r>
              <w:rPr>
                <w:noProof/>
                <w:webHidden/>
              </w:rPr>
              <w:instrText xml:space="preserve"> PAGEREF _Toc521069551 \h </w:instrText>
            </w:r>
            <w:r>
              <w:rPr>
                <w:noProof/>
                <w:webHidden/>
              </w:rPr>
            </w:r>
            <w:r>
              <w:rPr>
                <w:noProof/>
                <w:webHidden/>
              </w:rPr>
              <w:fldChar w:fldCharType="separate"/>
            </w:r>
            <w:r>
              <w:rPr>
                <w:noProof/>
                <w:webHidden/>
              </w:rPr>
              <w:t>49</w:t>
            </w:r>
            <w:r>
              <w:rPr>
                <w:noProof/>
                <w:webHidden/>
              </w:rPr>
              <w:fldChar w:fldCharType="end"/>
            </w:r>
          </w:hyperlink>
        </w:p>
        <w:p w14:paraId="46CABA4B" w14:textId="77777777" w:rsidR="00847E6D" w:rsidRDefault="00847E6D">
          <w:pPr>
            <w:pStyle w:val="TOC1"/>
            <w:rPr>
              <w:rFonts w:eastAsiaTheme="minorEastAsia" w:cstheme="minorBidi"/>
              <w:b w:val="0"/>
              <w:noProof/>
              <w:sz w:val="22"/>
              <w:szCs w:val="22"/>
              <w:lang w:eastAsia="en-AU"/>
            </w:rPr>
          </w:pPr>
          <w:hyperlink w:anchor="_Toc521069552" w:history="1">
            <w:r w:rsidRPr="00FF0E45">
              <w:rPr>
                <w:rStyle w:val="Hyperlink"/>
                <w:rFonts w:ascii="Calibri" w:hAnsi="Calibri"/>
                <w:noProof/>
              </w:rPr>
              <w:t>7</w:t>
            </w:r>
            <w:r>
              <w:rPr>
                <w:rFonts w:eastAsiaTheme="minorEastAsia" w:cstheme="minorBidi"/>
                <w:b w:val="0"/>
                <w:noProof/>
                <w:sz w:val="22"/>
                <w:szCs w:val="22"/>
                <w:lang w:eastAsia="en-AU"/>
              </w:rPr>
              <w:tab/>
            </w:r>
            <w:r w:rsidRPr="00FF0E45">
              <w:rPr>
                <w:rStyle w:val="Hyperlink"/>
                <w:noProof/>
              </w:rPr>
              <w:t>Seasonal hitchhiker pest risk management</w:t>
            </w:r>
            <w:r>
              <w:rPr>
                <w:noProof/>
                <w:webHidden/>
              </w:rPr>
              <w:tab/>
            </w:r>
            <w:r>
              <w:rPr>
                <w:noProof/>
                <w:webHidden/>
              </w:rPr>
              <w:fldChar w:fldCharType="begin"/>
            </w:r>
            <w:r>
              <w:rPr>
                <w:noProof/>
                <w:webHidden/>
              </w:rPr>
              <w:instrText xml:space="preserve"> PAGEREF _Toc521069552 \h </w:instrText>
            </w:r>
            <w:r>
              <w:rPr>
                <w:noProof/>
                <w:webHidden/>
              </w:rPr>
            </w:r>
            <w:r>
              <w:rPr>
                <w:noProof/>
                <w:webHidden/>
              </w:rPr>
              <w:fldChar w:fldCharType="separate"/>
            </w:r>
            <w:r>
              <w:rPr>
                <w:noProof/>
                <w:webHidden/>
              </w:rPr>
              <w:t>51</w:t>
            </w:r>
            <w:r>
              <w:rPr>
                <w:noProof/>
                <w:webHidden/>
              </w:rPr>
              <w:fldChar w:fldCharType="end"/>
            </w:r>
          </w:hyperlink>
        </w:p>
        <w:p w14:paraId="6A59A81C" w14:textId="77777777" w:rsidR="00847E6D" w:rsidRDefault="00847E6D">
          <w:pPr>
            <w:pStyle w:val="TOC2"/>
            <w:rPr>
              <w:rFonts w:eastAsiaTheme="minorEastAsia" w:cstheme="minorBidi"/>
              <w:iCs w:val="0"/>
              <w:sz w:val="22"/>
              <w:szCs w:val="22"/>
              <w:lang w:eastAsia="en-AU"/>
            </w:rPr>
          </w:pPr>
          <w:hyperlink w:anchor="_Toc521069553" w:history="1">
            <w:r w:rsidRPr="00FF0E45">
              <w:rPr>
                <w:rStyle w:val="Hyperlink"/>
                <w:rFonts w:ascii="Calibri" w:hAnsi="Calibri"/>
              </w:rPr>
              <w:t>7.1</w:t>
            </w:r>
            <w:r>
              <w:rPr>
                <w:rFonts w:eastAsiaTheme="minorEastAsia" w:cstheme="minorBidi"/>
                <w:iCs w:val="0"/>
                <w:sz w:val="22"/>
                <w:szCs w:val="22"/>
                <w:lang w:eastAsia="en-AU"/>
              </w:rPr>
              <w:tab/>
            </w:r>
            <w:r w:rsidRPr="00FF0E45">
              <w:rPr>
                <w:rStyle w:val="Hyperlink"/>
              </w:rPr>
              <w:t>Brown marmorated stink bug (</w:t>
            </w:r>
            <w:r w:rsidRPr="00FF0E45">
              <w:rPr>
                <w:rStyle w:val="Hyperlink"/>
                <w:i/>
              </w:rPr>
              <w:t>Halyomorpha halys</w:t>
            </w:r>
            <w:r w:rsidRPr="00FF0E45">
              <w:rPr>
                <w:rStyle w:val="Hyperlink"/>
              </w:rPr>
              <w:t>)</w:t>
            </w:r>
            <w:r>
              <w:rPr>
                <w:webHidden/>
              </w:rPr>
              <w:tab/>
            </w:r>
            <w:r>
              <w:rPr>
                <w:webHidden/>
              </w:rPr>
              <w:fldChar w:fldCharType="begin"/>
            </w:r>
            <w:r>
              <w:rPr>
                <w:webHidden/>
              </w:rPr>
              <w:instrText xml:space="preserve"> PAGEREF _Toc521069553 \h </w:instrText>
            </w:r>
            <w:r>
              <w:rPr>
                <w:webHidden/>
              </w:rPr>
            </w:r>
            <w:r>
              <w:rPr>
                <w:webHidden/>
              </w:rPr>
              <w:fldChar w:fldCharType="separate"/>
            </w:r>
            <w:r>
              <w:rPr>
                <w:webHidden/>
              </w:rPr>
              <w:t>51</w:t>
            </w:r>
            <w:r>
              <w:rPr>
                <w:webHidden/>
              </w:rPr>
              <w:fldChar w:fldCharType="end"/>
            </w:r>
          </w:hyperlink>
        </w:p>
        <w:p w14:paraId="0C932459" w14:textId="77777777" w:rsidR="00847E6D" w:rsidRDefault="00847E6D">
          <w:pPr>
            <w:pStyle w:val="TOC2"/>
            <w:rPr>
              <w:rFonts w:eastAsiaTheme="minorEastAsia" w:cstheme="minorBidi"/>
              <w:iCs w:val="0"/>
              <w:sz w:val="22"/>
              <w:szCs w:val="22"/>
              <w:lang w:eastAsia="en-AU"/>
            </w:rPr>
          </w:pPr>
          <w:hyperlink w:anchor="_Toc521069554" w:history="1">
            <w:r w:rsidRPr="00FF0E45">
              <w:rPr>
                <w:rStyle w:val="Hyperlink"/>
                <w:rFonts w:ascii="Calibri" w:hAnsi="Calibri"/>
                <w:lang w:eastAsia="ja-JP"/>
              </w:rPr>
              <w:t>7.2</w:t>
            </w:r>
            <w:r>
              <w:rPr>
                <w:rFonts w:eastAsiaTheme="minorEastAsia" w:cstheme="minorBidi"/>
                <w:iCs w:val="0"/>
                <w:sz w:val="22"/>
                <w:szCs w:val="22"/>
                <w:lang w:eastAsia="en-AU"/>
              </w:rPr>
              <w:tab/>
            </w:r>
            <w:r w:rsidRPr="00FF0E45">
              <w:rPr>
                <w:rStyle w:val="Hyperlink"/>
                <w:lang w:eastAsia="ja-JP"/>
              </w:rPr>
              <w:t>Asian gypsy moth (</w:t>
            </w:r>
            <w:r w:rsidRPr="00FF0E45">
              <w:rPr>
                <w:rStyle w:val="Hyperlink"/>
                <w:i/>
                <w:lang w:eastAsia="ja-JP"/>
              </w:rPr>
              <w:t>Lymantria dispar</w:t>
            </w:r>
            <w:r w:rsidRPr="00FF0E45">
              <w:rPr>
                <w:rStyle w:val="Hyperlink"/>
                <w:lang w:eastAsia="ja-JP"/>
              </w:rPr>
              <w:t>)</w:t>
            </w:r>
            <w:r>
              <w:rPr>
                <w:webHidden/>
              </w:rPr>
              <w:tab/>
            </w:r>
            <w:r>
              <w:rPr>
                <w:webHidden/>
              </w:rPr>
              <w:fldChar w:fldCharType="begin"/>
            </w:r>
            <w:r>
              <w:rPr>
                <w:webHidden/>
              </w:rPr>
              <w:instrText xml:space="preserve"> PAGEREF _Toc521069554 \h </w:instrText>
            </w:r>
            <w:r>
              <w:rPr>
                <w:webHidden/>
              </w:rPr>
            </w:r>
            <w:r>
              <w:rPr>
                <w:webHidden/>
              </w:rPr>
              <w:fldChar w:fldCharType="separate"/>
            </w:r>
            <w:r>
              <w:rPr>
                <w:webHidden/>
              </w:rPr>
              <w:t>52</w:t>
            </w:r>
            <w:r>
              <w:rPr>
                <w:webHidden/>
              </w:rPr>
              <w:fldChar w:fldCharType="end"/>
            </w:r>
          </w:hyperlink>
        </w:p>
        <w:p w14:paraId="03E62C93" w14:textId="77777777" w:rsidR="00847E6D" w:rsidRDefault="00847E6D">
          <w:pPr>
            <w:pStyle w:val="TOC2"/>
            <w:rPr>
              <w:rFonts w:eastAsiaTheme="minorEastAsia" w:cstheme="minorBidi"/>
              <w:iCs w:val="0"/>
              <w:sz w:val="22"/>
              <w:szCs w:val="22"/>
              <w:lang w:eastAsia="en-AU"/>
            </w:rPr>
          </w:pPr>
          <w:hyperlink w:anchor="_Toc521069555" w:history="1">
            <w:r w:rsidRPr="00FF0E45">
              <w:rPr>
                <w:rStyle w:val="Hyperlink"/>
                <w:rFonts w:ascii="Calibri" w:hAnsi="Calibri"/>
              </w:rPr>
              <w:t>7.3</w:t>
            </w:r>
            <w:r>
              <w:rPr>
                <w:rFonts w:eastAsiaTheme="minorEastAsia" w:cstheme="minorBidi"/>
                <w:iCs w:val="0"/>
                <w:sz w:val="22"/>
                <w:szCs w:val="22"/>
                <w:lang w:eastAsia="en-AU"/>
              </w:rPr>
              <w:tab/>
            </w:r>
            <w:r w:rsidRPr="00FF0E45">
              <w:rPr>
                <w:rStyle w:val="Hyperlink"/>
              </w:rPr>
              <w:t>Burnt pine longicorn beetle (</w:t>
            </w:r>
            <w:r w:rsidRPr="00FF0E45">
              <w:rPr>
                <w:rStyle w:val="Hyperlink"/>
                <w:i/>
              </w:rPr>
              <w:t>Arhopalus ferus</w:t>
            </w:r>
            <w:r w:rsidRPr="00FF0E45">
              <w:rPr>
                <w:rStyle w:val="Hyperlink"/>
              </w:rPr>
              <w:t>)</w:t>
            </w:r>
            <w:r>
              <w:rPr>
                <w:webHidden/>
              </w:rPr>
              <w:tab/>
            </w:r>
            <w:r>
              <w:rPr>
                <w:webHidden/>
              </w:rPr>
              <w:fldChar w:fldCharType="begin"/>
            </w:r>
            <w:r>
              <w:rPr>
                <w:webHidden/>
              </w:rPr>
              <w:instrText xml:space="preserve"> PAGEREF _Toc521069555 \h </w:instrText>
            </w:r>
            <w:r>
              <w:rPr>
                <w:webHidden/>
              </w:rPr>
            </w:r>
            <w:r>
              <w:rPr>
                <w:webHidden/>
              </w:rPr>
              <w:fldChar w:fldCharType="separate"/>
            </w:r>
            <w:r>
              <w:rPr>
                <w:webHidden/>
              </w:rPr>
              <w:t>53</w:t>
            </w:r>
            <w:r>
              <w:rPr>
                <w:webHidden/>
              </w:rPr>
              <w:fldChar w:fldCharType="end"/>
            </w:r>
          </w:hyperlink>
        </w:p>
        <w:p w14:paraId="3048A665" w14:textId="77777777" w:rsidR="00847E6D" w:rsidRDefault="00847E6D">
          <w:pPr>
            <w:pStyle w:val="TOC2"/>
            <w:rPr>
              <w:rFonts w:eastAsiaTheme="minorEastAsia" w:cstheme="minorBidi"/>
              <w:iCs w:val="0"/>
              <w:sz w:val="22"/>
              <w:szCs w:val="22"/>
              <w:lang w:eastAsia="en-AU"/>
            </w:rPr>
          </w:pPr>
          <w:hyperlink w:anchor="_Toc521069556" w:history="1">
            <w:r w:rsidRPr="00FF0E45">
              <w:rPr>
                <w:rStyle w:val="Hyperlink"/>
                <w:rFonts w:ascii="Calibri" w:hAnsi="Calibri"/>
                <w:lang w:eastAsia="ja-JP"/>
              </w:rPr>
              <w:t>7.4</w:t>
            </w:r>
            <w:r>
              <w:rPr>
                <w:rFonts w:eastAsiaTheme="minorEastAsia" w:cstheme="minorBidi"/>
                <w:iCs w:val="0"/>
                <w:sz w:val="22"/>
                <w:szCs w:val="22"/>
                <w:lang w:eastAsia="en-AU"/>
              </w:rPr>
              <w:tab/>
            </w:r>
            <w:r w:rsidRPr="00FF0E45">
              <w:rPr>
                <w:rStyle w:val="Hyperlink"/>
                <w:lang w:eastAsia="ja-JP"/>
              </w:rPr>
              <w:t>Pre- and post-border cooperation on seasonal pest management</w:t>
            </w:r>
            <w:r>
              <w:rPr>
                <w:webHidden/>
              </w:rPr>
              <w:tab/>
            </w:r>
            <w:r>
              <w:rPr>
                <w:webHidden/>
              </w:rPr>
              <w:fldChar w:fldCharType="begin"/>
            </w:r>
            <w:r>
              <w:rPr>
                <w:webHidden/>
              </w:rPr>
              <w:instrText xml:space="preserve"> PAGEREF _Toc521069556 \h </w:instrText>
            </w:r>
            <w:r>
              <w:rPr>
                <w:webHidden/>
              </w:rPr>
            </w:r>
            <w:r>
              <w:rPr>
                <w:webHidden/>
              </w:rPr>
              <w:fldChar w:fldCharType="separate"/>
            </w:r>
            <w:r>
              <w:rPr>
                <w:webHidden/>
              </w:rPr>
              <w:t>54</w:t>
            </w:r>
            <w:r>
              <w:rPr>
                <w:webHidden/>
              </w:rPr>
              <w:fldChar w:fldCharType="end"/>
            </w:r>
          </w:hyperlink>
        </w:p>
        <w:p w14:paraId="6E2443DC" w14:textId="77777777" w:rsidR="00847E6D" w:rsidRDefault="00847E6D">
          <w:pPr>
            <w:pStyle w:val="TOC1"/>
            <w:rPr>
              <w:rFonts w:eastAsiaTheme="minorEastAsia" w:cstheme="minorBidi"/>
              <w:b w:val="0"/>
              <w:noProof/>
              <w:sz w:val="22"/>
              <w:szCs w:val="22"/>
              <w:lang w:eastAsia="en-AU"/>
            </w:rPr>
          </w:pPr>
          <w:hyperlink w:anchor="_Toc521069557" w:history="1">
            <w:r w:rsidRPr="00FF0E45">
              <w:rPr>
                <w:rStyle w:val="Hyperlink"/>
                <w:rFonts w:ascii="Calibri" w:hAnsi="Calibri"/>
                <w:noProof/>
              </w:rPr>
              <w:t>8</w:t>
            </w:r>
            <w:r>
              <w:rPr>
                <w:rFonts w:eastAsiaTheme="minorEastAsia" w:cstheme="minorBidi"/>
                <w:b w:val="0"/>
                <w:noProof/>
                <w:sz w:val="22"/>
                <w:szCs w:val="22"/>
                <w:lang w:eastAsia="en-AU"/>
              </w:rPr>
              <w:tab/>
            </w:r>
            <w:r w:rsidRPr="00FF0E45">
              <w:rPr>
                <w:rStyle w:val="Hyperlink"/>
                <w:noProof/>
              </w:rPr>
              <w:t>Other key hitchhiker pests</w:t>
            </w:r>
            <w:r>
              <w:rPr>
                <w:noProof/>
                <w:webHidden/>
              </w:rPr>
              <w:tab/>
            </w:r>
            <w:r>
              <w:rPr>
                <w:noProof/>
                <w:webHidden/>
              </w:rPr>
              <w:fldChar w:fldCharType="begin"/>
            </w:r>
            <w:r>
              <w:rPr>
                <w:noProof/>
                <w:webHidden/>
              </w:rPr>
              <w:instrText xml:space="preserve"> PAGEREF _Toc521069557 \h </w:instrText>
            </w:r>
            <w:r>
              <w:rPr>
                <w:noProof/>
                <w:webHidden/>
              </w:rPr>
            </w:r>
            <w:r>
              <w:rPr>
                <w:noProof/>
                <w:webHidden/>
              </w:rPr>
              <w:fldChar w:fldCharType="separate"/>
            </w:r>
            <w:r>
              <w:rPr>
                <w:noProof/>
                <w:webHidden/>
              </w:rPr>
              <w:t>56</w:t>
            </w:r>
            <w:r>
              <w:rPr>
                <w:noProof/>
                <w:webHidden/>
              </w:rPr>
              <w:fldChar w:fldCharType="end"/>
            </w:r>
          </w:hyperlink>
        </w:p>
        <w:p w14:paraId="004C4098" w14:textId="77777777" w:rsidR="00847E6D" w:rsidRDefault="00847E6D">
          <w:pPr>
            <w:pStyle w:val="TOC2"/>
            <w:rPr>
              <w:rFonts w:eastAsiaTheme="minorEastAsia" w:cstheme="minorBidi"/>
              <w:iCs w:val="0"/>
              <w:sz w:val="22"/>
              <w:szCs w:val="22"/>
              <w:lang w:eastAsia="en-AU"/>
            </w:rPr>
          </w:pPr>
          <w:hyperlink w:anchor="_Toc521069558" w:history="1">
            <w:r w:rsidRPr="00FF0E45">
              <w:rPr>
                <w:rStyle w:val="Hyperlink"/>
                <w:rFonts w:ascii="Calibri" w:hAnsi="Calibri"/>
              </w:rPr>
              <w:t>8.1</w:t>
            </w:r>
            <w:r>
              <w:rPr>
                <w:rFonts w:eastAsiaTheme="minorEastAsia" w:cstheme="minorBidi"/>
                <w:iCs w:val="0"/>
                <w:sz w:val="22"/>
                <w:szCs w:val="22"/>
                <w:lang w:eastAsia="en-AU"/>
              </w:rPr>
              <w:tab/>
            </w:r>
            <w:r w:rsidRPr="00FF0E45">
              <w:rPr>
                <w:rStyle w:val="Hyperlink"/>
              </w:rPr>
              <w:t>Exotic invasive ants</w:t>
            </w:r>
            <w:r>
              <w:rPr>
                <w:webHidden/>
              </w:rPr>
              <w:tab/>
            </w:r>
            <w:r>
              <w:rPr>
                <w:webHidden/>
              </w:rPr>
              <w:fldChar w:fldCharType="begin"/>
            </w:r>
            <w:r>
              <w:rPr>
                <w:webHidden/>
              </w:rPr>
              <w:instrText xml:space="preserve"> PAGEREF _Toc521069558 \h </w:instrText>
            </w:r>
            <w:r>
              <w:rPr>
                <w:webHidden/>
              </w:rPr>
            </w:r>
            <w:r>
              <w:rPr>
                <w:webHidden/>
              </w:rPr>
              <w:fldChar w:fldCharType="separate"/>
            </w:r>
            <w:r>
              <w:rPr>
                <w:webHidden/>
              </w:rPr>
              <w:t>56</w:t>
            </w:r>
            <w:r>
              <w:rPr>
                <w:webHidden/>
              </w:rPr>
              <w:fldChar w:fldCharType="end"/>
            </w:r>
          </w:hyperlink>
        </w:p>
        <w:p w14:paraId="0856A977" w14:textId="77777777" w:rsidR="00847E6D" w:rsidRDefault="00847E6D">
          <w:pPr>
            <w:pStyle w:val="TOC2"/>
            <w:rPr>
              <w:rFonts w:eastAsiaTheme="minorEastAsia" w:cstheme="minorBidi"/>
              <w:iCs w:val="0"/>
              <w:sz w:val="22"/>
              <w:szCs w:val="22"/>
              <w:lang w:eastAsia="en-AU"/>
            </w:rPr>
          </w:pPr>
          <w:hyperlink w:anchor="_Toc521069559" w:history="1">
            <w:r w:rsidRPr="00FF0E45">
              <w:rPr>
                <w:rStyle w:val="Hyperlink"/>
                <w:rFonts w:ascii="Calibri" w:hAnsi="Calibri"/>
              </w:rPr>
              <w:t>8.2</w:t>
            </w:r>
            <w:r>
              <w:rPr>
                <w:rFonts w:eastAsiaTheme="minorEastAsia" w:cstheme="minorBidi"/>
                <w:iCs w:val="0"/>
                <w:sz w:val="22"/>
                <w:szCs w:val="22"/>
                <w:lang w:eastAsia="en-AU"/>
              </w:rPr>
              <w:tab/>
            </w:r>
            <w:r w:rsidRPr="00FF0E45">
              <w:rPr>
                <w:rStyle w:val="Hyperlink"/>
              </w:rPr>
              <w:t>Giant African snails (</w:t>
            </w:r>
            <w:r w:rsidRPr="00FF0E45">
              <w:rPr>
                <w:rStyle w:val="Hyperlink"/>
                <w:i/>
              </w:rPr>
              <w:t>Achatina fulica</w:t>
            </w:r>
            <w:r w:rsidRPr="00FF0E45">
              <w:rPr>
                <w:rStyle w:val="Hyperlink"/>
              </w:rPr>
              <w:t>)</w:t>
            </w:r>
            <w:r>
              <w:rPr>
                <w:webHidden/>
              </w:rPr>
              <w:tab/>
            </w:r>
            <w:r>
              <w:rPr>
                <w:webHidden/>
              </w:rPr>
              <w:fldChar w:fldCharType="begin"/>
            </w:r>
            <w:r>
              <w:rPr>
                <w:webHidden/>
              </w:rPr>
              <w:instrText xml:space="preserve"> PAGEREF _Toc521069559 \h </w:instrText>
            </w:r>
            <w:r>
              <w:rPr>
                <w:webHidden/>
              </w:rPr>
            </w:r>
            <w:r>
              <w:rPr>
                <w:webHidden/>
              </w:rPr>
              <w:fldChar w:fldCharType="separate"/>
            </w:r>
            <w:r>
              <w:rPr>
                <w:webHidden/>
              </w:rPr>
              <w:t>58</w:t>
            </w:r>
            <w:r>
              <w:rPr>
                <w:webHidden/>
              </w:rPr>
              <w:fldChar w:fldCharType="end"/>
            </w:r>
          </w:hyperlink>
        </w:p>
        <w:p w14:paraId="7FAFEE14" w14:textId="77777777" w:rsidR="00847E6D" w:rsidRDefault="00847E6D">
          <w:pPr>
            <w:pStyle w:val="TOC2"/>
            <w:rPr>
              <w:rFonts w:eastAsiaTheme="minorEastAsia" w:cstheme="minorBidi"/>
              <w:iCs w:val="0"/>
              <w:sz w:val="22"/>
              <w:szCs w:val="22"/>
              <w:lang w:eastAsia="en-AU"/>
            </w:rPr>
          </w:pPr>
          <w:hyperlink w:anchor="_Toc521069560" w:history="1">
            <w:r w:rsidRPr="00FF0E45">
              <w:rPr>
                <w:rStyle w:val="Hyperlink"/>
                <w:rFonts w:ascii="Calibri" w:hAnsi="Calibri"/>
              </w:rPr>
              <w:t>8.3</w:t>
            </w:r>
            <w:r>
              <w:rPr>
                <w:rFonts w:eastAsiaTheme="minorEastAsia" w:cstheme="minorBidi"/>
                <w:iCs w:val="0"/>
                <w:sz w:val="22"/>
                <w:szCs w:val="22"/>
                <w:lang w:eastAsia="en-AU"/>
              </w:rPr>
              <w:tab/>
            </w:r>
            <w:r w:rsidRPr="00FF0E45">
              <w:rPr>
                <w:rStyle w:val="Hyperlink"/>
              </w:rPr>
              <w:t>Exotic bees and bee mites</w:t>
            </w:r>
            <w:r>
              <w:rPr>
                <w:webHidden/>
              </w:rPr>
              <w:tab/>
            </w:r>
            <w:r>
              <w:rPr>
                <w:webHidden/>
              </w:rPr>
              <w:fldChar w:fldCharType="begin"/>
            </w:r>
            <w:r>
              <w:rPr>
                <w:webHidden/>
              </w:rPr>
              <w:instrText xml:space="preserve"> PAGEREF _Toc521069560 \h </w:instrText>
            </w:r>
            <w:r>
              <w:rPr>
                <w:webHidden/>
              </w:rPr>
            </w:r>
            <w:r>
              <w:rPr>
                <w:webHidden/>
              </w:rPr>
              <w:fldChar w:fldCharType="separate"/>
            </w:r>
            <w:r>
              <w:rPr>
                <w:webHidden/>
              </w:rPr>
              <w:t>60</w:t>
            </w:r>
            <w:r>
              <w:rPr>
                <w:webHidden/>
              </w:rPr>
              <w:fldChar w:fldCharType="end"/>
            </w:r>
          </w:hyperlink>
        </w:p>
        <w:p w14:paraId="1B4D7829" w14:textId="77777777" w:rsidR="00847E6D" w:rsidRDefault="00847E6D">
          <w:pPr>
            <w:pStyle w:val="TOC2"/>
            <w:rPr>
              <w:rFonts w:eastAsiaTheme="minorEastAsia" w:cstheme="minorBidi"/>
              <w:iCs w:val="0"/>
              <w:sz w:val="22"/>
              <w:szCs w:val="22"/>
              <w:lang w:eastAsia="en-AU"/>
            </w:rPr>
          </w:pPr>
          <w:hyperlink w:anchor="_Toc521069561" w:history="1">
            <w:r w:rsidRPr="00FF0E45">
              <w:rPr>
                <w:rStyle w:val="Hyperlink"/>
                <w:rFonts w:ascii="Calibri" w:hAnsi="Calibri"/>
              </w:rPr>
              <w:t>8.4</w:t>
            </w:r>
            <w:r>
              <w:rPr>
                <w:rFonts w:eastAsiaTheme="minorEastAsia" w:cstheme="minorBidi"/>
                <w:iCs w:val="0"/>
                <w:sz w:val="22"/>
                <w:szCs w:val="22"/>
                <w:lang w:eastAsia="en-AU"/>
              </w:rPr>
              <w:tab/>
            </w:r>
            <w:r w:rsidRPr="00FF0E45">
              <w:rPr>
                <w:rStyle w:val="Hyperlink"/>
              </w:rPr>
              <w:t>Mosquit</w:t>
            </w:r>
            <w:r w:rsidRPr="00FF0E45">
              <w:rPr>
                <w:rStyle w:val="Hyperlink"/>
              </w:rPr>
              <w:t>o</w:t>
            </w:r>
            <w:r w:rsidRPr="00FF0E45">
              <w:rPr>
                <w:rStyle w:val="Hyperlink"/>
              </w:rPr>
              <w:t>es</w:t>
            </w:r>
            <w:r>
              <w:rPr>
                <w:webHidden/>
              </w:rPr>
              <w:tab/>
            </w:r>
            <w:r>
              <w:rPr>
                <w:webHidden/>
              </w:rPr>
              <w:fldChar w:fldCharType="begin"/>
            </w:r>
            <w:r>
              <w:rPr>
                <w:webHidden/>
              </w:rPr>
              <w:instrText xml:space="preserve"> PAGEREF _Toc521069561 \h </w:instrText>
            </w:r>
            <w:r>
              <w:rPr>
                <w:webHidden/>
              </w:rPr>
            </w:r>
            <w:r>
              <w:rPr>
                <w:webHidden/>
              </w:rPr>
              <w:fldChar w:fldCharType="separate"/>
            </w:r>
            <w:r>
              <w:rPr>
                <w:webHidden/>
              </w:rPr>
              <w:t>61</w:t>
            </w:r>
            <w:r>
              <w:rPr>
                <w:webHidden/>
              </w:rPr>
              <w:fldChar w:fldCharType="end"/>
            </w:r>
          </w:hyperlink>
        </w:p>
        <w:p w14:paraId="06076DAD" w14:textId="77777777" w:rsidR="00847E6D" w:rsidRDefault="00847E6D">
          <w:pPr>
            <w:pStyle w:val="TOC2"/>
            <w:rPr>
              <w:rFonts w:eastAsiaTheme="minorEastAsia" w:cstheme="minorBidi"/>
              <w:iCs w:val="0"/>
              <w:sz w:val="22"/>
              <w:szCs w:val="22"/>
              <w:lang w:eastAsia="en-AU"/>
            </w:rPr>
          </w:pPr>
          <w:hyperlink w:anchor="_Toc521069562" w:history="1">
            <w:r w:rsidRPr="00FF0E45">
              <w:rPr>
                <w:rStyle w:val="Hyperlink"/>
                <w:rFonts w:ascii="Calibri" w:hAnsi="Calibri"/>
              </w:rPr>
              <w:t>8.5</w:t>
            </w:r>
            <w:r>
              <w:rPr>
                <w:rFonts w:eastAsiaTheme="minorEastAsia" w:cstheme="minorBidi"/>
                <w:iCs w:val="0"/>
                <w:sz w:val="22"/>
                <w:szCs w:val="22"/>
                <w:lang w:eastAsia="en-AU"/>
              </w:rPr>
              <w:tab/>
            </w:r>
            <w:r w:rsidRPr="00FF0E45">
              <w:rPr>
                <w:rStyle w:val="Hyperlink"/>
              </w:rPr>
              <w:t>Rodents</w:t>
            </w:r>
            <w:r>
              <w:rPr>
                <w:webHidden/>
              </w:rPr>
              <w:tab/>
            </w:r>
            <w:r>
              <w:rPr>
                <w:webHidden/>
              </w:rPr>
              <w:fldChar w:fldCharType="begin"/>
            </w:r>
            <w:r>
              <w:rPr>
                <w:webHidden/>
              </w:rPr>
              <w:instrText xml:space="preserve"> PAGEREF _Toc521069562 \h </w:instrText>
            </w:r>
            <w:r>
              <w:rPr>
                <w:webHidden/>
              </w:rPr>
            </w:r>
            <w:r>
              <w:rPr>
                <w:webHidden/>
              </w:rPr>
              <w:fldChar w:fldCharType="separate"/>
            </w:r>
            <w:r>
              <w:rPr>
                <w:webHidden/>
              </w:rPr>
              <w:t>61</w:t>
            </w:r>
            <w:r>
              <w:rPr>
                <w:webHidden/>
              </w:rPr>
              <w:fldChar w:fldCharType="end"/>
            </w:r>
          </w:hyperlink>
        </w:p>
        <w:p w14:paraId="660742D6" w14:textId="77777777" w:rsidR="00847E6D" w:rsidRDefault="00847E6D">
          <w:pPr>
            <w:pStyle w:val="TOC2"/>
            <w:rPr>
              <w:rFonts w:eastAsiaTheme="minorEastAsia" w:cstheme="minorBidi"/>
              <w:iCs w:val="0"/>
              <w:sz w:val="22"/>
              <w:szCs w:val="22"/>
              <w:lang w:eastAsia="en-AU"/>
            </w:rPr>
          </w:pPr>
          <w:hyperlink w:anchor="_Toc521069563" w:history="1">
            <w:r w:rsidRPr="00FF0E45">
              <w:rPr>
                <w:rStyle w:val="Hyperlink"/>
                <w:rFonts w:ascii="Calibri" w:hAnsi="Calibri"/>
              </w:rPr>
              <w:t>8.6</w:t>
            </w:r>
            <w:r>
              <w:rPr>
                <w:rFonts w:eastAsiaTheme="minorEastAsia" w:cstheme="minorBidi"/>
                <w:iCs w:val="0"/>
                <w:sz w:val="22"/>
                <w:szCs w:val="22"/>
                <w:lang w:eastAsia="en-AU"/>
              </w:rPr>
              <w:tab/>
            </w:r>
            <w:r w:rsidRPr="00FF0E45">
              <w:rPr>
                <w:rStyle w:val="Hyperlink"/>
              </w:rPr>
              <w:t>Black-spined toad (</w:t>
            </w:r>
            <w:r w:rsidRPr="00FF0E45">
              <w:rPr>
                <w:rStyle w:val="Hyperlink"/>
                <w:i/>
              </w:rPr>
              <w:t>Duttaphrynus melanostictus</w:t>
            </w:r>
            <w:r w:rsidRPr="00FF0E45">
              <w:rPr>
                <w:rStyle w:val="Hyperlink"/>
              </w:rPr>
              <w:t>)</w:t>
            </w:r>
            <w:r>
              <w:rPr>
                <w:webHidden/>
              </w:rPr>
              <w:tab/>
            </w:r>
            <w:r>
              <w:rPr>
                <w:webHidden/>
              </w:rPr>
              <w:fldChar w:fldCharType="begin"/>
            </w:r>
            <w:r>
              <w:rPr>
                <w:webHidden/>
              </w:rPr>
              <w:instrText xml:space="preserve"> PAGEREF _Toc521069563 \h </w:instrText>
            </w:r>
            <w:r>
              <w:rPr>
                <w:webHidden/>
              </w:rPr>
            </w:r>
            <w:r>
              <w:rPr>
                <w:webHidden/>
              </w:rPr>
              <w:fldChar w:fldCharType="separate"/>
            </w:r>
            <w:r>
              <w:rPr>
                <w:webHidden/>
              </w:rPr>
              <w:t>61</w:t>
            </w:r>
            <w:r>
              <w:rPr>
                <w:webHidden/>
              </w:rPr>
              <w:fldChar w:fldCharType="end"/>
            </w:r>
          </w:hyperlink>
        </w:p>
        <w:p w14:paraId="3F9C0666" w14:textId="77777777" w:rsidR="00847E6D" w:rsidRDefault="00847E6D">
          <w:pPr>
            <w:pStyle w:val="TOC2"/>
            <w:rPr>
              <w:rFonts w:eastAsiaTheme="minorEastAsia" w:cstheme="minorBidi"/>
              <w:iCs w:val="0"/>
              <w:sz w:val="22"/>
              <w:szCs w:val="22"/>
              <w:lang w:eastAsia="en-AU"/>
            </w:rPr>
          </w:pPr>
          <w:hyperlink w:anchor="_Toc521069564" w:history="1">
            <w:r w:rsidRPr="00FF0E45">
              <w:rPr>
                <w:rStyle w:val="Hyperlink"/>
                <w:rFonts w:ascii="Calibri" w:hAnsi="Calibri"/>
              </w:rPr>
              <w:t>8.7</w:t>
            </w:r>
            <w:r>
              <w:rPr>
                <w:rFonts w:eastAsiaTheme="minorEastAsia" w:cstheme="minorBidi"/>
                <w:iCs w:val="0"/>
                <w:sz w:val="22"/>
                <w:szCs w:val="22"/>
                <w:lang w:eastAsia="en-AU"/>
              </w:rPr>
              <w:tab/>
            </w:r>
            <w:r w:rsidRPr="00FF0E45">
              <w:rPr>
                <w:rStyle w:val="Hyperlink"/>
              </w:rPr>
              <w:t>Reptiles</w:t>
            </w:r>
            <w:r>
              <w:rPr>
                <w:webHidden/>
              </w:rPr>
              <w:tab/>
            </w:r>
            <w:r>
              <w:rPr>
                <w:webHidden/>
              </w:rPr>
              <w:fldChar w:fldCharType="begin"/>
            </w:r>
            <w:r>
              <w:rPr>
                <w:webHidden/>
              </w:rPr>
              <w:instrText xml:space="preserve"> PAGEREF _Toc521069564 \h </w:instrText>
            </w:r>
            <w:r>
              <w:rPr>
                <w:webHidden/>
              </w:rPr>
            </w:r>
            <w:r>
              <w:rPr>
                <w:webHidden/>
              </w:rPr>
              <w:fldChar w:fldCharType="separate"/>
            </w:r>
            <w:r>
              <w:rPr>
                <w:webHidden/>
              </w:rPr>
              <w:t>62</w:t>
            </w:r>
            <w:r>
              <w:rPr>
                <w:webHidden/>
              </w:rPr>
              <w:fldChar w:fldCharType="end"/>
            </w:r>
          </w:hyperlink>
        </w:p>
        <w:p w14:paraId="5FAE5E28" w14:textId="77777777" w:rsidR="00847E6D" w:rsidRDefault="00847E6D">
          <w:pPr>
            <w:pStyle w:val="TOC1"/>
            <w:rPr>
              <w:rFonts w:eastAsiaTheme="minorEastAsia" w:cstheme="minorBidi"/>
              <w:b w:val="0"/>
              <w:noProof/>
              <w:sz w:val="22"/>
              <w:szCs w:val="22"/>
              <w:lang w:eastAsia="en-AU"/>
            </w:rPr>
          </w:pPr>
          <w:hyperlink w:anchor="_Toc521069565" w:history="1">
            <w:r w:rsidRPr="00FF0E45">
              <w:rPr>
                <w:rStyle w:val="Hyperlink"/>
                <w:rFonts w:ascii="Calibri" w:hAnsi="Calibri"/>
                <w:noProof/>
              </w:rPr>
              <w:t>9</w:t>
            </w:r>
            <w:r>
              <w:rPr>
                <w:rFonts w:eastAsiaTheme="minorEastAsia" w:cstheme="minorBidi"/>
                <w:b w:val="0"/>
                <w:noProof/>
                <w:sz w:val="22"/>
                <w:szCs w:val="22"/>
                <w:lang w:eastAsia="en-AU"/>
              </w:rPr>
              <w:tab/>
            </w:r>
            <w:r w:rsidRPr="00FF0E45">
              <w:rPr>
                <w:rStyle w:val="Hyperlink"/>
                <w:noProof/>
              </w:rPr>
              <w:t>Conclusion</w:t>
            </w:r>
            <w:r>
              <w:rPr>
                <w:noProof/>
                <w:webHidden/>
              </w:rPr>
              <w:tab/>
            </w:r>
            <w:r>
              <w:rPr>
                <w:noProof/>
                <w:webHidden/>
              </w:rPr>
              <w:fldChar w:fldCharType="begin"/>
            </w:r>
            <w:r>
              <w:rPr>
                <w:noProof/>
                <w:webHidden/>
              </w:rPr>
              <w:instrText xml:space="preserve"> PAGEREF _Toc521069565 \h </w:instrText>
            </w:r>
            <w:r>
              <w:rPr>
                <w:noProof/>
                <w:webHidden/>
              </w:rPr>
            </w:r>
            <w:r>
              <w:rPr>
                <w:noProof/>
                <w:webHidden/>
              </w:rPr>
              <w:fldChar w:fldCharType="separate"/>
            </w:r>
            <w:r>
              <w:rPr>
                <w:noProof/>
                <w:webHidden/>
              </w:rPr>
              <w:t>63</w:t>
            </w:r>
            <w:r>
              <w:rPr>
                <w:noProof/>
                <w:webHidden/>
              </w:rPr>
              <w:fldChar w:fldCharType="end"/>
            </w:r>
          </w:hyperlink>
        </w:p>
        <w:p w14:paraId="3F5EFBF9" w14:textId="77777777" w:rsidR="00847E6D" w:rsidRDefault="00847E6D">
          <w:pPr>
            <w:pStyle w:val="TOC1"/>
            <w:rPr>
              <w:rFonts w:eastAsiaTheme="minorEastAsia" w:cstheme="minorBidi"/>
              <w:b w:val="0"/>
              <w:noProof/>
              <w:sz w:val="22"/>
              <w:szCs w:val="22"/>
              <w:lang w:eastAsia="en-AU"/>
            </w:rPr>
          </w:pPr>
          <w:hyperlink w:anchor="_Toc521069566" w:history="1">
            <w:r w:rsidRPr="00FF0E45">
              <w:rPr>
                <w:rStyle w:val="Hyperlink"/>
                <w:noProof/>
              </w:rPr>
              <w:t>Appendix A: Agency response</w:t>
            </w:r>
            <w:r>
              <w:rPr>
                <w:noProof/>
                <w:webHidden/>
              </w:rPr>
              <w:tab/>
            </w:r>
            <w:r>
              <w:rPr>
                <w:noProof/>
                <w:webHidden/>
              </w:rPr>
              <w:fldChar w:fldCharType="begin"/>
            </w:r>
            <w:r>
              <w:rPr>
                <w:noProof/>
                <w:webHidden/>
              </w:rPr>
              <w:instrText xml:space="preserve"> PAGEREF _Toc521069566 \h </w:instrText>
            </w:r>
            <w:r>
              <w:rPr>
                <w:noProof/>
                <w:webHidden/>
              </w:rPr>
            </w:r>
            <w:r>
              <w:rPr>
                <w:noProof/>
                <w:webHidden/>
              </w:rPr>
              <w:fldChar w:fldCharType="separate"/>
            </w:r>
            <w:r>
              <w:rPr>
                <w:noProof/>
                <w:webHidden/>
              </w:rPr>
              <w:t>64</w:t>
            </w:r>
            <w:r>
              <w:rPr>
                <w:noProof/>
                <w:webHidden/>
              </w:rPr>
              <w:fldChar w:fldCharType="end"/>
            </w:r>
          </w:hyperlink>
        </w:p>
        <w:p w14:paraId="39F55853" w14:textId="77777777" w:rsidR="00847E6D" w:rsidRDefault="00847E6D">
          <w:pPr>
            <w:pStyle w:val="TOC1"/>
            <w:rPr>
              <w:rFonts w:eastAsiaTheme="minorEastAsia" w:cstheme="minorBidi"/>
              <w:b w:val="0"/>
              <w:noProof/>
              <w:sz w:val="22"/>
              <w:szCs w:val="22"/>
              <w:lang w:eastAsia="en-AU"/>
            </w:rPr>
          </w:pPr>
          <w:hyperlink w:anchor="_Toc521069567" w:history="1">
            <w:r w:rsidRPr="00FF0E45">
              <w:rPr>
                <w:rStyle w:val="Hyperlink"/>
                <w:noProof/>
              </w:rPr>
              <w:t>Glossary</w:t>
            </w:r>
            <w:r>
              <w:rPr>
                <w:noProof/>
                <w:webHidden/>
              </w:rPr>
              <w:tab/>
            </w:r>
            <w:r>
              <w:rPr>
                <w:noProof/>
                <w:webHidden/>
              </w:rPr>
              <w:fldChar w:fldCharType="begin"/>
            </w:r>
            <w:r>
              <w:rPr>
                <w:noProof/>
                <w:webHidden/>
              </w:rPr>
              <w:instrText xml:space="preserve"> PAGEREF _Toc521069567 \h </w:instrText>
            </w:r>
            <w:r>
              <w:rPr>
                <w:noProof/>
                <w:webHidden/>
              </w:rPr>
            </w:r>
            <w:r>
              <w:rPr>
                <w:noProof/>
                <w:webHidden/>
              </w:rPr>
              <w:fldChar w:fldCharType="separate"/>
            </w:r>
            <w:r>
              <w:rPr>
                <w:noProof/>
                <w:webHidden/>
              </w:rPr>
              <w:t>68</w:t>
            </w:r>
            <w:r>
              <w:rPr>
                <w:noProof/>
                <w:webHidden/>
              </w:rPr>
              <w:fldChar w:fldCharType="end"/>
            </w:r>
          </w:hyperlink>
        </w:p>
        <w:p w14:paraId="144A2BF7" w14:textId="77777777" w:rsidR="00847E6D" w:rsidRDefault="00847E6D">
          <w:pPr>
            <w:pStyle w:val="TOC1"/>
            <w:rPr>
              <w:rFonts w:eastAsiaTheme="minorEastAsia" w:cstheme="minorBidi"/>
              <w:b w:val="0"/>
              <w:noProof/>
              <w:sz w:val="22"/>
              <w:szCs w:val="22"/>
              <w:lang w:eastAsia="en-AU"/>
            </w:rPr>
          </w:pPr>
          <w:hyperlink w:anchor="_Toc521069568" w:history="1">
            <w:r w:rsidRPr="00FF0E45">
              <w:rPr>
                <w:rStyle w:val="Hyperlink"/>
                <w:noProof/>
              </w:rPr>
              <w:t>References</w:t>
            </w:r>
            <w:r>
              <w:rPr>
                <w:noProof/>
                <w:webHidden/>
              </w:rPr>
              <w:tab/>
            </w:r>
            <w:r>
              <w:rPr>
                <w:noProof/>
                <w:webHidden/>
              </w:rPr>
              <w:fldChar w:fldCharType="begin"/>
            </w:r>
            <w:r>
              <w:rPr>
                <w:noProof/>
                <w:webHidden/>
              </w:rPr>
              <w:instrText xml:space="preserve"> PAGEREF _Toc521069568 \h </w:instrText>
            </w:r>
            <w:r>
              <w:rPr>
                <w:noProof/>
                <w:webHidden/>
              </w:rPr>
            </w:r>
            <w:r>
              <w:rPr>
                <w:noProof/>
                <w:webHidden/>
              </w:rPr>
              <w:fldChar w:fldCharType="separate"/>
            </w:r>
            <w:r>
              <w:rPr>
                <w:noProof/>
                <w:webHidden/>
              </w:rPr>
              <w:t>69</w:t>
            </w:r>
            <w:r>
              <w:rPr>
                <w:noProof/>
                <w:webHidden/>
              </w:rPr>
              <w:fldChar w:fldCharType="end"/>
            </w:r>
          </w:hyperlink>
        </w:p>
        <w:p w14:paraId="380F128E" w14:textId="77777777" w:rsidR="00AB0E44" w:rsidRDefault="00361FA3">
          <w:pPr>
            <w:spacing w:before="0" w:after="0"/>
          </w:pPr>
          <w:r>
            <w:rPr>
              <w:b/>
              <w:bCs/>
              <w:sz w:val="20"/>
              <w:szCs w:val="20"/>
            </w:rPr>
            <w:fldChar w:fldCharType="end"/>
          </w:r>
        </w:p>
      </w:sdtContent>
    </w:sdt>
    <w:p w14:paraId="3547A967" w14:textId="77777777" w:rsidR="00AB0E44" w:rsidRDefault="00361FA3">
      <w:pPr>
        <w:pStyle w:val="TOCHeading"/>
        <w:keepNext/>
        <w:spacing w:before="180" w:line="240" w:lineRule="auto"/>
      </w:pPr>
      <w:r>
        <w:t>Figures</w:t>
      </w:r>
    </w:p>
    <w:p w14:paraId="39169EF3" w14:textId="77777777" w:rsidR="00847E6D" w:rsidRDefault="00361FA3">
      <w:pPr>
        <w:pStyle w:val="TableofFigures"/>
        <w:tabs>
          <w:tab w:val="right" w:pos="9402"/>
        </w:tabs>
        <w:rPr>
          <w:rFonts w:eastAsiaTheme="minorEastAsia" w:cstheme="minorBidi"/>
          <w:bCs w:val="0"/>
          <w:noProof/>
          <w:sz w:val="22"/>
          <w:szCs w:val="22"/>
          <w:lang w:eastAsia="en-AU"/>
        </w:rPr>
      </w:pPr>
      <w:r>
        <w:fldChar w:fldCharType="begin"/>
      </w:r>
      <w:r>
        <w:instrText xml:space="preserve"> TOC \h \z \t "[Basic Paragraph]" \c "Figure" </w:instrText>
      </w:r>
      <w:r>
        <w:fldChar w:fldCharType="separate"/>
      </w:r>
      <w:hyperlink w:anchor="_Toc521069571" w:history="1">
        <w:r w:rsidR="00847E6D" w:rsidRPr="00247AAE">
          <w:rPr>
            <w:rStyle w:val="Hyperlink"/>
            <w:noProof/>
          </w:rPr>
          <w:t>Figure 1 Composite view of sea cargo processing, 2014–15</w:t>
        </w:r>
        <w:r w:rsidR="00847E6D">
          <w:rPr>
            <w:noProof/>
            <w:webHidden/>
          </w:rPr>
          <w:tab/>
        </w:r>
        <w:r w:rsidR="00847E6D">
          <w:rPr>
            <w:noProof/>
            <w:webHidden/>
          </w:rPr>
          <w:fldChar w:fldCharType="begin"/>
        </w:r>
        <w:r w:rsidR="00847E6D">
          <w:rPr>
            <w:noProof/>
            <w:webHidden/>
          </w:rPr>
          <w:instrText xml:space="preserve"> PAGEREF _Toc521069571 \h </w:instrText>
        </w:r>
        <w:r w:rsidR="00847E6D">
          <w:rPr>
            <w:noProof/>
            <w:webHidden/>
          </w:rPr>
        </w:r>
        <w:r w:rsidR="00847E6D">
          <w:rPr>
            <w:noProof/>
            <w:webHidden/>
          </w:rPr>
          <w:fldChar w:fldCharType="separate"/>
        </w:r>
        <w:r w:rsidR="00847E6D">
          <w:rPr>
            <w:noProof/>
            <w:webHidden/>
          </w:rPr>
          <w:t>20</w:t>
        </w:r>
        <w:r w:rsidR="00847E6D">
          <w:rPr>
            <w:noProof/>
            <w:webHidden/>
          </w:rPr>
          <w:fldChar w:fldCharType="end"/>
        </w:r>
      </w:hyperlink>
    </w:p>
    <w:p w14:paraId="33DCAE3D" w14:textId="77777777" w:rsidR="00847E6D" w:rsidRDefault="00847E6D">
      <w:pPr>
        <w:pStyle w:val="TableofFigures"/>
        <w:tabs>
          <w:tab w:val="right" w:pos="9402"/>
        </w:tabs>
        <w:rPr>
          <w:rFonts w:eastAsiaTheme="minorEastAsia" w:cstheme="minorBidi"/>
          <w:bCs w:val="0"/>
          <w:noProof/>
          <w:sz w:val="22"/>
          <w:szCs w:val="22"/>
          <w:lang w:eastAsia="en-AU"/>
        </w:rPr>
      </w:pPr>
      <w:hyperlink w:anchor="_Toc521069572" w:history="1">
        <w:r w:rsidRPr="00247AAE">
          <w:rPr>
            <w:rStyle w:val="Hyperlink"/>
            <w:noProof/>
          </w:rPr>
          <w:t>Figure 2 Daily vessel visits recorded from 1 January 2016 to 13 April 2017</w:t>
        </w:r>
        <w:r>
          <w:rPr>
            <w:noProof/>
            <w:webHidden/>
          </w:rPr>
          <w:tab/>
        </w:r>
        <w:r>
          <w:rPr>
            <w:noProof/>
            <w:webHidden/>
          </w:rPr>
          <w:fldChar w:fldCharType="begin"/>
        </w:r>
        <w:r>
          <w:rPr>
            <w:noProof/>
            <w:webHidden/>
          </w:rPr>
          <w:instrText xml:space="preserve"> PAGEREF _Toc521069572 \h </w:instrText>
        </w:r>
        <w:r>
          <w:rPr>
            <w:noProof/>
            <w:webHidden/>
          </w:rPr>
        </w:r>
        <w:r>
          <w:rPr>
            <w:noProof/>
            <w:webHidden/>
          </w:rPr>
          <w:fldChar w:fldCharType="separate"/>
        </w:r>
        <w:r>
          <w:rPr>
            <w:noProof/>
            <w:webHidden/>
          </w:rPr>
          <w:t>25</w:t>
        </w:r>
        <w:r>
          <w:rPr>
            <w:noProof/>
            <w:webHidden/>
          </w:rPr>
          <w:fldChar w:fldCharType="end"/>
        </w:r>
      </w:hyperlink>
    </w:p>
    <w:p w14:paraId="34152B75" w14:textId="77777777" w:rsidR="00847E6D" w:rsidRDefault="00847E6D">
      <w:pPr>
        <w:pStyle w:val="TableofFigures"/>
        <w:tabs>
          <w:tab w:val="right" w:pos="9402"/>
        </w:tabs>
        <w:rPr>
          <w:rFonts w:eastAsiaTheme="minorEastAsia" w:cstheme="minorBidi"/>
          <w:bCs w:val="0"/>
          <w:noProof/>
          <w:sz w:val="22"/>
          <w:szCs w:val="22"/>
          <w:lang w:eastAsia="en-AU"/>
        </w:rPr>
      </w:pPr>
      <w:hyperlink w:anchor="_Toc521069573" w:history="1">
        <w:r w:rsidRPr="00247AAE">
          <w:rPr>
            <w:rStyle w:val="Hyperlink"/>
            <w:noProof/>
          </w:rPr>
          <w:t>Figure 3</w:t>
        </w:r>
        <w:r w:rsidRPr="00247AAE">
          <w:rPr>
            <w:rStyle w:val="Hyperlink"/>
            <w:noProof/>
            <w:lang w:eastAsia="ja-JP"/>
          </w:rPr>
          <w:t xml:space="preserve"> Ship inspections by vessel and inspection type, July 2016 to December 2017</w:t>
        </w:r>
        <w:r>
          <w:rPr>
            <w:noProof/>
            <w:webHidden/>
          </w:rPr>
          <w:tab/>
        </w:r>
        <w:r>
          <w:rPr>
            <w:noProof/>
            <w:webHidden/>
          </w:rPr>
          <w:fldChar w:fldCharType="begin"/>
        </w:r>
        <w:r>
          <w:rPr>
            <w:noProof/>
            <w:webHidden/>
          </w:rPr>
          <w:instrText xml:space="preserve"> PAGEREF _Toc521069573 \h </w:instrText>
        </w:r>
        <w:r>
          <w:rPr>
            <w:noProof/>
            <w:webHidden/>
          </w:rPr>
        </w:r>
        <w:r>
          <w:rPr>
            <w:noProof/>
            <w:webHidden/>
          </w:rPr>
          <w:fldChar w:fldCharType="separate"/>
        </w:r>
        <w:r>
          <w:rPr>
            <w:noProof/>
            <w:webHidden/>
          </w:rPr>
          <w:t>26</w:t>
        </w:r>
        <w:r>
          <w:rPr>
            <w:noProof/>
            <w:webHidden/>
          </w:rPr>
          <w:fldChar w:fldCharType="end"/>
        </w:r>
      </w:hyperlink>
    </w:p>
    <w:p w14:paraId="2B31046B" w14:textId="77777777" w:rsidR="00847E6D" w:rsidRDefault="00847E6D">
      <w:pPr>
        <w:pStyle w:val="TableofFigures"/>
        <w:tabs>
          <w:tab w:val="right" w:pos="9402"/>
        </w:tabs>
        <w:rPr>
          <w:rFonts w:eastAsiaTheme="minorEastAsia" w:cstheme="minorBidi"/>
          <w:bCs w:val="0"/>
          <w:noProof/>
          <w:sz w:val="22"/>
          <w:szCs w:val="22"/>
          <w:lang w:eastAsia="en-AU"/>
        </w:rPr>
      </w:pPr>
      <w:hyperlink w:anchor="_Toc521069574" w:history="1">
        <w:r w:rsidRPr="00247AAE">
          <w:rPr>
            <w:rStyle w:val="Hyperlink"/>
            <w:noProof/>
          </w:rPr>
          <w:t>Figure 4</w:t>
        </w:r>
        <w:r w:rsidRPr="00247AAE">
          <w:rPr>
            <w:rStyle w:val="Hyperlink"/>
            <w:noProof/>
            <w:lang w:eastAsia="ja-JP"/>
          </w:rPr>
          <w:t xml:space="preserve"> Vessel compliance scheme fail by ship type, 2017</w:t>
        </w:r>
        <w:r>
          <w:rPr>
            <w:noProof/>
            <w:webHidden/>
          </w:rPr>
          <w:tab/>
        </w:r>
        <w:r>
          <w:rPr>
            <w:noProof/>
            <w:webHidden/>
          </w:rPr>
          <w:fldChar w:fldCharType="begin"/>
        </w:r>
        <w:r>
          <w:rPr>
            <w:noProof/>
            <w:webHidden/>
          </w:rPr>
          <w:instrText xml:space="preserve"> PAGEREF _Toc521069574 \h </w:instrText>
        </w:r>
        <w:r>
          <w:rPr>
            <w:noProof/>
            <w:webHidden/>
          </w:rPr>
        </w:r>
        <w:r>
          <w:rPr>
            <w:noProof/>
            <w:webHidden/>
          </w:rPr>
          <w:fldChar w:fldCharType="separate"/>
        </w:r>
        <w:r>
          <w:rPr>
            <w:noProof/>
            <w:webHidden/>
          </w:rPr>
          <w:t>27</w:t>
        </w:r>
        <w:r>
          <w:rPr>
            <w:noProof/>
            <w:webHidden/>
          </w:rPr>
          <w:fldChar w:fldCharType="end"/>
        </w:r>
      </w:hyperlink>
    </w:p>
    <w:p w14:paraId="12833957" w14:textId="77777777" w:rsidR="00847E6D" w:rsidRDefault="00847E6D">
      <w:pPr>
        <w:pStyle w:val="TableofFigures"/>
        <w:tabs>
          <w:tab w:val="right" w:pos="9402"/>
        </w:tabs>
        <w:rPr>
          <w:rFonts w:eastAsiaTheme="minorEastAsia" w:cstheme="minorBidi"/>
          <w:bCs w:val="0"/>
          <w:noProof/>
          <w:sz w:val="22"/>
          <w:szCs w:val="22"/>
          <w:lang w:eastAsia="en-AU"/>
        </w:rPr>
      </w:pPr>
      <w:hyperlink w:anchor="_Toc521069575" w:history="1">
        <w:r w:rsidRPr="00247AAE">
          <w:rPr>
            <w:rStyle w:val="Hyperlink"/>
            <w:noProof/>
          </w:rPr>
          <w:t>Figure 5 Top five countries of origin for container arrivals, 2010–2017</w:t>
        </w:r>
        <w:r>
          <w:rPr>
            <w:noProof/>
            <w:webHidden/>
          </w:rPr>
          <w:tab/>
        </w:r>
        <w:r>
          <w:rPr>
            <w:noProof/>
            <w:webHidden/>
          </w:rPr>
          <w:fldChar w:fldCharType="begin"/>
        </w:r>
        <w:r>
          <w:rPr>
            <w:noProof/>
            <w:webHidden/>
          </w:rPr>
          <w:instrText xml:space="preserve"> PAGEREF _Toc521069575 \h </w:instrText>
        </w:r>
        <w:r>
          <w:rPr>
            <w:noProof/>
            <w:webHidden/>
          </w:rPr>
        </w:r>
        <w:r>
          <w:rPr>
            <w:noProof/>
            <w:webHidden/>
          </w:rPr>
          <w:fldChar w:fldCharType="separate"/>
        </w:r>
        <w:r>
          <w:rPr>
            <w:noProof/>
            <w:webHidden/>
          </w:rPr>
          <w:t>29</w:t>
        </w:r>
        <w:r>
          <w:rPr>
            <w:noProof/>
            <w:webHidden/>
          </w:rPr>
          <w:fldChar w:fldCharType="end"/>
        </w:r>
      </w:hyperlink>
    </w:p>
    <w:p w14:paraId="4F3B887C" w14:textId="77777777" w:rsidR="00847E6D" w:rsidRDefault="00847E6D">
      <w:pPr>
        <w:pStyle w:val="TableofFigures"/>
        <w:tabs>
          <w:tab w:val="right" w:pos="9402"/>
        </w:tabs>
        <w:rPr>
          <w:rFonts w:eastAsiaTheme="minorEastAsia" w:cstheme="minorBidi"/>
          <w:bCs w:val="0"/>
          <w:noProof/>
          <w:sz w:val="22"/>
          <w:szCs w:val="22"/>
          <w:lang w:eastAsia="en-AU"/>
        </w:rPr>
      </w:pPr>
      <w:hyperlink w:anchor="_Toc521069576" w:history="1">
        <w:r w:rsidRPr="00247AAE">
          <w:rPr>
            <w:rStyle w:val="Hyperlink"/>
            <w:noProof/>
          </w:rPr>
          <w:t>Figure 6 Top five ports of discharge for shipping containers, 2010–2017</w:t>
        </w:r>
        <w:r>
          <w:rPr>
            <w:noProof/>
            <w:webHidden/>
          </w:rPr>
          <w:tab/>
        </w:r>
        <w:r>
          <w:rPr>
            <w:noProof/>
            <w:webHidden/>
          </w:rPr>
          <w:fldChar w:fldCharType="begin"/>
        </w:r>
        <w:r>
          <w:rPr>
            <w:noProof/>
            <w:webHidden/>
          </w:rPr>
          <w:instrText xml:space="preserve"> PAGEREF _Toc521069576 \h </w:instrText>
        </w:r>
        <w:r>
          <w:rPr>
            <w:noProof/>
            <w:webHidden/>
          </w:rPr>
        </w:r>
        <w:r>
          <w:rPr>
            <w:noProof/>
            <w:webHidden/>
          </w:rPr>
          <w:fldChar w:fldCharType="separate"/>
        </w:r>
        <w:r>
          <w:rPr>
            <w:noProof/>
            <w:webHidden/>
          </w:rPr>
          <w:t>30</w:t>
        </w:r>
        <w:r>
          <w:rPr>
            <w:noProof/>
            <w:webHidden/>
          </w:rPr>
          <w:fldChar w:fldCharType="end"/>
        </w:r>
      </w:hyperlink>
    </w:p>
    <w:p w14:paraId="39EFDAA2" w14:textId="77777777" w:rsidR="00847E6D" w:rsidRDefault="00847E6D">
      <w:pPr>
        <w:pStyle w:val="TableofFigures"/>
        <w:tabs>
          <w:tab w:val="right" w:pos="9402"/>
        </w:tabs>
        <w:rPr>
          <w:rFonts w:eastAsiaTheme="minorEastAsia" w:cstheme="minorBidi"/>
          <w:bCs w:val="0"/>
          <w:noProof/>
          <w:sz w:val="22"/>
          <w:szCs w:val="22"/>
          <w:lang w:eastAsia="en-AU"/>
        </w:rPr>
      </w:pPr>
      <w:hyperlink w:anchor="_Toc521069577" w:history="1">
        <w:r w:rsidRPr="00247AAE">
          <w:rPr>
            <w:rStyle w:val="Hyperlink"/>
            <w:noProof/>
          </w:rPr>
          <w:t>Figure 7</w:t>
        </w:r>
        <w:r w:rsidRPr="00247AAE">
          <w:rPr>
            <w:rStyle w:val="Hyperlink"/>
            <w:noProof/>
            <w:lang w:eastAsia="ja-JP"/>
          </w:rPr>
          <w:t xml:space="preserve"> Sea container external and internal risk management</w:t>
        </w:r>
        <w:r>
          <w:rPr>
            <w:noProof/>
            <w:webHidden/>
          </w:rPr>
          <w:tab/>
        </w:r>
        <w:r>
          <w:rPr>
            <w:noProof/>
            <w:webHidden/>
          </w:rPr>
          <w:fldChar w:fldCharType="begin"/>
        </w:r>
        <w:r>
          <w:rPr>
            <w:noProof/>
            <w:webHidden/>
          </w:rPr>
          <w:instrText xml:space="preserve"> PAGEREF _Toc521069577 \h </w:instrText>
        </w:r>
        <w:r>
          <w:rPr>
            <w:noProof/>
            <w:webHidden/>
          </w:rPr>
        </w:r>
        <w:r>
          <w:rPr>
            <w:noProof/>
            <w:webHidden/>
          </w:rPr>
          <w:fldChar w:fldCharType="separate"/>
        </w:r>
        <w:r>
          <w:rPr>
            <w:noProof/>
            <w:webHidden/>
          </w:rPr>
          <w:t>31</w:t>
        </w:r>
        <w:r>
          <w:rPr>
            <w:noProof/>
            <w:webHidden/>
          </w:rPr>
          <w:fldChar w:fldCharType="end"/>
        </w:r>
      </w:hyperlink>
    </w:p>
    <w:p w14:paraId="41A34DAC" w14:textId="77777777" w:rsidR="00847E6D" w:rsidRDefault="00847E6D">
      <w:pPr>
        <w:pStyle w:val="TableofFigures"/>
        <w:tabs>
          <w:tab w:val="right" w:pos="9402"/>
        </w:tabs>
        <w:rPr>
          <w:rFonts w:eastAsiaTheme="minorEastAsia" w:cstheme="minorBidi"/>
          <w:bCs w:val="0"/>
          <w:noProof/>
          <w:sz w:val="22"/>
          <w:szCs w:val="22"/>
          <w:lang w:eastAsia="en-AU"/>
        </w:rPr>
      </w:pPr>
      <w:hyperlink w:anchor="_Toc521069578" w:history="1">
        <w:r w:rsidRPr="00247AAE">
          <w:rPr>
            <w:rStyle w:val="Hyperlink"/>
            <w:noProof/>
          </w:rPr>
          <w:t xml:space="preserve">Figure 8 </w:t>
        </w:r>
        <w:r w:rsidRPr="00247AAE">
          <w:rPr>
            <w:rStyle w:val="Hyperlink"/>
            <w:noProof/>
            <w:lang w:eastAsia="ja-JP"/>
          </w:rPr>
          <w:t>Ring-salting around segregated CAL containers awaiting inspection</w:t>
        </w:r>
        <w:r>
          <w:rPr>
            <w:noProof/>
            <w:webHidden/>
          </w:rPr>
          <w:tab/>
        </w:r>
        <w:r>
          <w:rPr>
            <w:noProof/>
            <w:webHidden/>
          </w:rPr>
          <w:fldChar w:fldCharType="begin"/>
        </w:r>
        <w:r>
          <w:rPr>
            <w:noProof/>
            <w:webHidden/>
          </w:rPr>
          <w:instrText xml:space="preserve"> PAGEREF _Toc521069578 \h </w:instrText>
        </w:r>
        <w:r>
          <w:rPr>
            <w:noProof/>
            <w:webHidden/>
          </w:rPr>
        </w:r>
        <w:r>
          <w:rPr>
            <w:noProof/>
            <w:webHidden/>
          </w:rPr>
          <w:fldChar w:fldCharType="separate"/>
        </w:r>
        <w:r>
          <w:rPr>
            <w:noProof/>
            <w:webHidden/>
          </w:rPr>
          <w:t>33</w:t>
        </w:r>
        <w:r>
          <w:rPr>
            <w:noProof/>
            <w:webHidden/>
          </w:rPr>
          <w:fldChar w:fldCharType="end"/>
        </w:r>
      </w:hyperlink>
    </w:p>
    <w:p w14:paraId="30E78AA4" w14:textId="77777777" w:rsidR="00847E6D" w:rsidRDefault="00847E6D">
      <w:pPr>
        <w:pStyle w:val="TableofFigures"/>
        <w:tabs>
          <w:tab w:val="right" w:pos="9402"/>
        </w:tabs>
        <w:rPr>
          <w:rFonts w:eastAsiaTheme="minorEastAsia" w:cstheme="minorBidi"/>
          <w:bCs w:val="0"/>
          <w:noProof/>
          <w:sz w:val="22"/>
          <w:szCs w:val="22"/>
          <w:lang w:eastAsia="en-AU"/>
        </w:rPr>
      </w:pPr>
      <w:hyperlink w:anchor="_Toc521069579" w:history="1">
        <w:r w:rsidRPr="00247AAE">
          <w:rPr>
            <w:rStyle w:val="Hyperlink"/>
            <w:noProof/>
          </w:rPr>
          <w:t>Figure 9 Compliance-based intervention in the Sea Container Hygiene System</w:t>
        </w:r>
        <w:r>
          <w:rPr>
            <w:noProof/>
            <w:webHidden/>
          </w:rPr>
          <w:tab/>
        </w:r>
        <w:r>
          <w:rPr>
            <w:noProof/>
            <w:webHidden/>
          </w:rPr>
          <w:fldChar w:fldCharType="begin"/>
        </w:r>
        <w:r>
          <w:rPr>
            <w:noProof/>
            <w:webHidden/>
          </w:rPr>
          <w:instrText xml:space="preserve"> PAGEREF _Toc521069579 \h </w:instrText>
        </w:r>
        <w:r>
          <w:rPr>
            <w:noProof/>
            <w:webHidden/>
          </w:rPr>
        </w:r>
        <w:r>
          <w:rPr>
            <w:noProof/>
            <w:webHidden/>
          </w:rPr>
          <w:fldChar w:fldCharType="separate"/>
        </w:r>
        <w:r>
          <w:rPr>
            <w:noProof/>
            <w:webHidden/>
          </w:rPr>
          <w:t>34</w:t>
        </w:r>
        <w:r>
          <w:rPr>
            <w:noProof/>
            <w:webHidden/>
          </w:rPr>
          <w:fldChar w:fldCharType="end"/>
        </w:r>
      </w:hyperlink>
    </w:p>
    <w:p w14:paraId="3DBE702C" w14:textId="77777777" w:rsidR="00847E6D" w:rsidRDefault="00847E6D">
      <w:pPr>
        <w:pStyle w:val="TableofFigures"/>
        <w:tabs>
          <w:tab w:val="right" w:pos="9402"/>
        </w:tabs>
        <w:rPr>
          <w:rFonts w:eastAsiaTheme="minorEastAsia" w:cstheme="minorBidi"/>
          <w:bCs w:val="0"/>
          <w:noProof/>
          <w:sz w:val="22"/>
          <w:szCs w:val="22"/>
          <w:lang w:eastAsia="en-AU"/>
        </w:rPr>
      </w:pPr>
      <w:hyperlink w:anchor="_Toc521069580" w:history="1">
        <w:r w:rsidRPr="00247AAE">
          <w:rPr>
            <w:rStyle w:val="Hyperlink"/>
            <w:noProof/>
          </w:rPr>
          <w:t>Figure 10 Sea Container Hygiene System overview</w:t>
        </w:r>
        <w:r>
          <w:rPr>
            <w:noProof/>
            <w:webHidden/>
          </w:rPr>
          <w:tab/>
        </w:r>
        <w:r>
          <w:rPr>
            <w:noProof/>
            <w:webHidden/>
          </w:rPr>
          <w:fldChar w:fldCharType="begin"/>
        </w:r>
        <w:r>
          <w:rPr>
            <w:noProof/>
            <w:webHidden/>
          </w:rPr>
          <w:instrText xml:space="preserve"> PAGEREF _Toc521069580 \h </w:instrText>
        </w:r>
        <w:r>
          <w:rPr>
            <w:noProof/>
            <w:webHidden/>
          </w:rPr>
        </w:r>
        <w:r>
          <w:rPr>
            <w:noProof/>
            <w:webHidden/>
          </w:rPr>
          <w:fldChar w:fldCharType="separate"/>
        </w:r>
        <w:r>
          <w:rPr>
            <w:noProof/>
            <w:webHidden/>
          </w:rPr>
          <w:t>34</w:t>
        </w:r>
        <w:r>
          <w:rPr>
            <w:noProof/>
            <w:webHidden/>
          </w:rPr>
          <w:fldChar w:fldCharType="end"/>
        </w:r>
      </w:hyperlink>
    </w:p>
    <w:p w14:paraId="4DE22379" w14:textId="77777777" w:rsidR="00847E6D" w:rsidRDefault="00847E6D">
      <w:pPr>
        <w:pStyle w:val="TableofFigures"/>
        <w:tabs>
          <w:tab w:val="right" w:pos="9402"/>
        </w:tabs>
        <w:rPr>
          <w:rFonts w:eastAsiaTheme="minorEastAsia" w:cstheme="minorBidi"/>
          <w:bCs w:val="0"/>
          <w:noProof/>
          <w:sz w:val="22"/>
          <w:szCs w:val="22"/>
          <w:lang w:eastAsia="en-AU"/>
        </w:rPr>
      </w:pPr>
      <w:hyperlink w:anchor="_Toc521069581" w:history="1">
        <w:r w:rsidRPr="00247AAE">
          <w:rPr>
            <w:rStyle w:val="Hyperlink"/>
            <w:noProof/>
            <w:lang w:eastAsia="ja-JP"/>
          </w:rPr>
          <w:t>Figure 11 Sea container arrivals and inspection numbers, 2009–10 to 2016–17</w:t>
        </w:r>
        <w:r>
          <w:rPr>
            <w:noProof/>
            <w:webHidden/>
          </w:rPr>
          <w:tab/>
        </w:r>
        <w:r>
          <w:rPr>
            <w:noProof/>
            <w:webHidden/>
          </w:rPr>
          <w:fldChar w:fldCharType="begin"/>
        </w:r>
        <w:r>
          <w:rPr>
            <w:noProof/>
            <w:webHidden/>
          </w:rPr>
          <w:instrText xml:space="preserve"> PAGEREF _Toc521069581 \h </w:instrText>
        </w:r>
        <w:r>
          <w:rPr>
            <w:noProof/>
            <w:webHidden/>
          </w:rPr>
        </w:r>
        <w:r>
          <w:rPr>
            <w:noProof/>
            <w:webHidden/>
          </w:rPr>
          <w:fldChar w:fldCharType="separate"/>
        </w:r>
        <w:r>
          <w:rPr>
            <w:noProof/>
            <w:webHidden/>
          </w:rPr>
          <w:t>36</w:t>
        </w:r>
        <w:r>
          <w:rPr>
            <w:noProof/>
            <w:webHidden/>
          </w:rPr>
          <w:fldChar w:fldCharType="end"/>
        </w:r>
      </w:hyperlink>
    </w:p>
    <w:p w14:paraId="7777AA7A" w14:textId="77777777" w:rsidR="00847E6D" w:rsidRDefault="00847E6D">
      <w:pPr>
        <w:pStyle w:val="TableofFigures"/>
        <w:tabs>
          <w:tab w:val="right" w:pos="9402"/>
        </w:tabs>
        <w:rPr>
          <w:rFonts w:eastAsiaTheme="minorEastAsia" w:cstheme="minorBidi"/>
          <w:bCs w:val="0"/>
          <w:noProof/>
          <w:sz w:val="22"/>
          <w:szCs w:val="22"/>
          <w:lang w:eastAsia="en-AU"/>
        </w:rPr>
      </w:pPr>
      <w:hyperlink w:anchor="_Toc521069582" w:history="1">
        <w:r w:rsidRPr="00247AAE">
          <w:rPr>
            <w:rStyle w:val="Hyperlink"/>
            <w:noProof/>
          </w:rPr>
          <w:t>Figure 12</w:t>
        </w:r>
        <w:r w:rsidRPr="00247AAE">
          <w:rPr>
            <w:rStyle w:val="Hyperlink"/>
            <w:noProof/>
            <w:lang w:eastAsia="ja-JP"/>
          </w:rPr>
          <w:t xml:space="preserve"> Biosecurity officers carrying out external and tailgate inspections</w:t>
        </w:r>
        <w:r>
          <w:rPr>
            <w:noProof/>
            <w:webHidden/>
          </w:rPr>
          <w:tab/>
        </w:r>
        <w:r>
          <w:rPr>
            <w:noProof/>
            <w:webHidden/>
          </w:rPr>
          <w:fldChar w:fldCharType="begin"/>
        </w:r>
        <w:r>
          <w:rPr>
            <w:noProof/>
            <w:webHidden/>
          </w:rPr>
          <w:instrText xml:space="preserve"> PAGEREF _Toc521069582 \h </w:instrText>
        </w:r>
        <w:r>
          <w:rPr>
            <w:noProof/>
            <w:webHidden/>
          </w:rPr>
        </w:r>
        <w:r>
          <w:rPr>
            <w:noProof/>
            <w:webHidden/>
          </w:rPr>
          <w:fldChar w:fldCharType="separate"/>
        </w:r>
        <w:r>
          <w:rPr>
            <w:noProof/>
            <w:webHidden/>
          </w:rPr>
          <w:t>37</w:t>
        </w:r>
        <w:r>
          <w:rPr>
            <w:noProof/>
            <w:webHidden/>
          </w:rPr>
          <w:fldChar w:fldCharType="end"/>
        </w:r>
      </w:hyperlink>
    </w:p>
    <w:p w14:paraId="44D3FC23" w14:textId="77777777" w:rsidR="00847E6D" w:rsidRDefault="00847E6D">
      <w:pPr>
        <w:pStyle w:val="TableofFigures"/>
        <w:tabs>
          <w:tab w:val="right" w:pos="9402"/>
        </w:tabs>
        <w:rPr>
          <w:rFonts w:eastAsiaTheme="minorEastAsia" w:cstheme="minorBidi"/>
          <w:bCs w:val="0"/>
          <w:noProof/>
          <w:sz w:val="22"/>
          <w:szCs w:val="22"/>
          <w:lang w:eastAsia="en-AU"/>
        </w:rPr>
      </w:pPr>
      <w:hyperlink w:anchor="_Toc521069583" w:history="1">
        <w:r w:rsidRPr="00247AAE">
          <w:rPr>
            <w:rStyle w:val="Hyperlink"/>
            <w:noProof/>
          </w:rPr>
          <w:t>Figure 13 Automated sea container washing facility</w:t>
        </w:r>
        <w:r>
          <w:rPr>
            <w:noProof/>
            <w:webHidden/>
          </w:rPr>
          <w:tab/>
        </w:r>
        <w:r>
          <w:rPr>
            <w:noProof/>
            <w:webHidden/>
          </w:rPr>
          <w:fldChar w:fldCharType="begin"/>
        </w:r>
        <w:r>
          <w:rPr>
            <w:noProof/>
            <w:webHidden/>
          </w:rPr>
          <w:instrText xml:space="preserve"> PAGEREF _Toc521069583 \h </w:instrText>
        </w:r>
        <w:r>
          <w:rPr>
            <w:noProof/>
            <w:webHidden/>
          </w:rPr>
        </w:r>
        <w:r>
          <w:rPr>
            <w:noProof/>
            <w:webHidden/>
          </w:rPr>
          <w:fldChar w:fldCharType="separate"/>
        </w:r>
        <w:r>
          <w:rPr>
            <w:noProof/>
            <w:webHidden/>
          </w:rPr>
          <w:t>42</w:t>
        </w:r>
        <w:r>
          <w:rPr>
            <w:noProof/>
            <w:webHidden/>
          </w:rPr>
          <w:fldChar w:fldCharType="end"/>
        </w:r>
      </w:hyperlink>
    </w:p>
    <w:p w14:paraId="137CA143" w14:textId="77777777" w:rsidR="00847E6D" w:rsidRDefault="00847E6D">
      <w:pPr>
        <w:pStyle w:val="TableofFigures"/>
        <w:tabs>
          <w:tab w:val="right" w:pos="9402"/>
        </w:tabs>
        <w:rPr>
          <w:rFonts w:eastAsiaTheme="minorEastAsia" w:cstheme="minorBidi"/>
          <w:bCs w:val="0"/>
          <w:noProof/>
          <w:sz w:val="22"/>
          <w:szCs w:val="22"/>
          <w:lang w:eastAsia="en-AU"/>
        </w:rPr>
      </w:pPr>
      <w:hyperlink w:anchor="_Toc521069584" w:history="1">
        <w:r w:rsidRPr="00247AAE">
          <w:rPr>
            <w:rStyle w:val="Hyperlink"/>
            <w:noProof/>
          </w:rPr>
          <w:t>Figure 14 Top five countries of origin, break-bulk consignments, 2011–2017</w:t>
        </w:r>
        <w:r>
          <w:rPr>
            <w:noProof/>
            <w:webHidden/>
          </w:rPr>
          <w:tab/>
        </w:r>
        <w:r>
          <w:rPr>
            <w:noProof/>
            <w:webHidden/>
          </w:rPr>
          <w:fldChar w:fldCharType="begin"/>
        </w:r>
        <w:r>
          <w:rPr>
            <w:noProof/>
            <w:webHidden/>
          </w:rPr>
          <w:instrText xml:space="preserve"> PAGEREF _Toc521069584 \h </w:instrText>
        </w:r>
        <w:r>
          <w:rPr>
            <w:noProof/>
            <w:webHidden/>
          </w:rPr>
        </w:r>
        <w:r>
          <w:rPr>
            <w:noProof/>
            <w:webHidden/>
          </w:rPr>
          <w:fldChar w:fldCharType="separate"/>
        </w:r>
        <w:r>
          <w:rPr>
            <w:noProof/>
            <w:webHidden/>
          </w:rPr>
          <w:t>43</w:t>
        </w:r>
        <w:r>
          <w:rPr>
            <w:noProof/>
            <w:webHidden/>
          </w:rPr>
          <w:fldChar w:fldCharType="end"/>
        </w:r>
      </w:hyperlink>
    </w:p>
    <w:p w14:paraId="2F4332F3" w14:textId="77777777" w:rsidR="00847E6D" w:rsidRDefault="00847E6D">
      <w:pPr>
        <w:pStyle w:val="TableofFigures"/>
        <w:tabs>
          <w:tab w:val="right" w:pos="9402"/>
        </w:tabs>
        <w:rPr>
          <w:rFonts w:eastAsiaTheme="minorEastAsia" w:cstheme="minorBidi"/>
          <w:bCs w:val="0"/>
          <w:noProof/>
          <w:sz w:val="22"/>
          <w:szCs w:val="22"/>
          <w:lang w:eastAsia="en-AU"/>
        </w:rPr>
      </w:pPr>
      <w:hyperlink w:anchor="_Toc521069585" w:history="1">
        <w:r w:rsidRPr="00247AAE">
          <w:rPr>
            <w:rStyle w:val="Hyperlink"/>
            <w:noProof/>
          </w:rPr>
          <w:t>Figure 15 Top five ports of discharge, break-bulk consignments, 2011–2017</w:t>
        </w:r>
        <w:r>
          <w:rPr>
            <w:noProof/>
            <w:webHidden/>
          </w:rPr>
          <w:tab/>
        </w:r>
        <w:r>
          <w:rPr>
            <w:noProof/>
            <w:webHidden/>
          </w:rPr>
          <w:fldChar w:fldCharType="begin"/>
        </w:r>
        <w:r>
          <w:rPr>
            <w:noProof/>
            <w:webHidden/>
          </w:rPr>
          <w:instrText xml:space="preserve"> PAGEREF _Toc521069585 \h </w:instrText>
        </w:r>
        <w:r>
          <w:rPr>
            <w:noProof/>
            <w:webHidden/>
          </w:rPr>
        </w:r>
        <w:r>
          <w:rPr>
            <w:noProof/>
            <w:webHidden/>
          </w:rPr>
          <w:fldChar w:fldCharType="separate"/>
        </w:r>
        <w:r>
          <w:rPr>
            <w:noProof/>
            <w:webHidden/>
          </w:rPr>
          <w:t>43</w:t>
        </w:r>
        <w:r>
          <w:rPr>
            <w:noProof/>
            <w:webHidden/>
          </w:rPr>
          <w:fldChar w:fldCharType="end"/>
        </w:r>
      </w:hyperlink>
    </w:p>
    <w:p w14:paraId="4006632D" w14:textId="77777777" w:rsidR="00847E6D" w:rsidRDefault="00847E6D">
      <w:pPr>
        <w:pStyle w:val="TableofFigures"/>
        <w:tabs>
          <w:tab w:val="right" w:pos="9402"/>
        </w:tabs>
        <w:rPr>
          <w:rFonts w:eastAsiaTheme="minorEastAsia" w:cstheme="minorBidi"/>
          <w:bCs w:val="0"/>
          <w:noProof/>
          <w:sz w:val="22"/>
          <w:szCs w:val="22"/>
          <w:lang w:eastAsia="en-AU"/>
        </w:rPr>
      </w:pPr>
      <w:hyperlink w:anchor="_Toc521069586" w:history="1">
        <w:r w:rsidRPr="00247AAE">
          <w:rPr>
            <w:rStyle w:val="Hyperlink"/>
            <w:noProof/>
          </w:rPr>
          <w:t>Figure 16 Biosecurity officer inspecting an imported new tractor</w:t>
        </w:r>
        <w:r>
          <w:rPr>
            <w:noProof/>
            <w:webHidden/>
          </w:rPr>
          <w:tab/>
        </w:r>
        <w:r>
          <w:rPr>
            <w:noProof/>
            <w:webHidden/>
          </w:rPr>
          <w:fldChar w:fldCharType="begin"/>
        </w:r>
        <w:r>
          <w:rPr>
            <w:noProof/>
            <w:webHidden/>
          </w:rPr>
          <w:instrText xml:space="preserve"> PAGEREF _Toc521069586 \h </w:instrText>
        </w:r>
        <w:r>
          <w:rPr>
            <w:noProof/>
            <w:webHidden/>
          </w:rPr>
        </w:r>
        <w:r>
          <w:rPr>
            <w:noProof/>
            <w:webHidden/>
          </w:rPr>
          <w:fldChar w:fldCharType="separate"/>
        </w:r>
        <w:r>
          <w:rPr>
            <w:noProof/>
            <w:webHidden/>
          </w:rPr>
          <w:t>44</w:t>
        </w:r>
        <w:r>
          <w:rPr>
            <w:noProof/>
            <w:webHidden/>
          </w:rPr>
          <w:fldChar w:fldCharType="end"/>
        </w:r>
      </w:hyperlink>
    </w:p>
    <w:p w14:paraId="50179974" w14:textId="77777777" w:rsidR="00847E6D" w:rsidRDefault="00847E6D">
      <w:pPr>
        <w:pStyle w:val="TableofFigures"/>
        <w:tabs>
          <w:tab w:val="right" w:pos="9402"/>
        </w:tabs>
        <w:rPr>
          <w:rFonts w:eastAsiaTheme="minorEastAsia" w:cstheme="minorBidi"/>
          <w:bCs w:val="0"/>
          <w:noProof/>
          <w:sz w:val="22"/>
          <w:szCs w:val="22"/>
          <w:lang w:eastAsia="en-AU"/>
        </w:rPr>
      </w:pPr>
      <w:hyperlink w:anchor="_Toc521069587" w:history="1">
        <w:r w:rsidRPr="00247AAE">
          <w:rPr>
            <w:rStyle w:val="Hyperlink"/>
            <w:noProof/>
          </w:rPr>
          <w:t>Figure 17 R</w:t>
        </w:r>
        <w:r w:rsidRPr="00247AAE">
          <w:rPr>
            <w:rStyle w:val="Hyperlink"/>
            <w:noProof/>
            <w:lang w:eastAsia="ja-JP"/>
          </w:rPr>
          <w:t>ing-salting around a used car before treatment</w:t>
        </w:r>
        <w:r>
          <w:rPr>
            <w:noProof/>
            <w:webHidden/>
          </w:rPr>
          <w:tab/>
        </w:r>
        <w:r>
          <w:rPr>
            <w:noProof/>
            <w:webHidden/>
          </w:rPr>
          <w:fldChar w:fldCharType="begin"/>
        </w:r>
        <w:r>
          <w:rPr>
            <w:noProof/>
            <w:webHidden/>
          </w:rPr>
          <w:instrText xml:space="preserve"> PAGEREF _Toc521069587 \h </w:instrText>
        </w:r>
        <w:r>
          <w:rPr>
            <w:noProof/>
            <w:webHidden/>
          </w:rPr>
        </w:r>
        <w:r>
          <w:rPr>
            <w:noProof/>
            <w:webHidden/>
          </w:rPr>
          <w:fldChar w:fldCharType="separate"/>
        </w:r>
        <w:r>
          <w:rPr>
            <w:noProof/>
            <w:webHidden/>
          </w:rPr>
          <w:t>45</w:t>
        </w:r>
        <w:r>
          <w:rPr>
            <w:noProof/>
            <w:webHidden/>
          </w:rPr>
          <w:fldChar w:fldCharType="end"/>
        </w:r>
      </w:hyperlink>
    </w:p>
    <w:p w14:paraId="3466C465" w14:textId="77777777" w:rsidR="00847E6D" w:rsidRDefault="00847E6D">
      <w:pPr>
        <w:pStyle w:val="TableofFigures"/>
        <w:tabs>
          <w:tab w:val="right" w:pos="9402"/>
        </w:tabs>
        <w:rPr>
          <w:rFonts w:eastAsiaTheme="minorEastAsia" w:cstheme="minorBidi"/>
          <w:bCs w:val="0"/>
          <w:noProof/>
          <w:sz w:val="22"/>
          <w:szCs w:val="22"/>
          <w:lang w:eastAsia="en-AU"/>
        </w:rPr>
      </w:pPr>
      <w:hyperlink w:anchor="_Toc521069588" w:history="1">
        <w:r w:rsidRPr="00247AAE">
          <w:rPr>
            <w:rStyle w:val="Hyperlink"/>
            <w:noProof/>
          </w:rPr>
          <w:t>Figure 18 Biosecurity officers inspecting new cars for contamination</w:t>
        </w:r>
        <w:r>
          <w:rPr>
            <w:noProof/>
            <w:webHidden/>
          </w:rPr>
          <w:tab/>
        </w:r>
        <w:r>
          <w:rPr>
            <w:noProof/>
            <w:webHidden/>
          </w:rPr>
          <w:fldChar w:fldCharType="begin"/>
        </w:r>
        <w:r>
          <w:rPr>
            <w:noProof/>
            <w:webHidden/>
          </w:rPr>
          <w:instrText xml:space="preserve"> PAGEREF _Toc521069588 \h </w:instrText>
        </w:r>
        <w:r>
          <w:rPr>
            <w:noProof/>
            <w:webHidden/>
          </w:rPr>
        </w:r>
        <w:r>
          <w:rPr>
            <w:noProof/>
            <w:webHidden/>
          </w:rPr>
          <w:fldChar w:fldCharType="separate"/>
        </w:r>
        <w:r>
          <w:rPr>
            <w:noProof/>
            <w:webHidden/>
          </w:rPr>
          <w:t>45</w:t>
        </w:r>
        <w:r>
          <w:rPr>
            <w:noProof/>
            <w:webHidden/>
          </w:rPr>
          <w:fldChar w:fldCharType="end"/>
        </w:r>
      </w:hyperlink>
    </w:p>
    <w:p w14:paraId="65891495" w14:textId="77777777" w:rsidR="00847E6D" w:rsidRDefault="00847E6D">
      <w:pPr>
        <w:pStyle w:val="TableofFigures"/>
        <w:tabs>
          <w:tab w:val="right" w:pos="9402"/>
        </w:tabs>
        <w:rPr>
          <w:rFonts w:eastAsiaTheme="minorEastAsia" w:cstheme="minorBidi"/>
          <w:bCs w:val="0"/>
          <w:noProof/>
          <w:sz w:val="22"/>
          <w:szCs w:val="22"/>
          <w:lang w:eastAsia="en-AU"/>
        </w:rPr>
      </w:pPr>
      <w:hyperlink w:anchor="_Toc521069589" w:history="1">
        <w:r w:rsidRPr="00247AAE">
          <w:rPr>
            <w:rStyle w:val="Hyperlink"/>
            <w:noProof/>
          </w:rPr>
          <w:t>Figure 19 Commercial air cargo pathway, 2014–15</w:t>
        </w:r>
        <w:r>
          <w:rPr>
            <w:noProof/>
            <w:webHidden/>
          </w:rPr>
          <w:tab/>
        </w:r>
        <w:r>
          <w:rPr>
            <w:noProof/>
            <w:webHidden/>
          </w:rPr>
          <w:fldChar w:fldCharType="begin"/>
        </w:r>
        <w:r>
          <w:rPr>
            <w:noProof/>
            <w:webHidden/>
          </w:rPr>
          <w:instrText xml:space="preserve"> PAGEREF _Toc521069589 \h </w:instrText>
        </w:r>
        <w:r>
          <w:rPr>
            <w:noProof/>
            <w:webHidden/>
          </w:rPr>
        </w:r>
        <w:r>
          <w:rPr>
            <w:noProof/>
            <w:webHidden/>
          </w:rPr>
          <w:fldChar w:fldCharType="separate"/>
        </w:r>
        <w:r>
          <w:rPr>
            <w:noProof/>
            <w:webHidden/>
          </w:rPr>
          <w:t>49</w:t>
        </w:r>
        <w:r>
          <w:rPr>
            <w:noProof/>
            <w:webHidden/>
          </w:rPr>
          <w:fldChar w:fldCharType="end"/>
        </w:r>
      </w:hyperlink>
    </w:p>
    <w:p w14:paraId="3E9020E3" w14:textId="77777777" w:rsidR="00AB0E44" w:rsidRDefault="00361FA3">
      <w:pPr>
        <w:pStyle w:val="TOCHeading"/>
        <w:keepNext/>
        <w:spacing w:before="180" w:line="240" w:lineRule="auto"/>
      </w:pPr>
      <w:r>
        <w:fldChar w:fldCharType="end"/>
      </w:r>
      <w:r>
        <w:t>Maps</w:t>
      </w:r>
    </w:p>
    <w:p w14:paraId="60314284" w14:textId="77777777" w:rsidR="00847E6D" w:rsidRDefault="00361FA3">
      <w:pPr>
        <w:pStyle w:val="TableofFigures"/>
        <w:tabs>
          <w:tab w:val="right" w:pos="9402"/>
        </w:tabs>
        <w:rPr>
          <w:rFonts w:eastAsiaTheme="minorEastAsia" w:cstheme="minorBidi"/>
          <w:bCs w:val="0"/>
          <w:noProof/>
          <w:sz w:val="22"/>
          <w:szCs w:val="22"/>
          <w:lang w:eastAsia="en-AU"/>
        </w:rPr>
      </w:pPr>
      <w:r>
        <w:fldChar w:fldCharType="begin"/>
      </w:r>
      <w:r>
        <w:instrText xml:space="preserve"> TOC \h \z \c "Map" </w:instrText>
      </w:r>
      <w:r>
        <w:fldChar w:fldCharType="separate"/>
      </w:r>
      <w:hyperlink w:anchor="_Toc521069590" w:history="1">
        <w:r w:rsidR="00847E6D" w:rsidRPr="0054359B">
          <w:rPr>
            <w:rStyle w:val="Hyperlink"/>
            <w:noProof/>
          </w:rPr>
          <w:t>Map 1 Australian first points of entry for vessels</w:t>
        </w:r>
        <w:r w:rsidR="00847E6D">
          <w:rPr>
            <w:noProof/>
            <w:webHidden/>
          </w:rPr>
          <w:tab/>
        </w:r>
        <w:r w:rsidR="00847E6D">
          <w:rPr>
            <w:noProof/>
            <w:webHidden/>
          </w:rPr>
          <w:fldChar w:fldCharType="begin"/>
        </w:r>
        <w:r w:rsidR="00847E6D">
          <w:rPr>
            <w:noProof/>
            <w:webHidden/>
          </w:rPr>
          <w:instrText xml:space="preserve"> PAGEREF _Toc521069590 \h </w:instrText>
        </w:r>
        <w:r w:rsidR="00847E6D">
          <w:rPr>
            <w:noProof/>
            <w:webHidden/>
          </w:rPr>
        </w:r>
        <w:r w:rsidR="00847E6D">
          <w:rPr>
            <w:noProof/>
            <w:webHidden/>
          </w:rPr>
          <w:fldChar w:fldCharType="separate"/>
        </w:r>
        <w:r w:rsidR="00847E6D">
          <w:rPr>
            <w:noProof/>
            <w:webHidden/>
          </w:rPr>
          <w:t>23</w:t>
        </w:r>
        <w:r w:rsidR="00847E6D">
          <w:rPr>
            <w:noProof/>
            <w:webHidden/>
          </w:rPr>
          <w:fldChar w:fldCharType="end"/>
        </w:r>
      </w:hyperlink>
    </w:p>
    <w:p w14:paraId="5CD1B079" w14:textId="77777777" w:rsidR="00847E6D" w:rsidRDefault="00847E6D">
      <w:pPr>
        <w:pStyle w:val="TableofFigures"/>
        <w:tabs>
          <w:tab w:val="right" w:pos="9402"/>
        </w:tabs>
        <w:rPr>
          <w:rFonts w:eastAsiaTheme="minorEastAsia" w:cstheme="minorBidi"/>
          <w:bCs w:val="0"/>
          <w:noProof/>
          <w:sz w:val="22"/>
          <w:szCs w:val="22"/>
          <w:lang w:eastAsia="en-AU"/>
        </w:rPr>
      </w:pPr>
      <w:hyperlink w:anchor="_Toc521069591" w:history="1">
        <w:r w:rsidRPr="0054359B">
          <w:rPr>
            <w:rStyle w:val="Hyperlink"/>
            <w:noProof/>
          </w:rPr>
          <w:t xml:space="preserve">Map 2 </w:t>
        </w:r>
        <w:r w:rsidRPr="0054359B">
          <w:rPr>
            <w:rStyle w:val="Hyperlink"/>
            <w:noProof/>
            <w:lang w:eastAsia="ja-JP"/>
          </w:rPr>
          <w:t>Country action list (CAL) countries</w:t>
        </w:r>
        <w:r>
          <w:rPr>
            <w:noProof/>
            <w:webHidden/>
          </w:rPr>
          <w:tab/>
        </w:r>
        <w:r>
          <w:rPr>
            <w:noProof/>
            <w:webHidden/>
          </w:rPr>
          <w:fldChar w:fldCharType="begin"/>
        </w:r>
        <w:r>
          <w:rPr>
            <w:noProof/>
            <w:webHidden/>
          </w:rPr>
          <w:instrText xml:space="preserve"> PAGEREF _Toc521069591 \h </w:instrText>
        </w:r>
        <w:r>
          <w:rPr>
            <w:noProof/>
            <w:webHidden/>
          </w:rPr>
        </w:r>
        <w:r>
          <w:rPr>
            <w:noProof/>
            <w:webHidden/>
          </w:rPr>
          <w:fldChar w:fldCharType="separate"/>
        </w:r>
        <w:r>
          <w:rPr>
            <w:noProof/>
            <w:webHidden/>
          </w:rPr>
          <w:t>32</w:t>
        </w:r>
        <w:r>
          <w:rPr>
            <w:noProof/>
            <w:webHidden/>
          </w:rPr>
          <w:fldChar w:fldCharType="end"/>
        </w:r>
      </w:hyperlink>
    </w:p>
    <w:p w14:paraId="01221487" w14:textId="77777777" w:rsidR="00AB0E44" w:rsidRDefault="00361FA3">
      <w:pPr>
        <w:pStyle w:val="TOCHeading"/>
        <w:spacing w:before="180" w:line="240" w:lineRule="auto"/>
      </w:pPr>
      <w:r>
        <w:rPr>
          <w:sz w:val="20"/>
          <w:szCs w:val="20"/>
        </w:rPr>
        <w:fldChar w:fldCharType="end"/>
      </w:r>
      <w:r>
        <w:t>Tables</w:t>
      </w:r>
    </w:p>
    <w:bookmarkStart w:id="0" w:name="_GoBack"/>
    <w:bookmarkEnd w:id="0"/>
    <w:p w14:paraId="54AF37E9" w14:textId="77777777" w:rsidR="00847E6D" w:rsidRDefault="00361FA3">
      <w:pPr>
        <w:pStyle w:val="TableofFigures"/>
        <w:tabs>
          <w:tab w:val="right" w:leader="dot" w:pos="9402"/>
        </w:tabs>
        <w:rPr>
          <w:rFonts w:eastAsiaTheme="minorEastAsia" w:cstheme="minorBidi"/>
          <w:bCs w:val="0"/>
          <w:noProof/>
          <w:sz w:val="22"/>
          <w:szCs w:val="22"/>
          <w:lang w:eastAsia="en-AU"/>
        </w:rPr>
      </w:pPr>
      <w:r>
        <w:rPr>
          <w:b/>
          <w:bCs w:val="0"/>
        </w:rPr>
        <w:fldChar w:fldCharType="begin"/>
      </w:r>
      <w:r>
        <w:rPr>
          <w:b/>
          <w:bCs w:val="0"/>
        </w:rPr>
        <w:instrText xml:space="preserve"> TOC \h \z \c "Table" </w:instrText>
      </w:r>
      <w:r>
        <w:rPr>
          <w:b/>
          <w:bCs w:val="0"/>
        </w:rPr>
        <w:fldChar w:fldCharType="separate"/>
      </w:r>
      <w:hyperlink w:anchor="_Toc521069592" w:history="1">
        <w:r w:rsidR="00847E6D" w:rsidRPr="0092496D">
          <w:rPr>
            <w:rStyle w:val="Hyperlink"/>
            <w:noProof/>
          </w:rPr>
          <w:t>Table 1 Terrestrial hitchhiker pest and contaminant examples</w:t>
        </w:r>
        <w:r w:rsidR="00847E6D">
          <w:rPr>
            <w:noProof/>
            <w:webHidden/>
          </w:rPr>
          <w:tab/>
        </w:r>
        <w:r w:rsidR="00847E6D">
          <w:rPr>
            <w:noProof/>
            <w:webHidden/>
          </w:rPr>
          <w:fldChar w:fldCharType="begin"/>
        </w:r>
        <w:r w:rsidR="00847E6D">
          <w:rPr>
            <w:noProof/>
            <w:webHidden/>
          </w:rPr>
          <w:instrText xml:space="preserve"> PAGEREF _Toc521069592 \h </w:instrText>
        </w:r>
        <w:r w:rsidR="00847E6D">
          <w:rPr>
            <w:noProof/>
            <w:webHidden/>
          </w:rPr>
        </w:r>
        <w:r w:rsidR="00847E6D">
          <w:rPr>
            <w:noProof/>
            <w:webHidden/>
          </w:rPr>
          <w:fldChar w:fldCharType="separate"/>
        </w:r>
        <w:r w:rsidR="00847E6D">
          <w:rPr>
            <w:noProof/>
            <w:webHidden/>
          </w:rPr>
          <w:t>14</w:t>
        </w:r>
        <w:r w:rsidR="00847E6D">
          <w:rPr>
            <w:noProof/>
            <w:webHidden/>
          </w:rPr>
          <w:fldChar w:fldCharType="end"/>
        </w:r>
      </w:hyperlink>
    </w:p>
    <w:p w14:paraId="6100D570" w14:textId="77777777" w:rsidR="00847E6D" w:rsidRDefault="00847E6D">
      <w:pPr>
        <w:pStyle w:val="TableofFigures"/>
        <w:tabs>
          <w:tab w:val="right" w:leader="dot" w:pos="9402"/>
        </w:tabs>
        <w:rPr>
          <w:rFonts w:eastAsiaTheme="minorEastAsia" w:cstheme="minorBidi"/>
          <w:bCs w:val="0"/>
          <w:noProof/>
          <w:sz w:val="22"/>
          <w:szCs w:val="22"/>
          <w:lang w:eastAsia="en-AU"/>
        </w:rPr>
      </w:pPr>
      <w:hyperlink w:anchor="_Toc521069593" w:history="1">
        <w:r w:rsidRPr="0092496D">
          <w:rPr>
            <w:rStyle w:val="Hyperlink"/>
            <w:noProof/>
          </w:rPr>
          <w:t>Table 2 Potential cost to agriculture of pest incursions, 2010–15</w:t>
        </w:r>
        <w:r>
          <w:rPr>
            <w:noProof/>
            <w:webHidden/>
          </w:rPr>
          <w:tab/>
        </w:r>
        <w:r>
          <w:rPr>
            <w:noProof/>
            <w:webHidden/>
          </w:rPr>
          <w:fldChar w:fldCharType="begin"/>
        </w:r>
        <w:r>
          <w:rPr>
            <w:noProof/>
            <w:webHidden/>
          </w:rPr>
          <w:instrText xml:space="preserve"> PAGEREF _Toc521069593 \h </w:instrText>
        </w:r>
        <w:r>
          <w:rPr>
            <w:noProof/>
            <w:webHidden/>
          </w:rPr>
        </w:r>
        <w:r>
          <w:rPr>
            <w:noProof/>
            <w:webHidden/>
          </w:rPr>
          <w:fldChar w:fldCharType="separate"/>
        </w:r>
        <w:r>
          <w:rPr>
            <w:noProof/>
            <w:webHidden/>
          </w:rPr>
          <w:t>17</w:t>
        </w:r>
        <w:r>
          <w:rPr>
            <w:noProof/>
            <w:webHidden/>
          </w:rPr>
          <w:fldChar w:fldCharType="end"/>
        </w:r>
      </w:hyperlink>
    </w:p>
    <w:p w14:paraId="780903D3" w14:textId="77777777" w:rsidR="00847E6D" w:rsidRDefault="00847E6D">
      <w:pPr>
        <w:pStyle w:val="TableofFigures"/>
        <w:tabs>
          <w:tab w:val="right" w:leader="dot" w:pos="9402"/>
        </w:tabs>
        <w:rPr>
          <w:rFonts w:eastAsiaTheme="minorEastAsia" w:cstheme="minorBidi"/>
          <w:bCs w:val="0"/>
          <w:noProof/>
          <w:sz w:val="22"/>
          <w:szCs w:val="22"/>
          <w:lang w:eastAsia="en-AU"/>
        </w:rPr>
      </w:pPr>
      <w:hyperlink w:anchor="_Toc521069594" w:history="1">
        <w:r w:rsidRPr="0092496D">
          <w:rPr>
            <w:rStyle w:val="Hyperlink"/>
            <w:noProof/>
          </w:rPr>
          <w:t>Table 3</w:t>
        </w:r>
        <w:r w:rsidRPr="0092496D">
          <w:rPr>
            <w:rStyle w:val="Hyperlink"/>
            <w:noProof/>
            <w:lang w:eastAsia="ja-JP"/>
          </w:rPr>
          <w:t xml:space="preserve"> Mechanisms to ensure cleanliness of consignments</w:t>
        </w:r>
        <w:r>
          <w:rPr>
            <w:noProof/>
            <w:webHidden/>
          </w:rPr>
          <w:tab/>
        </w:r>
        <w:r>
          <w:rPr>
            <w:noProof/>
            <w:webHidden/>
          </w:rPr>
          <w:fldChar w:fldCharType="begin"/>
        </w:r>
        <w:r>
          <w:rPr>
            <w:noProof/>
            <w:webHidden/>
          </w:rPr>
          <w:instrText xml:space="preserve"> PAGEREF _Toc521069594 \h </w:instrText>
        </w:r>
        <w:r>
          <w:rPr>
            <w:noProof/>
            <w:webHidden/>
          </w:rPr>
        </w:r>
        <w:r>
          <w:rPr>
            <w:noProof/>
            <w:webHidden/>
          </w:rPr>
          <w:fldChar w:fldCharType="separate"/>
        </w:r>
        <w:r>
          <w:rPr>
            <w:noProof/>
            <w:webHidden/>
          </w:rPr>
          <w:t>21</w:t>
        </w:r>
        <w:r>
          <w:rPr>
            <w:noProof/>
            <w:webHidden/>
          </w:rPr>
          <w:fldChar w:fldCharType="end"/>
        </w:r>
      </w:hyperlink>
    </w:p>
    <w:p w14:paraId="0CE4A333" w14:textId="77777777" w:rsidR="00847E6D" w:rsidRDefault="00847E6D">
      <w:pPr>
        <w:pStyle w:val="TableofFigures"/>
        <w:tabs>
          <w:tab w:val="right" w:leader="dot" w:pos="9402"/>
        </w:tabs>
        <w:rPr>
          <w:rFonts w:eastAsiaTheme="minorEastAsia" w:cstheme="minorBidi"/>
          <w:bCs w:val="0"/>
          <w:noProof/>
          <w:sz w:val="22"/>
          <w:szCs w:val="22"/>
          <w:lang w:eastAsia="en-AU"/>
        </w:rPr>
      </w:pPr>
      <w:hyperlink w:anchor="_Toc521069595" w:history="1">
        <w:r w:rsidRPr="0092496D">
          <w:rPr>
            <w:rStyle w:val="Hyperlink"/>
            <w:noProof/>
          </w:rPr>
          <w:t>Table 4 Types of contamination incidents from all container inspections, 2014–2017</w:t>
        </w:r>
        <w:r>
          <w:rPr>
            <w:noProof/>
            <w:webHidden/>
          </w:rPr>
          <w:tab/>
        </w:r>
        <w:r>
          <w:rPr>
            <w:noProof/>
            <w:webHidden/>
          </w:rPr>
          <w:fldChar w:fldCharType="begin"/>
        </w:r>
        <w:r>
          <w:rPr>
            <w:noProof/>
            <w:webHidden/>
          </w:rPr>
          <w:instrText xml:space="preserve"> PAGEREF _Toc521069595 \h </w:instrText>
        </w:r>
        <w:r>
          <w:rPr>
            <w:noProof/>
            <w:webHidden/>
          </w:rPr>
        </w:r>
        <w:r>
          <w:rPr>
            <w:noProof/>
            <w:webHidden/>
          </w:rPr>
          <w:fldChar w:fldCharType="separate"/>
        </w:r>
        <w:r>
          <w:rPr>
            <w:noProof/>
            <w:webHidden/>
          </w:rPr>
          <w:t>35</w:t>
        </w:r>
        <w:r>
          <w:rPr>
            <w:noProof/>
            <w:webHidden/>
          </w:rPr>
          <w:fldChar w:fldCharType="end"/>
        </w:r>
      </w:hyperlink>
    </w:p>
    <w:p w14:paraId="3A55A495" w14:textId="77777777" w:rsidR="00847E6D" w:rsidRDefault="00847E6D">
      <w:pPr>
        <w:pStyle w:val="TableofFigures"/>
        <w:tabs>
          <w:tab w:val="right" w:leader="dot" w:pos="9402"/>
        </w:tabs>
        <w:rPr>
          <w:rFonts w:eastAsiaTheme="minorEastAsia" w:cstheme="minorBidi"/>
          <w:bCs w:val="0"/>
          <w:noProof/>
          <w:sz w:val="22"/>
          <w:szCs w:val="22"/>
          <w:lang w:eastAsia="en-AU"/>
        </w:rPr>
      </w:pPr>
      <w:hyperlink w:anchor="_Toc521069596" w:history="1">
        <w:r w:rsidRPr="0092496D">
          <w:rPr>
            <w:rStyle w:val="Hyperlink"/>
            <w:noProof/>
          </w:rPr>
          <w:t>Table 5 Inspection outcomes for country action list containers, 2009–10 to 2016–17</w:t>
        </w:r>
        <w:r>
          <w:rPr>
            <w:noProof/>
            <w:webHidden/>
          </w:rPr>
          <w:tab/>
        </w:r>
        <w:r>
          <w:rPr>
            <w:noProof/>
            <w:webHidden/>
          </w:rPr>
          <w:fldChar w:fldCharType="begin"/>
        </w:r>
        <w:r>
          <w:rPr>
            <w:noProof/>
            <w:webHidden/>
          </w:rPr>
          <w:instrText xml:space="preserve"> PAGEREF _Toc521069596 \h </w:instrText>
        </w:r>
        <w:r>
          <w:rPr>
            <w:noProof/>
            <w:webHidden/>
          </w:rPr>
        </w:r>
        <w:r>
          <w:rPr>
            <w:noProof/>
            <w:webHidden/>
          </w:rPr>
          <w:fldChar w:fldCharType="separate"/>
        </w:r>
        <w:r>
          <w:rPr>
            <w:noProof/>
            <w:webHidden/>
          </w:rPr>
          <w:t>35</w:t>
        </w:r>
        <w:r>
          <w:rPr>
            <w:noProof/>
            <w:webHidden/>
          </w:rPr>
          <w:fldChar w:fldCharType="end"/>
        </w:r>
      </w:hyperlink>
    </w:p>
    <w:p w14:paraId="0297C5CB" w14:textId="77777777" w:rsidR="00847E6D" w:rsidRDefault="00847E6D">
      <w:pPr>
        <w:pStyle w:val="TableofFigures"/>
        <w:tabs>
          <w:tab w:val="right" w:leader="dot" w:pos="9402"/>
        </w:tabs>
        <w:rPr>
          <w:rFonts w:eastAsiaTheme="minorEastAsia" w:cstheme="minorBidi"/>
          <w:bCs w:val="0"/>
          <w:noProof/>
          <w:sz w:val="22"/>
          <w:szCs w:val="22"/>
          <w:lang w:eastAsia="en-AU"/>
        </w:rPr>
      </w:pPr>
      <w:hyperlink w:anchor="_Toc521069597" w:history="1">
        <w:r w:rsidRPr="0092496D">
          <w:rPr>
            <w:rStyle w:val="Hyperlink"/>
            <w:noProof/>
          </w:rPr>
          <w:t>Table 6 Break-bulk cargo summary, 2011–12 to 2016–17</w:t>
        </w:r>
        <w:r>
          <w:rPr>
            <w:noProof/>
            <w:webHidden/>
          </w:rPr>
          <w:tab/>
        </w:r>
        <w:r>
          <w:rPr>
            <w:noProof/>
            <w:webHidden/>
          </w:rPr>
          <w:fldChar w:fldCharType="begin"/>
        </w:r>
        <w:r>
          <w:rPr>
            <w:noProof/>
            <w:webHidden/>
          </w:rPr>
          <w:instrText xml:space="preserve"> PAGEREF _Toc521069597 \h </w:instrText>
        </w:r>
        <w:r>
          <w:rPr>
            <w:noProof/>
            <w:webHidden/>
          </w:rPr>
        </w:r>
        <w:r>
          <w:rPr>
            <w:noProof/>
            <w:webHidden/>
          </w:rPr>
          <w:fldChar w:fldCharType="separate"/>
        </w:r>
        <w:r>
          <w:rPr>
            <w:noProof/>
            <w:webHidden/>
          </w:rPr>
          <w:t>46</w:t>
        </w:r>
        <w:r>
          <w:rPr>
            <w:noProof/>
            <w:webHidden/>
          </w:rPr>
          <w:fldChar w:fldCharType="end"/>
        </w:r>
      </w:hyperlink>
    </w:p>
    <w:p w14:paraId="138BB22C" w14:textId="77777777" w:rsidR="00847E6D" w:rsidRDefault="00847E6D">
      <w:pPr>
        <w:pStyle w:val="TableofFigures"/>
        <w:tabs>
          <w:tab w:val="right" w:leader="dot" w:pos="9402"/>
        </w:tabs>
        <w:rPr>
          <w:rFonts w:eastAsiaTheme="minorEastAsia" w:cstheme="minorBidi"/>
          <w:bCs w:val="0"/>
          <w:noProof/>
          <w:sz w:val="22"/>
          <w:szCs w:val="22"/>
          <w:lang w:eastAsia="en-AU"/>
        </w:rPr>
      </w:pPr>
      <w:hyperlink w:anchor="_Toc521069598" w:history="1">
        <w:r w:rsidRPr="0092496D">
          <w:rPr>
            <w:rStyle w:val="Hyperlink"/>
            <w:noProof/>
          </w:rPr>
          <w:t>Table 7 Brown marmorated stink bug interceptions, by countries of origin and pathway, 2012–2017</w:t>
        </w:r>
        <w:r>
          <w:rPr>
            <w:noProof/>
            <w:webHidden/>
          </w:rPr>
          <w:tab/>
        </w:r>
        <w:r>
          <w:rPr>
            <w:noProof/>
            <w:webHidden/>
          </w:rPr>
          <w:fldChar w:fldCharType="begin"/>
        </w:r>
        <w:r>
          <w:rPr>
            <w:noProof/>
            <w:webHidden/>
          </w:rPr>
          <w:instrText xml:space="preserve"> PAGEREF _Toc521069598 \h </w:instrText>
        </w:r>
        <w:r>
          <w:rPr>
            <w:noProof/>
            <w:webHidden/>
          </w:rPr>
        </w:r>
        <w:r>
          <w:rPr>
            <w:noProof/>
            <w:webHidden/>
          </w:rPr>
          <w:fldChar w:fldCharType="separate"/>
        </w:r>
        <w:r>
          <w:rPr>
            <w:noProof/>
            <w:webHidden/>
          </w:rPr>
          <w:t>51</w:t>
        </w:r>
        <w:r>
          <w:rPr>
            <w:noProof/>
            <w:webHidden/>
          </w:rPr>
          <w:fldChar w:fldCharType="end"/>
        </w:r>
      </w:hyperlink>
    </w:p>
    <w:p w14:paraId="713F0904" w14:textId="77777777" w:rsidR="00847E6D" w:rsidRDefault="00847E6D">
      <w:pPr>
        <w:pStyle w:val="TableofFigures"/>
        <w:tabs>
          <w:tab w:val="right" w:leader="dot" w:pos="9402"/>
        </w:tabs>
        <w:rPr>
          <w:rFonts w:eastAsiaTheme="minorEastAsia" w:cstheme="minorBidi"/>
          <w:bCs w:val="0"/>
          <w:noProof/>
          <w:sz w:val="22"/>
          <w:szCs w:val="22"/>
          <w:lang w:eastAsia="en-AU"/>
        </w:rPr>
      </w:pPr>
      <w:hyperlink w:anchor="_Toc521069599" w:history="1">
        <w:r w:rsidRPr="0092496D">
          <w:rPr>
            <w:rStyle w:val="Hyperlink"/>
            <w:noProof/>
          </w:rPr>
          <w:t>Table 8 Asian gypsy moth interceptions, by country of origin and pathway, 2012–2017</w:t>
        </w:r>
        <w:r>
          <w:rPr>
            <w:noProof/>
            <w:webHidden/>
          </w:rPr>
          <w:tab/>
        </w:r>
        <w:r>
          <w:rPr>
            <w:noProof/>
            <w:webHidden/>
          </w:rPr>
          <w:fldChar w:fldCharType="begin"/>
        </w:r>
        <w:r>
          <w:rPr>
            <w:noProof/>
            <w:webHidden/>
          </w:rPr>
          <w:instrText xml:space="preserve"> PAGEREF _Toc521069599 \h </w:instrText>
        </w:r>
        <w:r>
          <w:rPr>
            <w:noProof/>
            <w:webHidden/>
          </w:rPr>
        </w:r>
        <w:r>
          <w:rPr>
            <w:noProof/>
            <w:webHidden/>
          </w:rPr>
          <w:fldChar w:fldCharType="separate"/>
        </w:r>
        <w:r>
          <w:rPr>
            <w:noProof/>
            <w:webHidden/>
          </w:rPr>
          <w:t>53</w:t>
        </w:r>
        <w:r>
          <w:rPr>
            <w:noProof/>
            <w:webHidden/>
          </w:rPr>
          <w:fldChar w:fldCharType="end"/>
        </w:r>
      </w:hyperlink>
    </w:p>
    <w:p w14:paraId="1A49D6CA" w14:textId="77777777" w:rsidR="00847E6D" w:rsidRDefault="00847E6D">
      <w:pPr>
        <w:pStyle w:val="TableofFigures"/>
        <w:tabs>
          <w:tab w:val="right" w:leader="dot" w:pos="9402"/>
        </w:tabs>
        <w:rPr>
          <w:rFonts w:eastAsiaTheme="minorEastAsia" w:cstheme="minorBidi"/>
          <w:bCs w:val="0"/>
          <w:noProof/>
          <w:sz w:val="22"/>
          <w:szCs w:val="22"/>
          <w:lang w:eastAsia="en-AU"/>
        </w:rPr>
      </w:pPr>
      <w:hyperlink w:anchor="_Toc521069600" w:history="1">
        <w:r w:rsidRPr="0092496D">
          <w:rPr>
            <w:rStyle w:val="Hyperlink"/>
            <w:noProof/>
          </w:rPr>
          <w:t>Table 9 Burnt pine longicorn beetle interception, by pathway and country of origin, 2012–2017</w:t>
        </w:r>
        <w:r>
          <w:rPr>
            <w:noProof/>
            <w:webHidden/>
          </w:rPr>
          <w:tab/>
        </w:r>
        <w:r>
          <w:rPr>
            <w:noProof/>
            <w:webHidden/>
          </w:rPr>
          <w:fldChar w:fldCharType="begin"/>
        </w:r>
        <w:r>
          <w:rPr>
            <w:noProof/>
            <w:webHidden/>
          </w:rPr>
          <w:instrText xml:space="preserve"> PAGEREF _Toc521069600 \h </w:instrText>
        </w:r>
        <w:r>
          <w:rPr>
            <w:noProof/>
            <w:webHidden/>
          </w:rPr>
        </w:r>
        <w:r>
          <w:rPr>
            <w:noProof/>
            <w:webHidden/>
          </w:rPr>
          <w:fldChar w:fldCharType="separate"/>
        </w:r>
        <w:r>
          <w:rPr>
            <w:noProof/>
            <w:webHidden/>
          </w:rPr>
          <w:t>54</w:t>
        </w:r>
        <w:r>
          <w:rPr>
            <w:noProof/>
            <w:webHidden/>
          </w:rPr>
          <w:fldChar w:fldCharType="end"/>
        </w:r>
      </w:hyperlink>
    </w:p>
    <w:p w14:paraId="1DC1D26F" w14:textId="77777777" w:rsidR="00847E6D" w:rsidRDefault="00847E6D">
      <w:pPr>
        <w:pStyle w:val="TableofFigures"/>
        <w:tabs>
          <w:tab w:val="right" w:leader="dot" w:pos="9402"/>
        </w:tabs>
        <w:rPr>
          <w:rFonts w:eastAsiaTheme="minorEastAsia" w:cstheme="minorBidi"/>
          <w:bCs w:val="0"/>
          <w:noProof/>
          <w:sz w:val="22"/>
          <w:szCs w:val="22"/>
          <w:lang w:eastAsia="en-AU"/>
        </w:rPr>
      </w:pPr>
      <w:hyperlink w:anchor="_Toc521069601" w:history="1">
        <w:r w:rsidRPr="0092496D">
          <w:rPr>
            <w:rStyle w:val="Hyperlink"/>
            <w:noProof/>
            <w:lang w:eastAsia="en-AU"/>
          </w:rPr>
          <w:t>Table 10 Exotic invasive ant species of national importance and status, 2018</w:t>
        </w:r>
        <w:r>
          <w:rPr>
            <w:noProof/>
            <w:webHidden/>
          </w:rPr>
          <w:tab/>
        </w:r>
        <w:r>
          <w:rPr>
            <w:noProof/>
            <w:webHidden/>
          </w:rPr>
          <w:fldChar w:fldCharType="begin"/>
        </w:r>
        <w:r>
          <w:rPr>
            <w:noProof/>
            <w:webHidden/>
          </w:rPr>
          <w:instrText xml:space="preserve"> PAGEREF _Toc521069601 \h </w:instrText>
        </w:r>
        <w:r>
          <w:rPr>
            <w:noProof/>
            <w:webHidden/>
          </w:rPr>
        </w:r>
        <w:r>
          <w:rPr>
            <w:noProof/>
            <w:webHidden/>
          </w:rPr>
          <w:fldChar w:fldCharType="separate"/>
        </w:r>
        <w:r>
          <w:rPr>
            <w:noProof/>
            <w:webHidden/>
          </w:rPr>
          <w:t>56</w:t>
        </w:r>
        <w:r>
          <w:rPr>
            <w:noProof/>
            <w:webHidden/>
          </w:rPr>
          <w:fldChar w:fldCharType="end"/>
        </w:r>
      </w:hyperlink>
    </w:p>
    <w:p w14:paraId="2FB2B801" w14:textId="77777777" w:rsidR="00847E6D" w:rsidRDefault="00847E6D">
      <w:pPr>
        <w:pStyle w:val="TableofFigures"/>
        <w:tabs>
          <w:tab w:val="right" w:leader="dot" w:pos="9402"/>
        </w:tabs>
        <w:rPr>
          <w:rFonts w:eastAsiaTheme="minorEastAsia" w:cstheme="minorBidi"/>
          <w:bCs w:val="0"/>
          <w:noProof/>
          <w:sz w:val="22"/>
          <w:szCs w:val="22"/>
          <w:lang w:eastAsia="en-AU"/>
        </w:rPr>
      </w:pPr>
      <w:hyperlink w:anchor="_Toc521069602" w:history="1">
        <w:r w:rsidRPr="0092496D">
          <w:rPr>
            <w:rStyle w:val="Hyperlink"/>
            <w:noProof/>
            <w:lang w:eastAsia="en-AU"/>
          </w:rPr>
          <w:t>Table 11 Exotic invasive ant interceptions, by country of origin and pathway, 2012–2017</w:t>
        </w:r>
        <w:r>
          <w:rPr>
            <w:noProof/>
            <w:webHidden/>
          </w:rPr>
          <w:tab/>
        </w:r>
        <w:r>
          <w:rPr>
            <w:noProof/>
            <w:webHidden/>
          </w:rPr>
          <w:fldChar w:fldCharType="begin"/>
        </w:r>
        <w:r>
          <w:rPr>
            <w:noProof/>
            <w:webHidden/>
          </w:rPr>
          <w:instrText xml:space="preserve"> PAGEREF _Toc521069602 \h </w:instrText>
        </w:r>
        <w:r>
          <w:rPr>
            <w:noProof/>
            <w:webHidden/>
          </w:rPr>
        </w:r>
        <w:r>
          <w:rPr>
            <w:noProof/>
            <w:webHidden/>
          </w:rPr>
          <w:fldChar w:fldCharType="separate"/>
        </w:r>
        <w:r>
          <w:rPr>
            <w:noProof/>
            <w:webHidden/>
          </w:rPr>
          <w:t>58</w:t>
        </w:r>
        <w:r>
          <w:rPr>
            <w:noProof/>
            <w:webHidden/>
          </w:rPr>
          <w:fldChar w:fldCharType="end"/>
        </w:r>
      </w:hyperlink>
    </w:p>
    <w:p w14:paraId="7649C35F" w14:textId="77777777" w:rsidR="00847E6D" w:rsidRDefault="00847E6D">
      <w:pPr>
        <w:pStyle w:val="TableofFigures"/>
        <w:tabs>
          <w:tab w:val="right" w:leader="dot" w:pos="9402"/>
        </w:tabs>
        <w:rPr>
          <w:rFonts w:eastAsiaTheme="minorEastAsia" w:cstheme="minorBidi"/>
          <w:bCs w:val="0"/>
          <w:noProof/>
          <w:sz w:val="22"/>
          <w:szCs w:val="22"/>
          <w:lang w:eastAsia="en-AU"/>
        </w:rPr>
      </w:pPr>
      <w:hyperlink w:anchor="_Toc521069603" w:history="1">
        <w:r w:rsidRPr="0092496D">
          <w:rPr>
            <w:rStyle w:val="Hyperlink"/>
            <w:noProof/>
          </w:rPr>
          <w:t>Table 12 Giant African snail interceptions, by top five countries of origin and pathway, 2012–2017</w:t>
        </w:r>
        <w:r>
          <w:rPr>
            <w:noProof/>
            <w:webHidden/>
          </w:rPr>
          <w:tab/>
        </w:r>
        <w:r>
          <w:rPr>
            <w:noProof/>
            <w:webHidden/>
          </w:rPr>
          <w:fldChar w:fldCharType="begin"/>
        </w:r>
        <w:r>
          <w:rPr>
            <w:noProof/>
            <w:webHidden/>
          </w:rPr>
          <w:instrText xml:space="preserve"> PAGEREF _Toc521069603 \h </w:instrText>
        </w:r>
        <w:r>
          <w:rPr>
            <w:noProof/>
            <w:webHidden/>
          </w:rPr>
        </w:r>
        <w:r>
          <w:rPr>
            <w:noProof/>
            <w:webHidden/>
          </w:rPr>
          <w:fldChar w:fldCharType="separate"/>
        </w:r>
        <w:r>
          <w:rPr>
            <w:noProof/>
            <w:webHidden/>
          </w:rPr>
          <w:t>60</w:t>
        </w:r>
        <w:r>
          <w:rPr>
            <w:noProof/>
            <w:webHidden/>
          </w:rPr>
          <w:fldChar w:fldCharType="end"/>
        </w:r>
      </w:hyperlink>
    </w:p>
    <w:p w14:paraId="06D8F885" w14:textId="77777777" w:rsidR="00847E6D" w:rsidRDefault="00847E6D">
      <w:pPr>
        <w:pStyle w:val="TableofFigures"/>
        <w:tabs>
          <w:tab w:val="right" w:leader="dot" w:pos="9402"/>
        </w:tabs>
        <w:rPr>
          <w:rFonts w:eastAsiaTheme="minorEastAsia" w:cstheme="minorBidi"/>
          <w:bCs w:val="0"/>
          <w:noProof/>
          <w:sz w:val="22"/>
          <w:szCs w:val="22"/>
          <w:lang w:eastAsia="en-AU"/>
        </w:rPr>
      </w:pPr>
      <w:hyperlink w:anchor="_Toc521069604" w:history="1">
        <w:r w:rsidRPr="0092496D">
          <w:rPr>
            <w:rStyle w:val="Hyperlink"/>
            <w:noProof/>
          </w:rPr>
          <w:t>Table 13 Reptile interceptions, by country of origin and pathway, 2012–2017</w:t>
        </w:r>
        <w:r>
          <w:rPr>
            <w:noProof/>
            <w:webHidden/>
          </w:rPr>
          <w:tab/>
        </w:r>
        <w:r>
          <w:rPr>
            <w:noProof/>
            <w:webHidden/>
          </w:rPr>
          <w:fldChar w:fldCharType="begin"/>
        </w:r>
        <w:r>
          <w:rPr>
            <w:noProof/>
            <w:webHidden/>
          </w:rPr>
          <w:instrText xml:space="preserve"> PAGEREF _Toc521069604 \h </w:instrText>
        </w:r>
        <w:r>
          <w:rPr>
            <w:noProof/>
            <w:webHidden/>
          </w:rPr>
        </w:r>
        <w:r>
          <w:rPr>
            <w:noProof/>
            <w:webHidden/>
          </w:rPr>
          <w:fldChar w:fldCharType="separate"/>
        </w:r>
        <w:r>
          <w:rPr>
            <w:noProof/>
            <w:webHidden/>
          </w:rPr>
          <w:t>62</w:t>
        </w:r>
        <w:r>
          <w:rPr>
            <w:noProof/>
            <w:webHidden/>
          </w:rPr>
          <w:fldChar w:fldCharType="end"/>
        </w:r>
      </w:hyperlink>
    </w:p>
    <w:p w14:paraId="746DDC51" w14:textId="77777777" w:rsidR="00AB0E44" w:rsidRDefault="00361FA3">
      <w:pPr>
        <w:pStyle w:val="TableofFigures"/>
        <w:tabs>
          <w:tab w:val="right" w:leader="dot" w:pos="9402"/>
        </w:tabs>
        <w:rPr>
          <w:b/>
          <w:bCs w:val="0"/>
        </w:rPr>
        <w:sectPr w:rsidR="00AB0E44">
          <w:headerReference w:type="default" r:id="rId16"/>
          <w:footerReference w:type="default" r:id="rId17"/>
          <w:headerReference w:type="first" r:id="rId18"/>
          <w:footerReference w:type="first" r:id="rId19"/>
          <w:endnotePr>
            <w:numFmt w:val="decimal"/>
          </w:endnotePr>
          <w:pgSz w:w="11906" w:h="16838"/>
          <w:pgMar w:top="1134" w:right="1247" w:bottom="1134" w:left="1247" w:header="567" w:footer="425" w:gutter="0"/>
          <w:pgNumType w:fmt="lowerRoman" w:start="1"/>
          <w:cols w:space="708"/>
          <w:titlePg/>
          <w:docGrid w:linePitch="360"/>
        </w:sectPr>
      </w:pPr>
      <w:r>
        <w:rPr>
          <w:b/>
          <w:bCs w:val="0"/>
        </w:rPr>
        <w:fldChar w:fldCharType="end"/>
      </w:r>
    </w:p>
    <w:p w14:paraId="35A9F8DA" w14:textId="77777777" w:rsidR="00AB0E44" w:rsidRDefault="00361FA3">
      <w:pPr>
        <w:pStyle w:val="Heading2"/>
        <w:numPr>
          <w:ilvl w:val="0"/>
          <w:numId w:val="0"/>
        </w:numPr>
        <w:ind w:left="907" w:hanging="907"/>
      </w:pPr>
      <w:bookmarkStart w:id="1" w:name="_Toc521069527"/>
      <w:r>
        <w:t>Review process</w:t>
      </w:r>
      <w:bookmarkEnd w:id="1"/>
    </w:p>
    <w:p w14:paraId="54BC8C8D" w14:textId="77777777" w:rsidR="00AB0E44" w:rsidRDefault="00361FA3" w:rsidP="00BE77B7">
      <w:pPr>
        <w:keepNext/>
        <w:keepLines/>
        <w:tabs>
          <w:tab w:val="clear" w:pos="567"/>
        </w:tabs>
        <w:spacing w:before="240" w:after="0"/>
        <w:outlineLvl w:val="2"/>
      </w:pPr>
      <w:r w:rsidRPr="00BE77B7">
        <w:rPr>
          <w:rFonts w:ascii="Calibri" w:eastAsia="Times New Roman" w:hAnsi="Calibri"/>
          <w:b/>
          <w:bCs/>
          <w:sz w:val="32"/>
          <w:szCs w:val="24"/>
        </w:rPr>
        <w:t>Purpose</w:t>
      </w:r>
    </w:p>
    <w:p w14:paraId="6068D064" w14:textId="0A7DC926" w:rsidR="00AB0E44" w:rsidRPr="001D5402" w:rsidRDefault="00361FA3">
      <w:pPr>
        <w:tabs>
          <w:tab w:val="clear" w:pos="567"/>
        </w:tabs>
        <w:spacing w:after="0"/>
        <w:rPr>
          <w:rFonts w:ascii="Calibri" w:hAnsi="Calibri"/>
          <w:lang w:eastAsia="en-AU"/>
        </w:rPr>
      </w:pPr>
      <w:r>
        <w:rPr>
          <w:rFonts w:ascii="Calibri" w:hAnsi="Calibri"/>
          <w:lang w:eastAsia="en-AU"/>
        </w:rPr>
        <w:t>The purpose of this review was to examine the effectiveness of Department of Agriculture and Water Resources</w:t>
      </w:r>
      <w:r w:rsidR="00A6198A">
        <w:rPr>
          <w:rFonts w:ascii="Calibri" w:hAnsi="Calibri"/>
          <w:lang w:eastAsia="en-AU"/>
        </w:rPr>
        <w:t>’</w:t>
      </w:r>
      <w:r>
        <w:rPr>
          <w:rFonts w:ascii="Calibri" w:hAnsi="Calibri"/>
          <w:lang w:eastAsia="en-AU"/>
        </w:rPr>
        <w:t xml:space="preserve"> management of biosecurity risks associated with hitchhiker pests and contaminants that enter Australia on sea and air conveyances, cargo </w:t>
      </w:r>
      <w:r w:rsidRPr="001D5402">
        <w:rPr>
          <w:rFonts w:ascii="Calibri" w:hAnsi="Calibri"/>
          <w:lang w:eastAsia="en-AU"/>
        </w:rPr>
        <w:t>containers and break-bulk cargo.</w:t>
      </w:r>
    </w:p>
    <w:p w14:paraId="300F7DFF" w14:textId="77777777" w:rsidR="00AB0E44" w:rsidRPr="00BE77B7" w:rsidRDefault="00361FA3" w:rsidP="00BE77B7">
      <w:pPr>
        <w:keepNext/>
        <w:keepLines/>
        <w:tabs>
          <w:tab w:val="clear" w:pos="567"/>
        </w:tabs>
        <w:spacing w:before="240" w:after="0"/>
        <w:outlineLvl w:val="2"/>
        <w:rPr>
          <w:rFonts w:ascii="Calibri" w:eastAsia="Times New Roman" w:hAnsi="Calibri"/>
          <w:b/>
          <w:bCs/>
          <w:sz w:val="32"/>
          <w:szCs w:val="24"/>
        </w:rPr>
      </w:pPr>
      <w:r w:rsidRPr="00BE77B7">
        <w:rPr>
          <w:rFonts w:ascii="Calibri" w:eastAsia="Times New Roman" w:hAnsi="Calibri"/>
          <w:b/>
          <w:bCs/>
          <w:sz w:val="32"/>
          <w:szCs w:val="24"/>
        </w:rPr>
        <w:t>Scope</w:t>
      </w:r>
    </w:p>
    <w:p w14:paraId="5D61682A" w14:textId="77777777" w:rsidR="00AB0E44" w:rsidRDefault="00361FA3">
      <w:pPr>
        <w:tabs>
          <w:tab w:val="clear" w:pos="567"/>
        </w:tabs>
        <w:spacing w:after="0"/>
        <w:rPr>
          <w:rFonts w:ascii="Calibri" w:hAnsi="Calibri"/>
          <w:lang w:eastAsia="en-AU"/>
        </w:rPr>
      </w:pPr>
      <w:r>
        <w:rPr>
          <w:rFonts w:ascii="Calibri" w:hAnsi="Calibri"/>
          <w:lang w:eastAsia="en-AU"/>
        </w:rPr>
        <w:t>The review assessed:</w:t>
      </w:r>
    </w:p>
    <w:p w14:paraId="7CE60CDD" w14:textId="77777777" w:rsidR="00AB0E44" w:rsidRDefault="00361FA3">
      <w:pPr>
        <w:numPr>
          <w:ilvl w:val="0"/>
          <w:numId w:val="6"/>
        </w:numPr>
        <w:tabs>
          <w:tab w:val="clear" w:pos="567"/>
        </w:tabs>
        <w:rPr>
          <w:rFonts w:ascii="Calibri" w:hAnsi="Calibri"/>
          <w:lang w:eastAsia="en-AU"/>
        </w:rPr>
      </w:pPr>
      <w:r>
        <w:rPr>
          <w:rFonts w:ascii="Calibri" w:hAnsi="Calibri"/>
          <w:lang w:eastAsia="en-AU"/>
        </w:rPr>
        <w:t>major hitchhiker pest and contamination risks to Australia</w:t>
      </w:r>
    </w:p>
    <w:p w14:paraId="208872EC" w14:textId="5CB55E45" w:rsidR="00AB0E44" w:rsidRDefault="00361FA3">
      <w:pPr>
        <w:numPr>
          <w:ilvl w:val="0"/>
          <w:numId w:val="6"/>
        </w:numPr>
        <w:tabs>
          <w:tab w:val="clear" w:pos="567"/>
        </w:tabs>
        <w:rPr>
          <w:rFonts w:ascii="Calibri" w:hAnsi="Calibri"/>
          <w:lang w:eastAsia="en-AU"/>
        </w:rPr>
      </w:pPr>
      <w:r>
        <w:rPr>
          <w:rFonts w:ascii="Calibri" w:hAnsi="Calibri"/>
          <w:lang w:eastAsia="en-AU"/>
        </w:rPr>
        <w:t>the adequacy of departmental processes to manage current risks and identify and respond to emerging risks associated with:</w:t>
      </w:r>
    </w:p>
    <w:p w14:paraId="2DAD8C4C" w14:textId="77777777" w:rsidR="00AB0E44" w:rsidRDefault="00361FA3">
      <w:pPr>
        <w:numPr>
          <w:ilvl w:val="1"/>
          <w:numId w:val="6"/>
        </w:numPr>
        <w:tabs>
          <w:tab w:val="clear" w:pos="567"/>
        </w:tabs>
        <w:rPr>
          <w:rFonts w:ascii="Calibri" w:hAnsi="Calibri"/>
          <w:lang w:eastAsia="en-AU"/>
        </w:rPr>
      </w:pPr>
      <w:r>
        <w:rPr>
          <w:rFonts w:ascii="Calibri" w:hAnsi="Calibri"/>
          <w:lang w:eastAsia="en-AU"/>
        </w:rPr>
        <w:t>arriving sea vessels (commercial and non-commercial)</w:t>
      </w:r>
    </w:p>
    <w:p w14:paraId="75EBFACD" w14:textId="77777777" w:rsidR="00AB0E44" w:rsidRDefault="00361FA3">
      <w:pPr>
        <w:numPr>
          <w:ilvl w:val="1"/>
          <w:numId w:val="6"/>
        </w:numPr>
        <w:tabs>
          <w:tab w:val="clear" w:pos="567"/>
        </w:tabs>
        <w:rPr>
          <w:rFonts w:ascii="Calibri" w:hAnsi="Calibri"/>
          <w:lang w:eastAsia="en-AU"/>
        </w:rPr>
      </w:pPr>
      <w:r>
        <w:rPr>
          <w:rFonts w:ascii="Calibri" w:hAnsi="Calibri"/>
          <w:lang w:eastAsia="en-AU"/>
        </w:rPr>
        <w:t>sea containers (excluding cargo carried)</w:t>
      </w:r>
    </w:p>
    <w:p w14:paraId="79017757" w14:textId="77777777" w:rsidR="00AB0E44" w:rsidRDefault="00361FA3">
      <w:pPr>
        <w:numPr>
          <w:ilvl w:val="1"/>
          <w:numId w:val="6"/>
        </w:numPr>
        <w:tabs>
          <w:tab w:val="clear" w:pos="567"/>
        </w:tabs>
        <w:rPr>
          <w:rFonts w:ascii="Calibri" w:hAnsi="Calibri"/>
          <w:lang w:eastAsia="en-AU"/>
        </w:rPr>
      </w:pPr>
      <w:r>
        <w:rPr>
          <w:rFonts w:ascii="Calibri" w:hAnsi="Calibri"/>
          <w:lang w:eastAsia="en-AU"/>
        </w:rPr>
        <w:t>general or break-bulk cargo and bulk cargo ship holds</w:t>
      </w:r>
    </w:p>
    <w:p w14:paraId="484C41F6" w14:textId="02D83F37" w:rsidR="00AB0E44" w:rsidRDefault="00361FA3">
      <w:pPr>
        <w:numPr>
          <w:ilvl w:val="1"/>
          <w:numId w:val="6"/>
        </w:numPr>
        <w:tabs>
          <w:tab w:val="clear" w:pos="567"/>
        </w:tabs>
        <w:rPr>
          <w:rFonts w:ascii="Calibri" w:hAnsi="Calibri"/>
          <w:lang w:eastAsia="en-AU"/>
        </w:rPr>
      </w:pPr>
      <w:proofErr w:type="gramStart"/>
      <w:r>
        <w:rPr>
          <w:rFonts w:ascii="Calibri" w:hAnsi="Calibri"/>
          <w:lang w:eastAsia="en-AU"/>
        </w:rPr>
        <w:t>arriving</w:t>
      </w:r>
      <w:proofErr w:type="gramEnd"/>
      <w:r>
        <w:rPr>
          <w:rFonts w:ascii="Calibri" w:hAnsi="Calibri"/>
          <w:lang w:eastAsia="en-AU"/>
        </w:rPr>
        <w:t xml:space="preserve"> aircraft and air cargo</w:t>
      </w:r>
      <w:r w:rsidR="001B4EF3">
        <w:rPr>
          <w:rFonts w:ascii="Calibri" w:hAnsi="Calibri"/>
          <w:lang w:eastAsia="en-AU"/>
        </w:rPr>
        <w:t xml:space="preserve"> containers</w:t>
      </w:r>
      <w:r>
        <w:rPr>
          <w:rFonts w:ascii="Calibri" w:hAnsi="Calibri"/>
          <w:lang w:eastAsia="en-AU"/>
        </w:rPr>
        <w:t>.</w:t>
      </w:r>
    </w:p>
    <w:p w14:paraId="308B4FDD" w14:textId="77777777" w:rsidR="00AB0E44" w:rsidRPr="00BE77B7" w:rsidRDefault="00361FA3" w:rsidP="00BE77B7">
      <w:pPr>
        <w:keepNext/>
        <w:keepLines/>
        <w:tabs>
          <w:tab w:val="clear" w:pos="567"/>
        </w:tabs>
        <w:spacing w:before="240" w:after="0"/>
        <w:outlineLvl w:val="2"/>
        <w:rPr>
          <w:rFonts w:ascii="Calibri" w:eastAsia="Times New Roman" w:hAnsi="Calibri"/>
          <w:b/>
          <w:bCs/>
          <w:sz w:val="32"/>
          <w:szCs w:val="24"/>
        </w:rPr>
      </w:pPr>
      <w:r w:rsidRPr="00BE77B7">
        <w:rPr>
          <w:rFonts w:ascii="Calibri" w:eastAsia="Times New Roman" w:hAnsi="Calibri"/>
          <w:b/>
          <w:bCs/>
          <w:sz w:val="32"/>
          <w:szCs w:val="24"/>
        </w:rPr>
        <w:t>Out of scope</w:t>
      </w:r>
    </w:p>
    <w:p w14:paraId="6B838E6D" w14:textId="77777777" w:rsidR="00AB0E44" w:rsidRDefault="00361FA3">
      <w:pPr>
        <w:tabs>
          <w:tab w:val="clear" w:pos="567"/>
        </w:tabs>
        <w:spacing w:after="0"/>
        <w:rPr>
          <w:rFonts w:ascii="Calibri" w:hAnsi="Calibri"/>
          <w:lang w:eastAsia="en-AU"/>
        </w:rPr>
      </w:pPr>
      <w:r>
        <w:rPr>
          <w:rFonts w:ascii="Calibri" w:hAnsi="Calibri"/>
          <w:lang w:eastAsia="en-AU"/>
        </w:rPr>
        <w:t>The review did not assess the management of hitchhiker and contaminant biosecurity risks associated with:</w:t>
      </w:r>
    </w:p>
    <w:p w14:paraId="30FBCDD4" w14:textId="5925AECC" w:rsidR="00AB0E44" w:rsidRDefault="00361FA3">
      <w:pPr>
        <w:numPr>
          <w:ilvl w:val="0"/>
          <w:numId w:val="6"/>
        </w:numPr>
        <w:tabs>
          <w:tab w:val="clear" w:pos="567"/>
        </w:tabs>
        <w:rPr>
          <w:rFonts w:ascii="Calibri" w:hAnsi="Calibri"/>
          <w:lang w:eastAsia="en-AU"/>
        </w:rPr>
      </w:pPr>
      <w:r>
        <w:rPr>
          <w:rFonts w:ascii="Calibri" w:hAnsi="Calibri"/>
          <w:lang w:eastAsia="en-AU"/>
        </w:rPr>
        <w:t xml:space="preserve">arriving military vessels, aircraft, cargo or personnel—reviewed </w:t>
      </w:r>
      <w:r w:rsidRPr="001D5402">
        <w:rPr>
          <w:rFonts w:ascii="Calibri" w:hAnsi="Calibri"/>
          <w:lang w:eastAsia="en-AU"/>
        </w:rPr>
        <w:t xml:space="preserve">separately </w:t>
      </w:r>
      <w:r>
        <w:rPr>
          <w:rFonts w:ascii="Calibri" w:hAnsi="Calibri"/>
          <w:lang w:eastAsia="en-AU"/>
        </w:rPr>
        <w:t>in 2018 (</w:t>
      </w:r>
      <w:r w:rsidR="009D3A56">
        <w:t>Inspector-General of Biosecurity</w:t>
      </w:r>
      <w:r>
        <w:rPr>
          <w:rFonts w:ascii="Calibri" w:hAnsi="Calibri"/>
          <w:lang w:eastAsia="en-AU"/>
        </w:rPr>
        <w:t xml:space="preserve"> 2018)</w:t>
      </w:r>
    </w:p>
    <w:p w14:paraId="47141CF3" w14:textId="66054061" w:rsidR="00AB0E44" w:rsidRDefault="00361FA3">
      <w:pPr>
        <w:numPr>
          <w:ilvl w:val="0"/>
          <w:numId w:val="6"/>
        </w:numPr>
        <w:tabs>
          <w:tab w:val="clear" w:pos="567"/>
        </w:tabs>
        <w:rPr>
          <w:rFonts w:ascii="Calibri" w:hAnsi="Calibri"/>
          <w:lang w:eastAsia="en-AU"/>
        </w:rPr>
      </w:pPr>
      <w:r>
        <w:rPr>
          <w:rFonts w:ascii="Calibri" w:hAnsi="Calibri"/>
          <w:lang w:eastAsia="en-AU"/>
        </w:rPr>
        <w:t>invasive vector mosquitoes—reviewed in 2017 (</w:t>
      </w:r>
      <w:r w:rsidR="009D3A56">
        <w:t>Inspector-General of Biosecurity 2017</w:t>
      </w:r>
      <w:r>
        <w:rPr>
          <w:rFonts w:ascii="Calibri" w:hAnsi="Calibri"/>
          <w:lang w:eastAsia="en-AU"/>
        </w:rPr>
        <w:t>)</w:t>
      </w:r>
    </w:p>
    <w:p w14:paraId="69A7756F" w14:textId="067AB0EA" w:rsidR="00AB0E44" w:rsidRDefault="00361FA3">
      <w:pPr>
        <w:numPr>
          <w:ilvl w:val="0"/>
          <w:numId w:val="6"/>
        </w:numPr>
        <w:tabs>
          <w:tab w:val="clear" w:pos="567"/>
        </w:tabs>
        <w:rPr>
          <w:rFonts w:ascii="Calibri" w:hAnsi="Calibri"/>
          <w:lang w:eastAsia="en-AU"/>
        </w:rPr>
      </w:pPr>
      <w:r>
        <w:rPr>
          <w:rFonts w:ascii="Calibri" w:hAnsi="Calibri"/>
          <w:lang w:eastAsia="en-AU"/>
        </w:rPr>
        <w:t>timber packaging—reviewed in 2014 (I</w:t>
      </w:r>
      <w:r w:rsidR="00675AB1">
        <w:rPr>
          <w:rFonts w:ascii="Calibri" w:hAnsi="Calibri"/>
          <w:lang w:eastAsia="en-AU"/>
        </w:rPr>
        <w:t xml:space="preserve">nterim </w:t>
      </w:r>
      <w:r w:rsidR="00675AB1" w:rsidRPr="00675AB1">
        <w:rPr>
          <w:rFonts w:ascii="Calibri" w:hAnsi="Calibri"/>
          <w:lang w:eastAsia="en-AU"/>
        </w:rPr>
        <w:t>Inspector-General of Biosecurity</w:t>
      </w:r>
      <w:r>
        <w:rPr>
          <w:rFonts w:ascii="Calibri" w:hAnsi="Calibri"/>
          <w:lang w:eastAsia="en-AU"/>
        </w:rPr>
        <w:t xml:space="preserve"> 2014)</w:t>
      </w:r>
    </w:p>
    <w:p w14:paraId="58511763" w14:textId="77777777" w:rsidR="00AB0E44" w:rsidRDefault="00361FA3">
      <w:pPr>
        <w:numPr>
          <w:ilvl w:val="0"/>
          <w:numId w:val="6"/>
        </w:numPr>
        <w:tabs>
          <w:tab w:val="clear" w:pos="567"/>
        </w:tabs>
        <w:rPr>
          <w:rFonts w:ascii="Calibri" w:hAnsi="Calibri"/>
        </w:rPr>
      </w:pPr>
      <w:r>
        <w:rPr>
          <w:rFonts w:ascii="Calibri" w:hAnsi="Calibri"/>
          <w:lang w:eastAsia="en-AU"/>
        </w:rPr>
        <w:t>imported goods subject to biosecurity risk management—managed by import conditions for the relevant goods</w:t>
      </w:r>
    </w:p>
    <w:p w14:paraId="70EE1A94" w14:textId="77777777" w:rsidR="00AB0E44" w:rsidRDefault="00361FA3">
      <w:pPr>
        <w:numPr>
          <w:ilvl w:val="0"/>
          <w:numId w:val="6"/>
        </w:numPr>
        <w:tabs>
          <w:tab w:val="clear" w:pos="567"/>
        </w:tabs>
        <w:rPr>
          <w:rFonts w:ascii="Calibri" w:hAnsi="Calibri"/>
        </w:rPr>
      </w:pPr>
      <w:proofErr w:type="gramStart"/>
      <w:r>
        <w:rPr>
          <w:rFonts w:ascii="Calibri" w:hAnsi="Calibri"/>
          <w:lang w:eastAsia="en-AU"/>
        </w:rPr>
        <w:t>passengers</w:t>
      </w:r>
      <w:proofErr w:type="gramEnd"/>
      <w:r>
        <w:rPr>
          <w:rFonts w:ascii="Calibri" w:hAnsi="Calibri"/>
          <w:lang w:eastAsia="en-AU"/>
        </w:rPr>
        <w:t>, passenger luggage and international mail—</w:t>
      </w:r>
      <w:r w:rsidRPr="001D5402">
        <w:rPr>
          <w:rFonts w:ascii="Calibri" w:hAnsi="Calibri"/>
          <w:lang w:eastAsia="en-AU"/>
        </w:rPr>
        <w:t>handled significantly differently</w:t>
      </w:r>
      <w:r>
        <w:rPr>
          <w:rFonts w:ascii="Calibri" w:hAnsi="Calibri"/>
          <w:lang w:eastAsia="en-AU"/>
        </w:rPr>
        <w:t xml:space="preserve"> due to markedly different risks.</w:t>
      </w:r>
    </w:p>
    <w:p w14:paraId="797EA463" w14:textId="77777777" w:rsidR="00AB0E44" w:rsidRPr="00BE77B7" w:rsidRDefault="00361FA3" w:rsidP="00BE77B7">
      <w:pPr>
        <w:keepNext/>
        <w:keepLines/>
        <w:tabs>
          <w:tab w:val="clear" w:pos="567"/>
        </w:tabs>
        <w:spacing w:before="240" w:after="0"/>
        <w:outlineLvl w:val="2"/>
        <w:rPr>
          <w:rFonts w:ascii="Calibri" w:eastAsia="Times New Roman" w:hAnsi="Calibri"/>
          <w:b/>
          <w:bCs/>
          <w:sz w:val="32"/>
          <w:szCs w:val="24"/>
        </w:rPr>
      </w:pPr>
      <w:r w:rsidRPr="00BE77B7">
        <w:rPr>
          <w:rFonts w:ascii="Calibri" w:eastAsia="Times New Roman" w:hAnsi="Calibri"/>
          <w:b/>
          <w:bCs/>
          <w:sz w:val="32"/>
          <w:szCs w:val="24"/>
        </w:rPr>
        <w:t>Potential risks</w:t>
      </w:r>
    </w:p>
    <w:p w14:paraId="0A75574A" w14:textId="77777777" w:rsidR="00AB0E44" w:rsidRDefault="00361FA3">
      <w:pPr>
        <w:keepNext/>
        <w:tabs>
          <w:tab w:val="clear" w:pos="567"/>
        </w:tabs>
        <w:spacing w:after="0"/>
        <w:rPr>
          <w:rFonts w:ascii="Calibri" w:hAnsi="Calibri"/>
          <w:lang w:eastAsia="en-AU"/>
        </w:rPr>
      </w:pPr>
      <w:r>
        <w:rPr>
          <w:rFonts w:ascii="Calibri" w:hAnsi="Calibri"/>
          <w:lang w:eastAsia="en-AU"/>
        </w:rPr>
        <w:t>Potential risks considered included:</w:t>
      </w:r>
    </w:p>
    <w:p w14:paraId="52A265F5" w14:textId="77777777" w:rsidR="00AB0E44" w:rsidRDefault="00361FA3">
      <w:pPr>
        <w:numPr>
          <w:ilvl w:val="0"/>
          <w:numId w:val="6"/>
        </w:numPr>
        <w:tabs>
          <w:tab w:val="clear" w:pos="567"/>
        </w:tabs>
        <w:rPr>
          <w:rFonts w:ascii="Calibri" w:hAnsi="Calibri"/>
          <w:lang w:eastAsia="en-AU"/>
        </w:rPr>
      </w:pPr>
      <w:r>
        <w:rPr>
          <w:rFonts w:ascii="Calibri" w:hAnsi="Calibri"/>
          <w:lang w:eastAsia="en-AU"/>
        </w:rPr>
        <w:t>the department using inadequate or incorrect risk-based and sampling methodologies (to detect, identify, control and eradicate pests)</w:t>
      </w:r>
    </w:p>
    <w:p w14:paraId="3B2E4B0F" w14:textId="77777777" w:rsidR="00AB0E44" w:rsidRDefault="00361FA3">
      <w:pPr>
        <w:numPr>
          <w:ilvl w:val="0"/>
          <w:numId w:val="6"/>
        </w:numPr>
        <w:tabs>
          <w:tab w:val="clear" w:pos="567"/>
        </w:tabs>
        <w:rPr>
          <w:rFonts w:ascii="Calibri" w:hAnsi="Calibri"/>
          <w:lang w:eastAsia="en-AU"/>
        </w:rPr>
      </w:pPr>
      <w:r>
        <w:rPr>
          <w:rFonts w:ascii="Calibri" w:hAnsi="Calibri"/>
          <w:lang w:eastAsia="en-AU"/>
        </w:rPr>
        <w:t>stakeholders not providing the department with appropriate or timely information for it to carry out its responsibilities</w:t>
      </w:r>
    </w:p>
    <w:p w14:paraId="7A025D3B" w14:textId="77777777" w:rsidR="00AB0E44" w:rsidRDefault="00361FA3">
      <w:pPr>
        <w:numPr>
          <w:ilvl w:val="0"/>
          <w:numId w:val="6"/>
        </w:numPr>
        <w:tabs>
          <w:tab w:val="clear" w:pos="567"/>
        </w:tabs>
        <w:rPr>
          <w:rFonts w:ascii="Calibri" w:hAnsi="Calibri"/>
          <w:lang w:eastAsia="en-AU"/>
        </w:rPr>
      </w:pPr>
      <w:r>
        <w:rPr>
          <w:rFonts w:ascii="Calibri" w:hAnsi="Calibri"/>
          <w:lang w:eastAsia="en-AU"/>
        </w:rPr>
        <w:t>stakeholders (including state and territory agencies) not receiving appropriate or timely information from the department for them to carry out their responsibilities</w:t>
      </w:r>
    </w:p>
    <w:p w14:paraId="47BF9805" w14:textId="77777777" w:rsidR="00AB0E44" w:rsidRDefault="00361FA3">
      <w:pPr>
        <w:numPr>
          <w:ilvl w:val="0"/>
          <w:numId w:val="6"/>
        </w:numPr>
        <w:tabs>
          <w:tab w:val="clear" w:pos="567"/>
        </w:tabs>
        <w:rPr>
          <w:rFonts w:ascii="Calibri" w:hAnsi="Calibri"/>
          <w:lang w:eastAsia="en-AU"/>
        </w:rPr>
      </w:pPr>
      <w:r>
        <w:rPr>
          <w:rFonts w:ascii="Calibri" w:hAnsi="Calibri"/>
          <w:lang w:eastAsia="en-AU"/>
        </w:rPr>
        <w:t>inadequate capacity and capability of the department to identify new or emerging hitchhiker and contaminant entry pathways or conveyances and consider associated risks</w:t>
      </w:r>
    </w:p>
    <w:p w14:paraId="1C37CDC3" w14:textId="77777777" w:rsidR="00AB0E44" w:rsidRDefault="00361FA3">
      <w:pPr>
        <w:numPr>
          <w:ilvl w:val="0"/>
          <w:numId w:val="6"/>
        </w:numPr>
        <w:tabs>
          <w:tab w:val="clear" w:pos="567"/>
        </w:tabs>
        <w:rPr>
          <w:rFonts w:ascii="Calibri" w:hAnsi="Calibri"/>
          <w:lang w:eastAsia="en-AU"/>
        </w:rPr>
      </w:pPr>
      <w:r>
        <w:rPr>
          <w:rFonts w:ascii="Calibri" w:hAnsi="Calibri"/>
          <w:lang w:eastAsia="en-AU"/>
        </w:rPr>
        <w:t>stakeholders having inadequate hitchhiker and contaminant pathway management obligations or not meeting obligations</w:t>
      </w:r>
    </w:p>
    <w:p w14:paraId="23DD726E" w14:textId="77777777" w:rsidR="00AB0E44" w:rsidRDefault="00361FA3">
      <w:pPr>
        <w:numPr>
          <w:ilvl w:val="0"/>
          <w:numId w:val="6"/>
        </w:numPr>
        <w:tabs>
          <w:tab w:val="clear" w:pos="567"/>
        </w:tabs>
        <w:rPr>
          <w:rFonts w:ascii="Calibri" w:hAnsi="Calibri"/>
          <w:lang w:eastAsia="en-AU"/>
        </w:rPr>
      </w:pPr>
      <w:proofErr w:type="gramStart"/>
      <w:r>
        <w:rPr>
          <w:rFonts w:ascii="Calibri" w:hAnsi="Calibri"/>
          <w:lang w:eastAsia="en-AU"/>
        </w:rPr>
        <w:t>insufficient</w:t>
      </w:r>
      <w:proofErr w:type="gramEnd"/>
      <w:r>
        <w:rPr>
          <w:rFonts w:ascii="Calibri" w:hAnsi="Calibri"/>
          <w:lang w:eastAsia="en-AU"/>
        </w:rPr>
        <w:t xml:space="preserve"> availability of departmental resources or capabilities to address relevant biosecurity risks.</w:t>
      </w:r>
    </w:p>
    <w:p w14:paraId="017BAF78" w14:textId="77777777" w:rsidR="00AB0E44" w:rsidRPr="00BE77B7" w:rsidRDefault="00361FA3" w:rsidP="00BE77B7">
      <w:pPr>
        <w:keepNext/>
        <w:keepLines/>
        <w:tabs>
          <w:tab w:val="clear" w:pos="567"/>
        </w:tabs>
        <w:spacing w:before="240" w:after="0"/>
        <w:outlineLvl w:val="2"/>
        <w:rPr>
          <w:rFonts w:ascii="Calibri" w:eastAsia="Times New Roman" w:hAnsi="Calibri"/>
          <w:b/>
          <w:bCs/>
          <w:sz w:val="32"/>
          <w:szCs w:val="24"/>
        </w:rPr>
      </w:pPr>
      <w:r w:rsidRPr="00BE77B7">
        <w:rPr>
          <w:rFonts w:ascii="Calibri" w:eastAsia="Times New Roman" w:hAnsi="Calibri"/>
          <w:b/>
          <w:bCs/>
          <w:sz w:val="32"/>
          <w:szCs w:val="24"/>
        </w:rPr>
        <w:t>Methodology</w:t>
      </w:r>
    </w:p>
    <w:p w14:paraId="01074957" w14:textId="77777777" w:rsidR="00AB0E44" w:rsidRPr="001D5402" w:rsidRDefault="00361FA3">
      <w:pPr>
        <w:tabs>
          <w:tab w:val="clear" w:pos="567"/>
        </w:tabs>
        <w:spacing w:after="0"/>
        <w:rPr>
          <w:rFonts w:ascii="Calibri" w:hAnsi="Calibri"/>
          <w:lang w:eastAsia="en-AU"/>
        </w:rPr>
      </w:pPr>
      <w:r w:rsidRPr="001D5402">
        <w:rPr>
          <w:rFonts w:ascii="Calibri" w:hAnsi="Calibri"/>
          <w:lang w:eastAsia="en-AU"/>
        </w:rPr>
        <w:t>The IGB:</w:t>
      </w:r>
    </w:p>
    <w:p w14:paraId="0F9551AC" w14:textId="132AC22D" w:rsidR="00AB0E44" w:rsidRPr="001D5402" w:rsidRDefault="00361FA3">
      <w:pPr>
        <w:numPr>
          <w:ilvl w:val="0"/>
          <w:numId w:val="6"/>
        </w:numPr>
        <w:tabs>
          <w:tab w:val="clear" w:pos="567"/>
        </w:tabs>
        <w:rPr>
          <w:rFonts w:ascii="Calibri" w:hAnsi="Calibri"/>
          <w:lang w:eastAsia="en-AU"/>
        </w:rPr>
      </w:pPr>
      <w:r w:rsidRPr="001D5402">
        <w:rPr>
          <w:rFonts w:ascii="Calibri" w:hAnsi="Calibri"/>
          <w:lang w:eastAsia="en-AU"/>
        </w:rPr>
        <w:t>reviewed relevant scientific literature, reports and departmental policies and procedures</w:t>
      </w:r>
    </w:p>
    <w:p w14:paraId="6E6AE1E6" w14:textId="77777777" w:rsidR="00AB0E44" w:rsidRPr="001D5402" w:rsidRDefault="00361FA3">
      <w:pPr>
        <w:numPr>
          <w:ilvl w:val="0"/>
          <w:numId w:val="6"/>
        </w:numPr>
        <w:tabs>
          <w:tab w:val="clear" w:pos="567"/>
        </w:tabs>
        <w:rPr>
          <w:rFonts w:ascii="Calibri" w:hAnsi="Calibri"/>
          <w:lang w:eastAsia="en-AU"/>
        </w:rPr>
      </w:pPr>
      <w:r w:rsidRPr="001D5402">
        <w:rPr>
          <w:rFonts w:ascii="Calibri" w:hAnsi="Calibri"/>
          <w:lang w:eastAsia="en-AU"/>
        </w:rPr>
        <w:t>conducted fieldwork at airports and sea ports to view operations first hand</w:t>
      </w:r>
    </w:p>
    <w:p w14:paraId="15691EC5" w14:textId="77777777" w:rsidR="00AB0E44" w:rsidRPr="001D5402" w:rsidRDefault="00361FA3">
      <w:pPr>
        <w:numPr>
          <w:ilvl w:val="0"/>
          <w:numId w:val="6"/>
        </w:numPr>
        <w:tabs>
          <w:tab w:val="clear" w:pos="567"/>
        </w:tabs>
        <w:rPr>
          <w:rFonts w:ascii="Calibri" w:hAnsi="Calibri"/>
          <w:lang w:eastAsia="en-AU"/>
        </w:rPr>
      </w:pPr>
      <w:r w:rsidRPr="001D5402">
        <w:rPr>
          <w:rFonts w:ascii="Calibri" w:hAnsi="Calibri"/>
          <w:lang w:eastAsia="en-AU"/>
        </w:rPr>
        <w:t>visited regional offices in Brisbane, Cairns, Darwin, Melbourne, Newcastle, Port Kembla, Perth and Sydney for discussions with department staff at all levels</w:t>
      </w:r>
    </w:p>
    <w:p w14:paraId="7CCE1E24" w14:textId="77777777" w:rsidR="00AB0E44" w:rsidRPr="001D5402" w:rsidRDefault="00361FA3">
      <w:pPr>
        <w:numPr>
          <w:ilvl w:val="0"/>
          <w:numId w:val="6"/>
        </w:numPr>
        <w:tabs>
          <w:tab w:val="clear" w:pos="567"/>
        </w:tabs>
        <w:rPr>
          <w:rFonts w:ascii="Calibri" w:hAnsi="Calibri"/>
          <w:lang w:eastAsia="en-AU"/>
        </w:rPr>
      </w:pPr>
      <w:r w:rsidRPr="001D5402">
        <w:rPr>
          <w:rFonts w:ascii="Calibri" w:hAnsi="Calibri"/>
          <w:lang w:eastAsia="en-AU"/>
        </w:rPr>
        <w:t>held discussions with key stakeholders on how industry bodies interact with the department to apply hitchhiker and contaminant management measures through the supply chain (including offshore) at first points of entry and thereafter</w:t>
      </w:r>
    </w:p>
    <w:p w14:paraId="0A673C39" w14:textId="19C82B83" w:rsidR="00AB0E44" w:rsidRPr="001D5402" w:rsidRDefault="00361FA3">
      <w:pPr>
        <w:numPr>
          <w:ilvl w:val="0"/>
          <w:numId w:val="6"/>
        </w:numPr>
        <w:tabs>
          <w:tab w:val="clear" w:pos="567"/>
        </w:tabs>
        <w:rPr>
          <w:rFonts w:ascii="Calibri" w:hAnsi="Calibri"/>
          <w:lang w:eastAsia="en-AU"/>
        </w:rPr>
      </w:pPr>
      <w:proofErr w:type="gramStart"/>
      <w:r w:rsidRPr="001D5402">
        <w:rPr>
          <w:rFonts w:ascii="Calibri" w:hAnsi="Calibri"/>
          <w:lang w:eastAsia="en-AU"/>
        </w:rPr>
        <w:t>visited</w:t>
      </w:r>
      <w:proofErr w:type="gramEnd"/>
      <w:r w:rsidRPr="001D5402">
        <w:rPr>
          <w:rFonts w:ascii="Calibri" w:hAnsi="Calibri"/>
          <w:lang w:eastAsia="en-AU"/>
        </w:rPr>
        <w:t xml:space="preserve"> New Zealand to observe how the N</w:t>
      </w:r>
      <w:r w:rsidR="006C3DB6">
        <w:rPr>
          <w:rFonts w:ascii="Calibri" w:hAnsi="Calibri"/>
          <w:lang w:eastAsia="en-AU"/>
        </w:rPr>
        <w:t xml:space="preserve">ew </w:t>
      </w:r>
      <w:r w:rsidRPr="001D5402">
        <w:rPr>
          <w:rFonts w:ascii="Calibri" w:hAnsi="Calibri"/>
          <w:lang w:eastAsia="en-AU"/>
        </w:rPr>
        <w:t>Z</w:t>
      </w:r>
      <w:r w:rsidR="006C3DB6">
        <w:rPr>
          <w:rFonts w:ascii="Calibri" w:hAnsi="Calibri"/>
          <w:lang w:eastAsia="en-AU"/>
        </w:rPr>
        <w:t>ealand</w:t>
      </w:r>
      <w:r w:rsidRPr="001D5402">
        <w:rPr>
          <w:rFonts w:ascii="Calibri" w:hAnsi="Calibri"/>
          <w:lang w:eastAsia="en-AU"/>
        </w:rPr>
        <w:t xml:space="preserve"> Government Ministry </w:t>
      </w:r>
      <w:r w:rsidR="00B678B9">
        <w:rPr>
          <w:rFonts w:ascii="Calibri" w:hAnsi="Calibri"/>
          <w:lang w:eastAsia="en-AU"/>
        </w:rPr>
        <w:t>for</w:t>
      </w:r>
      <w:r w:rsidR="00B678B9" w:rsidRPr="001D5402">
        <w:rPr>
          <w:rFonts w:ascii="Calibri" w:hAnsi="Calibri"/>
          <w:lang w:eastAsia="en-AU"/>
        </w:rPr>
        <w:t xml:space="preserve"> </w:t>
      </w:r>
      <w:r w:rsidRPr="001D5402">
        <w:rPr>
          <w:rFonts w:ascii="Calibri" w:hAnsi="Calibri"/>
          <w:lang w:eastAsia="en-AU"/>
        </w:rPr>
        <w:t>Primary Industries works with industry and the community to manage hitchhiker and contaminant biosecurity risks.</w:t>
      </w:r>
    </w:p>
    <w:p w14:paraId="357E14F9" w14:textId="77777777" w:rsidR="00AB0E44" w:rsidRPr="00BE77B7" w:rsidRDefault="00361FA3" w:rsidP="00BE77B7">
      <w:pPr>
        <w:keepNext/>
        <w:keepLines/>
        <w:tabs>
          <w:tab w:val="clear" w:pos="567"/>
        </w:tabs>
        <w:spacing w:before="240" w:after="0"/>
        <w:outlineLvl w:val="2"/>
        <w:rPr>
          <w:rFonts w:ascii="Calibri" w:eastAsia="Times New Roman" w:hAnsi="Calibri"/>
          <w:b/>
          <w:bCs/>
          <w:sz w:val="32"/>
          <w:szCs w:val="24"/>
        </w:rPr>
      </w:pPr>
      <w:r w:rsidRPr="00BE77B7">
        <w:rPr>
          <w:rFonts w:ascii="Calibri" w:eastAsia="Times New Roman" w:hAnsi="Calibri"/>
          <w:b/>
          <w:bCs/>
          <w:sz w:val="32"/>
          <w:szCs w:val="24"/>
        </w:rPr>
        <w:t>Review team</w:t>
      </w:r>
    </w:p>
    <w:p w14:paraId="40F76C20" w14:textId="77715146" w:rsidR="00AB0E44" w:rsidRDefault="00BB5087">
      <w:pPr>
        <w:tabs>
          <w:tab w:val="clear" w:pos="567"/>
        </w:tabs>
        <w:spacing w:after="0"/>
        <w:rPr>
          <w:rFonts w:ascii="Calibri" w:hAnsi="Calibri"/>
          <w:lang w:eastAsia="en-AU"/>
        </w:rPr>
      </w:pPr>
      <w:r>
        <w:rPr>
          <w:rFonts w:ascii="Calibri" w:hAnsi="Calibri"/>
          <w:lang w:eastAsia="en-AU"/>
        </w:rPr>
        <w:t>Glenn McMellon</w:t>
      </w:r>
      <w:r w:rsidR="00361FA3">
        <w:rPr>
          <w:rFonts w:ascii="Calibri" w:hAnsi="Calibri"/>
          <w:lang w:eastAsia="en-AU"/>
        </w:rPr>
        <w:t>,</w:t>
      </w:r>
      <w:r>
        <w:rPr>
          <w:rFonts w:ascii="Calibri" w:hAnsi="Calibri"/>
          <w:lang w:eastAsia="en-AU"/>
        </w:rPr>
        <w:t xml:space="preserve"> </w:t>
      </w:r>
      <w:r w:rsidR="00361FA3">
        <w:rPr>
          <w:rFonts w:ascii="Calibri" w:hAnsi="Calibri"/>
          <w:lang w:eastAsia="en-AU"/>
        </w:rPr>
        <w:t xml:space="preserve">Guy Coleman, </w:t>
      </w:r>
      <w:r>
        <w:rPr>
          <w:rFonts w:ascii="Calibri" w:hAnsi="Calibri"/>
          <w:lang w:eastAsia="en-AU"/>
        </w:rPr>
        <w:t xml:space="preserve">Jonathan Muller </w:t>
      </w:r>
      <w:r w:rsidR="00361FA3">
        <w:rPr>
          <w:rFonts w:ascii="Calibri" w:hAnsi="Calibri"/>
          <w:lang w:eastAsia="en-AU"/>
        </w:rPr>
        <w:t>and Dr Naveen Bhatia assisted the IGB in this review.</w:t>
      </w:r>
    </w:p>
    <w:p w14:paraId="6EFBCF07" w14:textId="77777777" w:rsidR="00AB0E44" w:rsidRPr="004609A1" w:rsidRDefault="00361FA3" w:rsidP="004609A1">
      <w:pPr>
        <w:pStyle w:val="Heading2"/>
        <w:numPr>
          <w:ilvl w:val="0"/>
          <w:numId w:val="0"/>
        </w:numPr>
      </w:pPr>
      <w:bookmarkStart w:id="2" w:name="_Toc521069528"/>
      <w:r w:rsidRPr="004609A1">
        <w:t>Summary</w:t>
      </w:r>
      <w:bookmarkEnd w:id="2"/>
    </w:p>
    <w:p w14:paraId="4D4243B7" w14:textId="77777777" w:rsidR="00AB0E44" w:rsidRPr="004609A1" w:rsidRDefault="00361FA3">
      <w:pPr>
        <w:keepNext/>
        <w:keepLines/>
        <w:numPr>
          <w:ilvl w:val="0"/>
          <w:numId w:val="30"/>
        </w:numPr>
        <w:tabs>
          <w:tab w:val="clear" w:pos="567"/>
        </w:tabs>
        <w:spacing w:before="240" w:after="0"/>
        <w:ind w:left="567" w:hanging="567"/>
        <w:outlineLvl w:val="2"/>
        <w:rPr>
          <w:rFonts w:ascii="Calibri" w:eastAsia="Times New Roman" w:hAnsi="Calibri"/>
          <w:b/>
          <w:bCs/>
          <w:sz w:val="32"/>
          <w:szCs w:val="24"/>
        </w:rPr>
      </w:pPr>
      <w:r w:rsidRPr="004609A1">
        <w:rPr>
          <w:rFonts w:ascii="Calibri" w:eastAsia="Times New Roman" w:hAnsi="Calibri"/>
          <w:b/>
          <w:bCs/>
          <w:sz w:val="32"/>
          <w:szCs w:val="24"/>
        </w:rPr>
        <w:t>Challenges for Australia</w:t>
      </w:r>
    </w:p>
    <w:p w14:paraId="022CAD35" w14:textId="6A67F03E" w:rsidR="00AB0E44" w:rsidRDefault="00361FA3">
      <w:pPr>
        <w:tabs>
          <w:tab w:val="clear" w:pos="567"/>
        </w:tabs>
        <w:spacing w:after="0"/>
        <w:rPr>
          <w:rFonts w:ascii="Calibri" w:hAnsi="Calibri"/>
          <w:lang w:eastAsia="ja-JP"/>
        </w:rPr>
      </w:pPr>
      <w:r>
        <w:rPr>
          <w:rFonts w:ascii="Calibri" w:hAnsi="Calibri"/>
          <w:lang w:eastAsia="ja-JP"/>
        </w:rPr>
        <w:t xml:space="preserve">Australia has </w:t>
      </w:r>
      <w:r w:rsidRPr="001D5402">
        <w:rPr>
          <w:rFonts w:ascii="Calibri" w:hAnsi="Calibri"/>
          <w:lang w:eastAsia="ja-JP"/>
        </w:rPr>
        <w:t xml:space="preserve">strong controls </w:t>
      </w:r>
      <w:r w:rsidR="001D5402">
        <w:rPr>
          <w:rFonts w:ascii="Calibri" w:hAnsi="Calibri"/>
          <w:lang w:eastAsia="ja-JP"/>
        </w:rPr>
        <w:t xml:space="preserve">to prevent </w:t>
      </w:r>
      <w:r w:rsidRPr="001D5402">
        <w:rPr>
          <w:rFonts w:ascii="Calibri" w:hAnsi="Calibri"/>
          <w:lang w:eastAsia="ja-JP"/>
        </w:rPr>
        <w:t>the</w:t>
      </w:r>
      <w:r>
        <w:rPr>
          <w:rFonts w:ascii="Calibri" w:hAnsi="Calibri"/>
          <w:lang w:eastAsia="ja-JP"/>
        </w:rPr>
        <w:t xml:space="preserve"> entry and establishment of pests and diseases that could threaten our economy, our environment or human health. High-risk goods are subject to strict biosecurity import controls. However, pests and pathogens may also travel:</w:t>
      </w:r>
    </w:p>
    <w:p w14:paraId="06FD890C" w14:textId="19CC14F7" w:rsidR="00AB0E44" w:rsidRDefault="00361FA3">
      <w:pPr>
        <w:numPr>
          <w:ilvl w:val="0"/>
          <w:numId w:val="6"/>
        </w:numPr>
        <w:tabs>
          <w:tab w:val="clear" w:pos="567"/>
        </w:tabs>
        <w:rPr>
          <w:rFonts w:ascii="Calibri" w:hAnsi="Calibri"/>
          <w:lang w:eastAsia="ja-JP"/>
        </w:rPr>
      </w:pPr>
      <w:r>
        <w:rPr>
          <w:rFonts w:ascii="Calibri" w:hAnsi="Calibri"/>
          <w:lang w:eastAsia="ja-JP"/>
        </w:rPr>
        <w:t>opportunistically on ships and aircraft or on the outsides and insides of sea and air containers (</w:t>
      </w:r>
      <w:r w:rsidR="001D5402">
        <w:rPr>
          <w:rFonts w:ascii="Calibri" w:hAnsi="Calibri"/>
          <w:lang w:eastAsia="ja-JP"/>
        </w:rPr>
        <w:t xml:space="preserve">regardless </w:t>
      </w:r>
      <w:r>
        <w:rPr>
          <w:rFonts w:ascii="Calibri" w:hAnsi="Calibri"/>
          <w:lang w:eastAsia="ja-JP"/>
        </w:rPr>
        <w:t>of the goods being imported)</w:t>
      </w:r>
      <w:r w:rsidR="00472E30">
        <w:rPr>
          <w:rFonts w:ascii="Calibri" w:hAnsi="Calibri"/>
          <w:lang w:eastAsia="ja-JP"/>
        </w:rPr>
        <w:t xml:space="preserve">, and </w:t>
      </w:r>
    </w:p>
    <w:p w14:paraId="477F4D14" w14:textId="77777777" w:rsidR="00AB0E44" w:rsidRDefault="00361FA3" w:rsidP="00221389">
      <w:pPr>
        <w:numPr>
          <w:ilvl w:val="0"/>
          <w:numId w:val="6"/>
        </w:numPr>
        <w:tabs>
          <w:tab w:val="clear" w:pos="567"/>
        </w:tabs>
        <w:rPr>
          <w:rFonts w:ascii="Calibri" w:hAnsi="Calibri"/>
          <w:lang w:eastAsia="ja-JP"/>
        </w:rPr>
      </w:pPr>
      <w:proofErr w:type="gramStart"/>
      <w:r>
        <w:rPr>
          <w:rFonts w:ascii="Calibri" w:hAnsi="Calibri"/>
          <w:lang w:eastAsia="ja-JP"/>
        </w:rPr>
        <w:t>on</w:t>
      </w:r>
      <w:proofErr w:type="gramEnd"/>
      <w:r>
        <w:rPr>
          <w:rFonts w:ascii="Calibri" w:hAnsi="Calibri"/>
          <w:lang w:eastAsia="ja-JP"/>
        </w:rPr>
        <w:t xml:space="preserve"> general, non-containerised (break-bulk) cargo such as cars, tyres or machinery (which would not otherwise pose any biosecurity risk).</w:t>
      </w:r>
    </w:p>
    <w:p w14:paraId="79BCE02E" w14:textId="1FF12AB0" w:rsidR="00AB0E44" w:rsidRDefault="00361FA3">
      <w:pPr>
        <w:tabs>
          <w:tab w:val="clear" w:pos="567"/>
        </w:tabs>
        <w:spacing w:after="0"/>
        <w:rPr>
          <w:rFonts w:ascii="Calibri" w:hAnsi="Calibri"/>
          <w:lang w:eastAsia="ja-JP"/>
        </w:rPr>
      </w:pPr>
      <w:r>
        <w:rPr>
          <w:rFonts w:ascii="Calibri" w:hAnsi="Calibri"/>
          <w:lang w:eastAsia="ja-JP"/>
        </w:rPr>
        <w:t>Pests, including pathogens, may travel alone as hitchhikers or be carried in biosecurity risk material such as soil, seeds or timber. This material can contaminate vessels or cargo.</w:t>
      </w:r>
    </w:p>
    <w:p w14:paraId="5DF13327" w14:textId="77777777" w:rsidR="00AB0E44" w:rsidRDefault="00361FA3">
      <w:pPr>
        <w:rPr>
          <w:rFonts w:ascii="Calibri" w:hAnsi="Calibri"/>
        </w:rPr>
      </w:pPr>
      <w:r>
        <w:rPr>
          <w:rFonts w:ascii="Calibri" w:hAnsi="Calibri"/>
        </w:rPr>
        <w:t>Key hitchhiker pests</w:t>
      </w:r>
      <w:r>
        <w:rPr>
          <w:rFonts w:ascii="Calibri" w:hAnsi="Calibri"/>
          <w:b/>
        </w:rPr>
        <w:t xml:space="preserve"> </w:t>
      </w:r>
      <w:r>
        <w:rPr>
          <w:rFonts w:ascii="Calibri" w:hAnsi="Calibri"/>
        </w:rPr>
        <w:t>targeted internationally and in Australia include:</w:t>
      </w:r>
    </w:p>
    <w:p w14:paraId="0944557C" w14:textId="01FF5DBC" w:rsidR="00AB0E44" w:rsidRDefault="00361FA3">
      <w:pPr>
        <w:numPr>
          <w:ilvl w:val="0"/>
          <w:numId w:val="6"/>
        </w:numPr>
        <w:tabs>
          <w:tab w:val="clear" w:pos="567"/>
        </w:tabs>
        <w:rPr>
          <w:rFonts w:ascii="Calibri" w:hAnsi="Calibri"/>
        </w:rPr>
      </w:pPr>
      <w:r>
        <w:rPr>
          <w:rFonts w:ascii="Calibri" w:hAnsi="Calibri"/>
          <w:b/>
        </w:rPr>
        <w:t xml:space="preserve">giant African </w:t>
      </w:r>
      <w:r w:rsidRPr="001D5402">
        <w:rPr>
          <w:rFonts w:ascii="Calibri" w:hAnsi="Calibri"/>
          <w:b/>
        </w:rPr>
        <w:t>snails</w:t>
      </w:r>
      <w:r w:rsidR="001D5402" w:rsidRPr="0051252F">
        <w:rPr>
          <w:rFonts w:ascii="Calibri" w:hAnsi="Calibri"/>
        </w:rPr>
        <w:t xml:space="preserve">, </w:t>
      </w:r>
      <w:r w:rsidRPr="001D5402">
        <w:rPr>
          <w:rFonts w:ascii="Calibri" w:hAnsi="Calibri"/>
        </w:rPr>
        <w:t>which feed</w:t>
      </w:r>
      <w:r>
        <w:rPr>
          <w:rFonts w:ascii="Calibri" w:hAnsi="Calibri"/>
        </w:rPr>
        <w:t xml:space="preserve"> voraciously on over 500 species of plants, including vegetables, fruits, ornamentals and eucalypts</w:t>
      </w:r>
    </w:p>
    <w:p w14:paraId="1D902242" w14:textId="3CBBA6D3" w:rsidR="00AB0E44" w:rsidRDefault="00361FA3">
      <w:pPr>
        <w:numPr>
          <w:ilvl w:val="0"/>
          <w:numId w:val="6"/>
        </w:numPr>
        <w:tabs>
          <w:tab w:val="clear" w:pos="567"/>
        </w:tabs>
        <w:rPr>
          <w:rFonts w:ascii="Calibri" w:hAnsi="Calibri"/>
        </w:rPr>
      </w:pPr>
      <w:r>
        <w:rPr>
          <w:rFonts w:ascii="Calibri" w:hAnsi="Calibri"/>
          <w:b/>
        </w:rPr>
        <w:t>exotic invasive ants</w:t>
      </w:r>
      <w:r w:rsidR="001D5402">
        <w:rPr>
          <w:rFonts w:ascii="Calibri" w:hAnsi="Calibri"/>
        </w:rPr>
        <w:t xml:space="preserve">, </w:t>
      </w:r>
      <w:r>
        <w:rPr>
          <w:rFonts w:ascii="Calibri" w:hAnsi="Calibri"/>
        </w:rPr>
        <w:t>such as red imported fire ants, which are subject to a $411.4 million national eradication program from 2017 to 2026</w:t>
      </w:r>
    </w:p>
    <w:p w14:paraId="3D7EF7E6" w14:textId="05FBC8F8" w:rsidR="00AB0E44" w:rsidRDefault="00361FA3">
      <w:pPr>
        <w:numPr>
          <w:ilvl w:val="0"/>
          <w:numId w:val="6"/>
        </w:numPr>
        <w:tabs>
          <w:tab w:val="clear" w:pos="567"/>
        </w:tabs>
        <w:rPr>
          <w:rFonts w:ascii="Calibri" w:hAnsi="Calibri"/>
        </w:rPr>
      </w:pPr>
      <w:proofErr w:type="gramStart"/>
      <w:r>
        <w:rPr>
          <w:rFonts w:ascii="Calibri" w:hAnsi="Calibri"/>
          <w:b/>
        </w:rPr>
        <w:t>exotic</w:t>
      </w:r>
      <w:proofErr w:type="gramEnd"/>
      <w:r>
        <w:rPr>
          <w:rFonts w:ascii="Calibri" w:hAnsi="Calibri"/>
          <w:b/>
        </w:rPr>
        <w:t xml:space="preserve"> bees</w:t>
      </w:r>
      <w:r>
        <w:rPr>
          <w:rFonts w:ascii="Calibri" w:hAnsi="Calibri"/>
        </w:rPr>
        <w:t xml:space="preserve"> (such as the Africanised honey bee) and </w:t>
      </w:r>
      <w:r>
        <w:rPr>
          <w:rFonts w:ascii="Calibri" w:hAnsi="Calibri"/>
          <w:b/>
        </w:rPr>
        <w:t>bee pests</w:t>
      </w:r>
      <w:r>
        <w:rPr>
          <w:rFonts w:ascii="Calibri" w:hAnsi="Calibri"/>
        </w:rPr>
        <w:t xml:space="preserve"> (such as the </w:t>
      </w:r>
      <w:proofErr w:type="spellStart"/>
      <w:r>
        <w:rPr>
          <w:rFonts w:ascii="Calibri" w:hAnsi="Calibri"/>
        </w:rPr>
        <w:t>Varroa</w:t>
      </w:r>
      <w:proofErr w:type="spellEnd"/>
      <w:r>
        <w:rPr>
          <w:rFonts w:ascii="Calibri" w:hAnsi="Calibri"/>
        </w:rPr>
        <w:t xml:space="preserve"> mite</w:t>
      </w:r>
      <w:r w:rsidR="001D5402">
        <w:rPr>
          <w:rFonts w:ascii="Calibri" w:hAnsi="Calibri"/>
        </w:rPr>
        <w:t xml:space="preserve">), </w:t>
      </w:r>
      <w:r>
        <w:rPr>
          <w:rFonts w:ascii="Calibri" w:hAnsi="Calibri"/>
        </w:rPr>
        <w:t>which could imperil Australia’s honey bee populations and crop pollination.</w:t>
      </w:r>
    </w:p>
    <w:p w14:paraId="4AF8F5B1" w14:textId="77777777" w:rsidR="00AB0E44" w:rsidRDefault="00361FA3">
      <w:pPr>
        <w:rPr>
          <w:rFonts w:ascii="Calibri" w:hAnsi="Calibri"/>
        </w:rPr>
      </w:pPr>
      <w:r>
        <w:rPr>
          <w:rFonts w:ascii="Calibri" w:hAnsi="Calibri"/>
        </w:rPr>
        <w:t>Seasonal pests subject to targeted surveillance and control measures in Australia include:</w:t>
      </w:r>
    </w:p>
    <w:p w14:paraId="4BF6578C" w14:textId="2759942F" w:rsidR="00AB0E44" w:rsidRDefault="00361FA3">
      <w:pPr>
        <w:numPr>
          <w:ilvl w:val="0"/>
          <w:numId w:val="6"/>
        </w:numPr>
        <w:tabs>
          <w:tab w:val="clear" w:pos="567"/>
        </w:tabs>
        <w:rPr>
          <w:rFonts w:ascii="Calibri" w:hAnsi="Calibri"/>
        </w:rPr>
      </w:pPr>
      <w:r>
        <w:rPr>
          <w:rFonts w:ascii="Calibri" w:hAnsi="Calibri"/>
          <w:b/>
        </w:rPr>
        <w:t>brown marmorated stink bugs</w:t>
      </w:r>
      <w:r w:rsidR="001D5402">
        <w:rPr>
          <w:rFonts w:ascii="Calibri" w:hAnsi="Calibri"/>
        </w:rPr>
        <w:t xml:space="preserve">, which are </w:t>
      </w:r>
      <w:r>
        <w:rPr>
          <w:rFonts w:ascii="Calibri" w:hAnsi="Calibri"/>
        </w:rPr>
        <w:t>a major horticultural, environmental and household pest</w:t>
      </w:r>
    </w:p>
    <w:p w14:paraId="4489844E" w14:textId="32968A7E" w:rsidR="00AB0E44" w:rsidRDefault="00361FA3">
      <w:pPr>
        <w:numPr>
          <w:ilvl w:val="0"/>
          <w:numId w:val="6"/>
        </w:numPr>
        <w:tabs>
          <w:tab w:val="clear" w:pos="567"/>
        </w:tabs>
        <w:rPr>
          <w:rFonts w:ascii="Calibri" w:hAnsi="Calibri"/>
        </w:rPr>
      </w:pPr>
      <w:r>
        <w:rPr>
          <w:rFonts w:ascii="Calibri" w:hAnsi="Calibri"/>
          <w:b/>
        </w:rPr>
        <w:t>Asian gypsy moths</w:t>
      </w:r>
      <w:r w:rsidR="001D5402">
        <w:rPr>
          <w:rFonts w:ascii="Calibri" w:hAnsi="Calibri"/>
        </w:rPr>
        <w:t xml:space="preserve">, which are </w:t>
      </w:r>
      <w:r>
        <w:rPr>
          <w:rFonts w:ascii="Calibri" w:hAnsi="Calibri"/>
        </w:rPr>
        <w:t>a destructive pest that attacks over 650 species of trees</w:t>
      </w:r>
    </w:p>
    <w:p w14:paraId="6AA57422" w14:textId="3DC5D170" w:rsidR="00AB0E44" w:rsidRDefault="00361FA3">
      <w:pPr>
        <w:numPr>
          <w:ilvl w:val="0"/>
          <w:numId w:val="6"/>
        </w:numPr>
        <w:tabs>
          <w:tab w:val="clear" w:pos="567"/>
        </w:tabs>
        <w:rPr>
          <w:rFonts w:ascii="Calibri" w:hAnsi="Calibri"/>
        </w:rPr>
      </w:pPr>
      <w:proofErr w:type="gramStart"/>
      <w:r>
        <w:rPr>
          <w:rFonts w:ascii="Calibri" w:hAnsi="Calibri"/>
          <w:b/>
        </w:rPr>
        <w:t>burnt</w:t>
      </w:r>
      <w:proofErr w:type="gramEnd"/>
      <w:r>
        <w:rPr>
          <w:rFonts w:ascii="Calibri" w:hAnsi="Calibri"/>
          <w:b/>
        </w:rPr>
        <w:t xml:space="preserve"> pine longicorn beetles</w:t>
      </w:r>
      <w:r w:rsidR="001D5402">
        <w:rPr>
          <w:rFonts w:ascii="Calibri" w:hAnsi="Calibri"/>
        </w:rPr>
        <w:t xml:space="preserve">, which </w:t>
      </w:r>
      <w:r>
        <w:rPr>
          <w:rFonts w:ascii="Calibri" w:hAnsi="Calibri"/>
        </w:rPr>
        <w:t>attack burnt or harvested pine timber and threaten the forestry and construction industries.</w:t>
      </w:r>
    </w:p>
    <w:p w14:paraId="68652759" w14:textId="77777777" w:rsidR="00AB0E44" w:rsidRDefault="00361FA3">
      <w:pPr>
        <w:tabs>
          <w:tab w:val="clear" w:pos="567"/>
        </w:tabs>
        <w:spacing w:after="0"/>
        <w:rPr>
          <w:rFonts w:ascii="Calibri" w:hAnsi="Calibri"/>
          <w:lang w:eastAsia="ja-JP"/>
        </w:rPr>
      </w:pPr>
      <w:r>
        <w:rPr>
          <w:rFonts w:ascii="Calibri" w:hAnsi="Calibri"/>
          <w:lang w:eastAsia="ja-JP"/>
        </w:rPr>
        <w:t>Other hitchhikers, managed through ongoing specific and/or general programs, include:</w:t>
      </w:r>
    </w:p>
    <w:p w14:paraId="0BA369DC" w14:textId="69009C0A" w:rsidR="00AB0E44" w:rsidRDefault="00361FA3">
      <w:pPr>
        <w:numPr>
          <w:ilvl w:val="0"/>
          <w:numId w:val="6"/>
        </w:numPr>
        <w:tabs>
          <w:tab w:val="clear" w:pos="567"/>
        </w:tabs>
        <w:rPr>
          <w:rFonts w:ascii="Calibri" w:hAnsi="Calibri"/>
        </w:rPr>
      </w:pPr>
      <w:r>
        <w:rPr>
          <w:rFonts w:ascii="Calibri" w:hAnsi="Calibri"/>
          <w:b/>
        </w:rPr>
        <w:t>invasive vector mosquitoes</w:t>
      </w:r>
      <w:r w:rsidR="001D5402">
        <w:rPr>
          <w:rFonts w:ascii="Calibri" w:hAnsi="Calibri"/>
        </w:rPr>
        <w:t xml:space="preserve"> that </w:t>
      </w:r>
      <w:r>
        <w:rPr>
          <w:rFonts w:ascii="Calibri" w:hAnsi="Calibri"/>
        </w:rPr>
        <w:t xml:space="preserve">carry yellow fever, dengue, chikungunya and </w:t>
      </w:r>
      <w:proofErr w:type="spellStart"/>
      <w:r>
        <w:rPr>
          <w:rFonts w:ascii="Calibri" w:hAnsi="Calibri"/>
        </w:rPr>
        <w:t>Zika</w:t>
      </w:r>
      <w:proofErr w:type="spellEnd"/>
      <w:r>
        <w:rPr>
          <w:rFonts w:ascii="Calibri" w:hAnsi="Calibri"/>
        </w:rPr>
        <w:t xml:space="preserve"> viruses</w:t>
      </w:r>
    </w:p>
    <w:p w14:paraId="1720DF50" w14:textId="576F0A1E" w:rsidR="00AB0E44" w:rsidRDefault="00361FA3">
      <w:pPr>
        <w:numPr>
          <w:ilvl w:val="0"/>
          <w:numId w:val="6"/>
        </w:numPr>
        <w:tabs>
          <w:tab w:val="clear" w:pos="567"/>
        </w:tabs>
        <w:rPr>
          <w:rFonts w:ascii="Calibri" w:hAnsi="Calibri"/>
        </w:rPr>
      </w:pPr>
      <w:r>
        <w:rPr>
          <w:rFonts w:ascii="Calibri" w:hAnsi="Calibri"/>
          <w:b/>
        </w:rPr>
        <w:t>rats</w:t>
      </w:r>
      <w:r w:rsidR="001D5402">
        <w:rPr>
          <w:rFonts w:ascii="Calibri" w:hAnsi="Calibri"/>
        </w:rPr>
        <w:t xml:space="preserve">, which </w:t>
      </w:r>
      <w:r>
        <w:rPr>
          <w:rFonts w:ascii="Calibri" w:hAnsi="Calibri"/>
        </w:rPr>
        <w:t>can carry plague and other serious diseases</w:t>
      </w:r>
    </w:p>
    <w:p w14:paraId="6323B0FD" w14:textId="59E3FC9C" w:rsidR="00AB0E44" w:rsidRDefault="00361FA3">
      <w:pPr>
        <w:numPr>
          <w:ilvl w:val="0"/>
          <w:numId w:val="6"/>
        </w:numPr>
        <w:tabs>
          <w:tab w:val="clear" w:pos="567"/>
        </w:tabs>
        <w:rPr>
          <w:rFonts w:ascii="Calibri" w:hAnsi="Calibri"/>
        </w:rPr>
      </w:pPr>
      <w:r>
        <w:rPr>
          <w:rFonts w:ascii="Calibri" w:hAnsi="Calibri"/>
          <w:b/>
        </w:rPr>
        <w:t>toads</w:t>
      </w:r>
      <w:r w:rsidR="001D5402">
        <w:rPr>
          <w:rFonts w:ascii="Calibri" w:hAnsi="Calibri"/>
        </w:rPr>
        <w:t xml:space="preserve">, like </w:t>
      </w:r>
      <w:r>
        <w:rPr>
          <w:rFonts w:ascii="Calibri" w:hAnsi="Calibri"/>
        </w:rPr>
        <w:t>the Asian black-spined toad</w:t>
      </w:r>
      <w:r w:rsidR="001D5402">
        <w:rPr>
          <w:rFonts w:ascii="Calibri" w:hAnsi="Calibri"/>
        </w:rPr>
        <w:t>, which</w:t>
      </w:r>
      <w:r>
        <w:rPr>
          <w:rFonts w:ascii="Calibri" w:hAnsi="Calibri"/>
        </w:rPr>
        <w:t xml:space="preserve"> could become as big a pest as the cane toad</w:t>
      </w:r>
    </w:p>
    <w:p w14:paraId="6B49CB33" w14:textId="1A5ED31A" w:rsidR="00AB0E44" w:rsidRDefault="00361FA3">
      <w:pPr>
        <w:numPr>
          <w:ilvl w:val="0"/>
          <w:numId w:val="6"/>
        </w:numPr>
        <w:tabs>
          <w:tab w:val="clear" w:pos="567"/>
        </w:tabs>
        <w:rPr>
          <w:rFonts w:ascii="Calibri" w:hAnsi="Calibri"/>
        </w:rPr>
      </w:pPr>
      <w:r>
        <w:rPr>
          <w:rFonts w:ascii="Calibri" w:hAnsi="Calibri"/>
          <w:b/>
        </w:rPr>
        <w:t>reptiles</w:t>
      </w:r>
      <w:r w:rsidR="001D5402">
        <w:rPr>
          <w:rFonts w:ascii="Calibri" w:hAnsi="Calibri"/>
        </w:rPr>
        <w:t xml:space="preserve">, which </w:t>
      </w:r>
      <w:r>
        <w:rPr>
          <w:rFonts w:ascii="Calibri" w:hAnsi="Calibri"/>
        </w:rPr>
        <w:t>could colonise ecosystems or carry exotic reptile diseases</w:t>
      </w:r>
    </w:p>
    <w:p w14:paraId="090555F2" w14:textId="42D54B89" w:rsidR="00AB0E44" w:rsidRDefault="00361FA3">
      <w:pPr>
        <w:numPr>
          <w:ilvl w:val="0"/>
          <w:numId w:val="6"/>
        </w:numPr>
        <w:tabs>
          <w:tab w:val="clear" w:pos="567"/>
        </w:tabs>
        <w:rPr>
          <w:rFonts w:ascii="Calibri" w:hAnsi="Calibri"/>
        </w:rPr>
      </w:pPr>
      <w:r>
        <w:rPr>
          <w:rFonts w:ascii="Calibri" w:hAnsi="Calibri"/>
          <w:b/>
        </w:rPr>
        <w:t>timber pests</w:t>
      </w:r>
      <w:r w:rsidR="001D5402">
        <w:rPr>
          <w:rFonts w:ascii="Calibri" w:hAnsi="Calibri"/>
        </w:rPr>
        <w:t xml:space="preserve">, </w:t>
      </w:r>
      <w:r>
        <w:rPr>
          <w:rFonts w:ascii="Calibri" w:hAnsi="Calibri"/>
        </w:rPr>
        <w:t xml:space="preserve">including </w:t>
      </w:r>
      <w:proofErr w:type="spellStart"/>
      <w:r>
        <w:rPr>
          <w:rFonts w:ascii="Calibri" w:hAnsi="Calibri"/>
        </w:rPr>
        <w:t>drywood</w:t>
      </w:r>
      <w:proofErr w:type="spellEnd"/>
      <w:r>
        <w:rPr>
          <w:rFonts w:ascii="Calibri" w:hAnsi="Calibri"/>
        </w:rPr>
        <w:t xml:space="preserve"> termites</w:t>
      </w:r>
    </w:p>
    <w:p w14:paraId="2CBEE67A" w14:textId="34C90394" w:rsidR="00AB0E44" w:rsidRDefault="00361FA3">
      <w:pPr>
        <w:numPr>
          <w:ilvl w:val="0"/>
          <w:numId w:val="6"/>
        </w:numPr>
        <w:tabs>
          <w:tab w:val="clear" w:pos="567"/>
        </w:tabs>
        <w:rPr>
          <w:rFonts w:ascii="Calibri" w:hAnsi="Calibri"/>
        </w:rPr>
      </w:pPr>
      <w:proofErr w:type="gramStart"/>
      <w:r>
        <w:rPr>
          <w:rFonts w:ascii="Calibri" w:hAnsi="Calibri"/>
          <w:b/>
        </w:rPr>
        <w:t>marine</w:t>
      </w:r>
      <w:proofErr w:type="gramEnd"/>
      <w:r>
        <w:rPr>
          <w:rFonts w:ascii="Calibri" w:hAnsi="Calibri"/>
          <w:b/>
        </w:rPr>
        <w:t xml:space="preserve"> pests</w:t>
      </w:r>
      <w:r>
        <w:rPr>
          <w:rFonts w:ascii="Calibri" w:hAnsi="Calibri"/>
        </w:rPr>
        <w:t>, especially molluscs</w:t>
      </w:r>
      <w:r w:rsidR="001D5402">
        <w:rPr>
          <w:rFonts w:ascii="Calibri" w:hAnsi="Calibri"/>
        </w:rPr>
        <w:t xml:space="preserve">, </w:t>
      </w:r>
      <w:r w:rsidR="008D59E6">
        <w:rPr>
          <w:rFonts w:ascii="Calibri" w:hAnsi="Calibri"/>
        </w:rPr>
        <w:t>carried</w:t>
      </w:r>
      <w:r>
        <w:rPr>
          <w:rFonts w:ascii="Calibri" w:hAnsi="Calibri"/>
        </w:rPr>
        <w:t xml:space="preserve"> on ships’ hulls (biofouling) or in ballast water.</w:t>
      </w:r>
    </w:p>
    <w:p w14:paraId="329CADB0" w14:textId="512B1639" w:rsidR="00AB0E44" w:rsidRDefault="00361FA3">
      <w:pPr>
        <w:tabs>
          <w:tab w:val="clear" w:pos="567"/>
        </w:tabs>
        <w:spacing w:after="0"/>
        <w:rPr>
          <w:rFonts w:ascii="Calibri" w:hAnsi="Calibri"/>
        </w:rPr>
      </w:pPr>
      <w:r>
        <w:rPr>
          <w:rFonts w:ascii="Calibri" w:hAnsi="Calibri"/>
        </w:rPr>
        <w:t>Contaminants such as soil and seeds also pose biosecurity risks:</w:t>
      </w:r>
    </w:p>
    <w:p w14:paraId="3FC00AD6" w14:textId="77777777" w:rsidR="00AB0E44" w:rsidRDefault="00361FA3">
      <w:pPr>
        <w:numPr>
          <w:ilvl w:val="0"/>
          <w:numId w:val="82"/>
        </w:numPr>
        <w:rPr>
          <w:rFonts w:ascii="Calibri" w:hAnsi="Calibri"/>
        </w:rPr>
      </w:pPr>
      <w:r>
        <w:rPr>
          <w:rFonts w:ascii="Calibri" w:hAnsi="Calibri"/>
          <w:b/>
        </w:rPr>
        <w:t xml:space="preserve">Soil contamination </w:t>
      </w:r>
      <w:r>
        <w:rPr>
          <w:rFonts w:ascii="Calibri" w:hAnsi="Calibri"/>
        </w:rPr>
        <w:t>of sea</w:t>
      </w:r>
      <w:r>
        <w:rPr>
          <w:rFonts w:ascii="Calibri" w:hAnsi="Calibri"/>
          <w:lang w:eastAsia="ja-JP"/>
        </w:rPr>
        <w:t xml:space="preserve"> containers, vehicles and </w:t>
      </w:r>
      <w:r w:rsidRPr="001D5402">
        <w:rPr>
          <w:rFonts w:ascii="Calibri" w:hAnsi="Calibri"/>
          <w:lang w:eastAsia="ja-JP"/>
        </w:rPr>
        <w:t>machinery risks introducing small</w:t>
      </w:r>
      <w:r>
        <w:rPr>
          <w:rFonts w:ascii="Calibri" w:hAnsi="Calibri"/>
          <w:lang w:eastAsia="ja-JP"/>
        </w:rPr>
        <w:t xml:space="preserve"> invertebrate pests such as ants or slugs and exotic nematode, fungal, bacterial or viral pathogens of plants and animals.</w:t>
      </w:r>
    </w:p>
    <w:p w14:paraId="456C7BAC" w14:textId="3EE97DE1" w:rsidR="00AB0E44" w:rsidRDefault="00361FA3">
      <w:pPr>
        <w:numPr>
          <w:ilvl w:val="0"/>
          <w:numId w:val="82"/>
        </w:numPr>
        <w:rPr>
          <w:rFonts w:ascii="Calibri" w:hAnsi="Calibri"/>
        </w:rPr>
      </w:pPr>
      <w:r>
        <w:rPr>
          <w:rFonts w:ascii="Calibri" w:hAnsi="Calibri"/>
          <w:b/>
          <w:lang w:eastAsia="ja-JP"/>
        </w:rPr>
        <w:t>Seed contamination</w:t>
      </w:r>
      <w:r w:rsidRPr="001D5402">
        <w:rPr>
          <w:rFonts w:ascii="Calibri" w:hAnsi="Calibri"/>
          <w:lang w:eastAsia="ja-JP"/>
        </w:rPr>
        <w:t xml:space="preserve"> risks importing new weed</w:t>
      </w:r>
      <w:r>
        <w:rPr>
          <w:rFonts w:ascii="Calibri" w:hAnsi="Calibri"/>
          <w:lang w:eastAsia="ja-JP"/>
        </w:rPr>
        <w:t xml:space="preserve"> species and seed-borne plant pathogens. Risks to agriculture and the environment are exacerbated if contaminated containers, vehicles or machinery reach </w:t>
      </w:r>
      <w:r w:rsidR="00CC6843">
        <w:rPr>
          <w:rFonts w:ascii="Calibri" w:hAnsi="Calibri"/>
          <w:lang w:eastAsia="ja-JP"/>
        </w:rPr>
        <w:t xml:space="preserve">or pass through </w:t>
      </w:r>
      <w:r>
        <w:rPr>
          <w:rFonts w:ascii="Calibri" w:hAnsi="Calibri"/>
          <w:lang w:eastAsia="ja-JP"/>
        </w:rPr>
        <w:t>rural destinations.</w:t>
      </w:r>
    </w:p>
    <w:p w14:paraId="6DD15DB5" w14:textId="77777777" w:rsidR="00AB0E44" w:rsidRPr="004609A1" w:rsidRDefault="00361FA3">
      <w:pPr>
        <w:keepNext/>
        <w:keepLines/>
        <w:numPr>
          <w:ilvl w:val="0"/>
          <w:numId w:val="30"/>
        </w:numPr>
        <w:tabs>
          <w:tab w:val="clear" w:pos="567"/>
        </w:tabs>
        <w:spacing w:before="240" w:after="0"/>
        <w:ind w:left="567" w:hanging="567"/>
        <w:outlineLvl w:val="2"/>
        <w:rPr>
          <w:rFonts w:ascii="Calibri" w:eastAsia="Times New Roman" w:hAnsi="Calibri"/>
          <w:b/>
          <w:bCs/>
          <w:sz w:val="32"/>
          <w:szCs w:val="24"/>
        </w:rPr>
      </w:pPr>
      <w:r w:rsidRPr="004609A1">
        <w:rPr>
          <w:rFonts w:ascii="Calibri" w:eastAsia="Times New Roman" w:hAnsi="Calibri"/>
          <w:b/>
          <w:bCs/>
          <w:sz w:val="32"/>
          <w:szCs w:val="24"/>
        </w:rPr>
        <w:t>Hitchhiker pest and contaminant risk management</w:t>
      </w:r>
    </w:p>
    <w:p w14:paraId="1404DBFF" w14:textId="77777777" w:rsidR="00AB0E44" w:rsidRDefault="00361FA3">
      <w:pPr>
        <w:tabs>
          <w:tab w:val="clear" w:pos="567"/>
        </w:tabs>
        <w:spacing w:after="0"/>
        <w:rPr>
          <w:rFonts w:ascii="Calibri" w:hAnsi="Calibri"/>
          <w:lang w:eastAsia="ja-JP"/>
        </w:rPr>
      </w:pPr>
      <w:r>
        <w:rPr>
          <w:rFonts w:ascii="Calibri" w:hAnsi="Calibri"/>
          <w:lang w:eastAsia="ja-JP"/>
        </w:rPr>
        <w:t>International measures have been developed to manage some key hitchhiker and contaminant risks to human, agricultural and environmental health by targeting the biology and known global distribution of the worst pests. The Australian Government Department of Agriculture and Water Resources (the department) works with international, national and state and territory agencies and industry to implement these measures and a range of other multilateral, bilateral and national programs</w:t>
      </w:r>
      <w:r>
        <w:rPr>
          <w:rFonts w:ascii="Calibri" w:hAnsi="Calibri"/>
        </w:rPr>
        <w:t xml:space="preserve"> </w:t>
      </w:r>
      <w:r>
        <w:rPr>
          <w:rFonts w:ascii="Calibri" w:hAnsi="Calibri"/>
          <w:lang w:eastAsia="ja-JP"/>
        </w:rPr>
        <w:t xml:space="preserve">pre-border, at the border and post-border. It aims to keep risks offshore as far as practicable but also applies stringent border monitoring and some post-border surveillance. These controls reduce the risk </w:t>
      </w:r>
      <w:r w:rsidRPr="001D5402">
        <w:rPr>
          <w:rFonts w:ascii="Calibri" w:hAnsi="Calibri"/>
          <w:lang w:eastAsia="ja-JP"/>
        </w:rPr>
        <w:t>of many hitchhikers and contaminants entering the</w:t>
      </w:r>
      <w:r>
        <w:rPr>
          <w:rFonts w:ascii="Calibri" w:hAnsi="Calibri"/>
          <w:lang w:eastAsia="ja-JP"/>
        </w:rPr>
        <w:t xml:space="preserve"> country, but absolute prevention is unattainable.</w:t>
      </w:r>
    </w:p>
    <w:p w14:paraId="19788734" w14:textId="77777777" w:rsidR="00AB0E44" w:rsidRPr="004609A1" w:rsidRDefault="00361FA3">
      <w:pPr>
        <w:keepNext/>
        <w:keepLines/>
        <w:numPr>
          <w:ilvl w:val="0"/>
          <w:numId w:val="30"/>
        </w:numPr>
        <w:tabs>
          <w:tab w:val="clear" w:pos="567"/>
        </w:tabs>
        <w:spacing w:before="240" w:after="0"/>
        <w:ind w:left="567" w:hanging="567"/>
        <w:outlineLvl w:val="2"/>
        <w:rPr>
          <w:rFonts w:ascii="Calibri" w:eastAsia="Times New Roman" w:hAnsi="Calibri"/>
          <w:b/>
          <w:bCs/>
          <w:sz w:val="32"/>
          <w:szCs w:val="24"/>
        </w:rPr>
      </w:pPr>
      <w:r w:rsidRPr="004609A1">
        <w:rPr>
          <w:rFonts w:ascii="Calibri" w:eastAsia="Times New Roman" w:hAnsi="Calibri"/>
          <w:b/>
          <w:bCs/>
          <w:sz w:val="32"/>
          <w:szCs w:val="24"/>
        </w:rPr>
        <w:t>Sea vessel entry pathway</w:t>
      </w:r>
    </w:p>
    <w:p w14:paraId="3FE786E5" w14:textId="1E8EF5A2" w:rsidR="00AB0E44" w:rsidRDefault="00361FA3" w:rsidP="00BB442A">
      <w:pPr>
        <w:tabs>
          <w:tab w:val="clear" w:pos="567"/>
        </w:tabs>
        <w:spacing w:after="0"/>
        <w:rPr>
          <w:rFonts w:ascii="Calibri" w:hAnsi="Calibri"/>
          <w:lang w:eastAsia="ja-JP"/>
        </w:rPr>
      </w:pPr>
      <w:r>
        <w:rPr>
          <w:rFonts w:ascii="Calibri" w:hAnsi="Calibri"/>
        </w:rPr>
        <w:t xml:space="preserve">Biosecurity risks associated with shipping are managed through the Maritime Arrivals Reporting System (MARS). All vessels (other than small </w:t>
      </w:r>
      <w:r>
        <w:rPr>
          <w:rFonts w:ascii="Calibri" w:hAnsi="Calibri"/>
          <w:lang w:eastAsia="ja-JP"/>
        </w:rPr>
        <w:t>non-commercial vessels, such as private yachts)</w:t>
      </w:r>
      <w:r>
        <w:rPr>
          <w:rFonts w:ascii="Calibri" w:hAnsi="Calibri"/>
        </w:rPr>
        <w:t xml:space="preserve"> </w:t>
      </w:r>
      <w:r w:rsidR="00CC6843">
        <w:rPr>
          <w:rFonts w:ascii="Calibri" w:hAnsi="Calibri"/>
        </w:rPr>
        <w:t>coming to</w:t>
      </w:r>
      <w:r>
        <w:rPr>
          <w:rFonts w:ascii="Calibri" w:hAnsi="Calibri"/>
        </w:rPr>
        <w:t xml:space="preserve"> an Australian first point of entry </w:t>
      </w:r>
      <w:r>
        <w:rPr>
          <w:rFonts w:ascii="Calibri" w:hAnsi="Calibri"/>
          <w:lang w:eastAsia="ja-JP"/>
        </w:rPr>
        <w:t xml:space="preserve">must first submit online </w:t>
      </w:r>
      <w:r w:rsidRPr="001D5402">
        <w:rPr>
          <w:rFonts w:ascii="Calibri" w:hAnsi="Calibri"/>
          <w:lang w:eastAsia="ja-JP"/>
        </w:rPr>
        <w:t>details of biosecurity status and last port of call pre-arrival. The</w:t>
      </w:r>
      <w:r>
        <w:rPr>
          <w:rFonts w:ascii="Calibri" w:hAnsi="Calibri"/>
          <w:lang w:eastAsia="ja-JP"/>
        </w:rPr>
        <w:t xml:space="preserve"> department then assesses risks; applies necessary inspections, treatments and certification; and records findings </w:t>
      </w:r>
      <w:r w:rsidRPr="001D5402">
        <w:rPr>
          <w:rFonts w:ascii="Calibri" w:hAnsi="Calibri"/>
          <w:lang w:eastAsia="ja-JP"/>
        </w:rPr>
        <w:t>online—providing</w:t>
      </w:r>
      <w:r>
        <w:rPr>
          <w:rFonts w:ascii="Calibri" w:hAnsi="Calibri"/>
          <w:lang w:eastAsia="ja-JP"/>
        </w:rPr>
        <w:t xml:space="preserve"> timely and transparent feedback to ships’ masters, shipping lines and biosecurity staff.</w:t>
      </w:r>
    </w:p>
    <w:p w14:paraId="302ED117" w14:textId="6D7219F8" w:rsidR="00AB0E44" w:rsidRDefault="00361FA3">
      <w:pPr>
        <w:tabs>
          <w:tab w:val="clear" w:pos="567"/>
        </w:tabs>
        <w:spacing w:after="0"/>
        <w:rPr>
          <w:rFonts w:ascii="Calibri" w:hAnsi="Calibri"/>
          <w:lang w:eastAsia="ja-JP"/>
        </w:rPr>
      </w:pPr>
      <w:r>
        <w:rPr>
          <w:rFonts w:ascii="Calibri" w:hAnsi="Calibri"/>
        </w:rPr>
        <w:t xml:space="preserve">The department operates a Vessel Compliance Scheme (VCS) through </w:t>
      </w:r>
      <w:r w:rsidRPr="001D5402">
        <w:rPr>
          <w:rFonts w:ascii="Calibri" w:hAnsi="Calibri"/>
        </w:rPr>
        <w:t>MARS to facilitate risk</w:t>
      </w:r>
      <w:r>
        <w:rPr>
          <w:rFonts w:ascii="Calibri" w:hAnsi="Calibri"/>
        </w:rPr>
        <w:t>-based, targeted</w:t>
      </w:r>
      <w:r>
        <w:rPr>
          <w:rFonts w:ascii="Calibri" w:hAnsi="Calibri"/>
          <w:lang w:eastAsia="en-AU"/>
        </w:rPr>
        <w:t xml:space="preserve"> inspections. Each ship arriving in </w:t>
      </w:r>
      <w:r w:rsidRPr="001D5402">
        <w:rPr>
          <w:rFonts w:ascii="Calibri" w:hAnsi="Calibri"/>
          <w:lang w:eastAsia="en-AU"/>
        </w:rPr>
        <w:t>Australia will require biosecurity inspection unless a risk-based assessment exempts</w:t>
      </w:r>
      <w:r>
        <w:rPr>
          <w:rFonts w:ascii="Calibri" w:hAnsi="Calibri"/>
          <w:lang w:eastAsia="en-AU"/>
        </w:rPr>
        <w:t xml:space="preserve"> that voyage. Under the VCS, vessels</w:t>
      </w:r>
      <w:r>
        <w:rPr>
          <w:rFonts w:ascii="Calibri" w:hAnsi="Calibri"/>
          <w:lang w:eastAsia="ja-JP"/>
        </w:rPr>
        <w:t xml:space="preserve"> have their inspection rate reduced to 40 per cent of voyages if they made at least three voyages to Australia in the </w:t>
      </w:r>
      <w:r w:rsidRPr="001D5402">
        <w:rPr>
          <w:rFonts w:ascii="Calibri" w:hAnsi="Calibri"/>
          <w:lang w:eastAsia="ja-JP"/>
        </w:rPr>
        <w:t xml:space="preserve">previous 12 months </w:t>
      </w:r>
      <w:r w:rsidR="00252921">
        <w:rPr>
          <w:rFonts w:ascii="Calibri" w:hAnsi="Calibri"/>
          <w:lang w:eastAsia="ja-JP"/>
        </w:rPr>
        <w:t>and all voyages had</w:t>
      </w:r>
      <w:r w:rsidRPr="001D5402">
        <w:rPr>
          <w:rFonts w:ascii="Calibri" w:hAnsi="Calibri"/>
          <w:lang w:eastAsia="ja-JP"/>
        </w:rPr>
        <w:t xml:space="preserve"> satisfactory biosecurity compliance.</w:t>
      </w:r>
    </w:p>
    <w:p w14:paraId="0F18274A" w14:textId="4D5B424B" w:rsidR="00AB0E44" w:rsidRDefault="00361FA3">
      <w:pPr>
        <w:tabs>
          <w:tab w:val="clear" w:pos="567"/>
        </w:tabs>
        <w:spacing w:after="0"/>
        <w:rPr>
          <w:rFonts w:ascii="Calibri" w:hAnsi="Calibri"/>
          <w:lang w:eastAsia="ja-JP"/>
        </w:rPr>
      </w:pPr>
      <w:r>
        <w:rPr>
          <w:rFonts w:ascii="Calibri" w:hAnsi="Calibri"/>
          <w:lang w:eastAsia="ja-JP"/>
        </w:rPr>
        <w:t>Demerit points are applied to ships and ships’ masters if inspections reveal problems such as rodent or insect infestations, seeds or other organic matter on deck, failure to clean decks or improper ballast water management. Vessels that incur more than 10 demerit points at one inspection or 20 or more demerit points over three voyages are subsequently subject to the standard 100 per cent inspection rate</w:t>
      </w:r>
      <w:r w:rsidR="00CC6843">
        <w:rPr>
          <w:rFonts w:ascii="Calibri" w:hAnsi="Calibri"/>
          <w:lang w:eastAsia="ja-JP"/>
        </w:rPr>
        <w:t>, until they earn a reduced inspection rate again</w:t>
      </w:r>
      <w:r>
        <w:rPr>
          <w:rFonts w:ascii="Calibri" w:hAnsi="Calibri"/>
          <w:lang w:eastAsia="ja-JP"/>
        </w:rPr>
        <w:t>.</w:t>
      </w:r>
    </w:p>
    <w:p w14:paraId="2CA803BF" w14:textId="410B132F" w:rsidR="00AB0E44" w:rsidRDefault="00361FA3">
      <w:pPr>
        <w:tabs>
          <w:tab w:val="clear" w:pos="567"/>
        </w:tabs>
        <w:spacing w:after="0"/>
        <w:rPr>
          <w:rFonts w:ascii="Calibri" w:hAnsi="Calibri"/>
          <w:lang w:eastAsia="ja-JP"/>
        </w:rPr>
      </w:pPr>
      <w:r>
        <w:rPr>
          <w:rFonts w:ascii="Calibri" w:hAnsi="Calibri"/>
          <w:lang w:eastAsia="ja-JP"/>
        </w:rPr>
        <w:t xml:space="preserve">In 2017, 17,842 vessels entered Australia. Of those, 75 per cent (13,382 vessels) were subject to at least one inspection. The VCS failure rate was 2.7 per cent of total inspections. Naval vessels failed at </w:t>
      </w:r>
      <w:r w:rsidR="00CC6843">
        <w:rPr>
          <w:rFonts w:ascii="Calibri" w:hAnsi="Calibri"/>
          <w:lang w:eastAsia="ja-JP"/>
        </w:rPr>
        <w:t>over</w:t>
      </w:r>
      <w:r>
        <w:rPr>
          <w:rFonts w:ascii="Calibri" w:hAnsi="Calibri"/>
          <w:lang w:eastAsia="ja-JP"/>
        </w:rPr>
        <w:t xml:space="preserve"> twice this rate, and cruise ships failed less than 1 per cent of inspections.</w:t>
      </w:r>
    </w:p>
    <w:p w14:paraId="44A48343" w14:textId="503FCA16" w:rsidR="00AB0E44" w:rsidRPr="001D5402" w:rsidRDefault="00361FA3">
      <w:pPr>
        <w:tabs>
          <w:tab w:val="clear" w:pos="567"/>
        </w:tabs>
        <w:spacing w:after="0"/>
        <w:rPr>
          <w:rFonts w:ascii="Calibri" w:hAnsi="Calibri"/>
          <w:lang w:eastAsia="ja-JP"/>
        </w:rPr>
      </w:pPr>
      <w:r>
        <w:rPr>
          <w:rFonts w:ascii="Calibri" w:hAnsi="Calibri"/>
          <w:lang w:eastAsia="ja-JP"/>
        </w:rPr>
        <w:t xml:space="preserve">MARS and VCS have been well </w:t>
      </w:r>
      <w:r w:rsidRPr="001D5402">
        <w:rPr>
          <w:rFonts w:ascii="Calibri" w:hAnsi="Calibri"/>
          <w:lang w:eastAsia="ja-JP"/>
        </w:rPr>
        <w:t>received by the shipping</w:t>
      </w:r>
      <w:r>
        <w:rPr>
          <w:rFonts w:ascii="Calibri" w:hAnsi="Calibri"/>
          <w:lang w:eastAsia="ja-JP"/>
        </w:rPr>
        <w:t xml:space="preserve"> industry and have improved the department’s ability to manage biosecurity risks. MARS software </w:t>
      </w:r>
      <w:r w:rsidR="00CC6843">
        <w:rPr>
          <w:rFonts w:ascii="Calibri" w:hAnsi="Calibri"/>
          <w:lang w:eastAsia="ja-JP"/>
        </w:rPr>
        <w:t>sh</w:t>
      </w:r>
      <w:r>
        <w:rPr>
          <w:rFonts w:ascii="Calibri" w:hAnsi="Calibri"/>
          <w:lang w:eastAsia="ja-JP"/>
        </w:rPr>
        <w:t xml:space="preserve">ould be improved </w:t>
      </w:r>
      <w:r w:rsidRPr="001D5402">
        <w:rPr>
          <w:rFonts w:ascii="Calibri" w:hAnsi="Calibri"/>
          <w:lang w:eastAsia="ja-JP"/>
        </w:rPr>
        <w:t>to:</w:t>
      </w:r>
    </w:p>
    <w:p w14:paraId="764C891D" w14:textId="7D006AA3" w:rsidR="00AB0E44" w:rsidRDefault="00361FA3" w:rsidP="00BB442A">
      <w:pPr>
        <w:numPr>
          <w:ilvl w:val="0"/>
          <w:numId w:val="6"/>
        </w:numPr>
        <w:tabs>
          <w:tab w:val="clear" w:pos="567"/>
        </w:tabs>
        <w:rPr>
          <w:rFonts w:ascii="Calibri" w:hAnsi="Calibri"/>
        </w:rPr>
      </w:pPr>
      <w:r w:rsidRPr="001D5402">
        <w:rPr>
          <w:rFonts w:ascii="Calibri" w:hAnsi="Calibri"/>
        </w:rPr>
        <w:t>include the ability</w:t>
      </w:r>
      <w:r>
        <w:rPr>
          <w:rFonts w:ascii="Calibri" w:hAnsi="Calibri"/>
        </w:rPr>
        <w:t xml:space="preserve"> to record several previously visited ports rather than just the last port of call so that hitchhiker pest risks can be more accurately assessed</w:t>
      </w:r>
    </w:p>
    <w:p w14:paraId="71350D53" w14:textId="77777777" w:rsidR="00AB0E44" w:rsidRDefault="00361FA3" w:rsidP="00BB442A">
      <w:pPr>
        <w:numPr>
          <w:ilvl w:val="0"/>
          <w:numId w:val="6"/>
        </w:numPr>
        <w:tabs>
          <w:tab w:val="clear" w:pos="567"/>
        </w:tabs>
        <w:rPr>
          <w:rFonts w:ascii="Calibri" w:hAnsi="Calibri"/>
        </w:rPr>
      </w:pPr>
      <w:proofErr w:type="gramStart"/>
      <w:r>
        <w:rPr>
          <w:rFonts w:ascii="Calibri" w:hAnsi="Calibri"/>
        </w:rPr>
        <w:t>prepare</w:t>
      </w:r>
      <w:proofErr w:type="gramEnd"/>
      <w:r>
        <w:rPr>
          <w:rFonts w:ascii="Calibri" w:hAnsi="Calibri"/>
        </w:rPr>
        <w:t xml:space="preserve"> summary reports for departmental decision-makers and operational staff, and industry, </w:t>
      </w:r>
      <w:r w:rsidRPr="001D5402">
        <w:rPr>
          <w:rFonts w:ascii="Calibri" w:hAnsi="Calibri"/>
        </w:rPr>
        <w:t>to facilitate timely</w:t>
      </w:r>
      <w:r>
        <w:rPr>
          <w:rFonts w:ascii="Calibri" w:hAnsi="Calibri"/>
        </w:rPr>
        <w:t xml:space="preserve"> and targeted risk management.</w:t>
      </w:r>
    </w:p>
    <w:p w14:paraId="1B4D29A8" w14:textId="77777777" w:rsidR="00AB0E44" w:rsidRPr="004609A1" w:rsidRDefault="00361FA3">
      <w:pPr>
        <w:keepNext/>
        <w:keepLines/>
        <w:numPr>
          <w:ilvl w:val="0"/>
          <w:numId w:val="30"/>
        </w:numPr>
        <w:tabs>
          <w:tab w:val="clear" w:pos="567"/>
        </w:tabs>
        <w:spacing w:before="240" w:after="0"/>
        <w:ind w:left="567" w:hanging="567"/>
        <w:outlineLvl w:val="2"/>
        <w:rPr>
          <w:rFonts w:ascii="Calibri" w:eastAsia="Times New Roman" w:hAnsi="Calibri"/>
          <w:b/>
          <w:bCs/>
          <w:sz w:val="32"/>
          <w:szCs w:val="24"/>
        </w:rPr>
      </w:pPr>
      <w:r w:rsidRPr="004609A1">
        <w:rPr>
          <w:rFonts w:ascii="Calibri" w:eastAsia="Times New Roman" w:hAnsi="Calibri"/>
          <w:b/>
          <w:bCs/>
          <w:sz w:val="32"/>
          <w:szCs w:val="24"/>
        </w:rPr>
        <w:t>Sea container entry pathway</w:t>
      </w:r>
    </w:p>
    <w:p w14:paraId="7A43D949" w14:textId="77777777" w:rsidR="00AB0E44" w:rsidRDefault="00361FA3">
      <w:pPr>
        <w:tabs>
          <w:tab w:val="clear" w:pos="567"/>
        </w:tabs>
        <w:spacing w:after="0"/>
        <w:rPr>
          <w:rFonts w:ascii="Calibri" w:hAnsi="Calibri"/>
          <w:lang w:eastAsia="ja-JP"/>
        </w:rPr>
      </w:pPr>
      <w:r>
        <w:rPr>
          <w:rFonts w:ascii="Calibri" w:hAnsi="Calibri"/>
          <w:lang w:eastAsia="ja-JP"/>
        </w:rPr>
        <w:t>Hitchhikers and contaminants can be found on the external and internal surfaces of sea containers. High (and increasing) numbers of containers arrive in Australia each year. Almost half come from China, and they mostly arrive at Melbourne, Sydney and Brisbane.</w:t>
      </w:r>
    </w:p>
    <w:p w14:paraId="17F3BBC2" w14:textId="2D10FADE" w:rsidR="00AB0E44" w:rsidRDefault="00361FA3">
      <w:pPr>
        <w:tabs>
          <w:tab w:val="clear" w:pos="567"/>
        </w:tabs>
        <w:spacing w:after="0"/>
        <w:rPr>
          <w:rFonts w:ascii="Calibri" w:hAnsi="Calibri"/>
          <w:lang w:eastAsia="ja-JP"/>
        </w:rPr>
      </w:pPr>
      <w:r>
        <w:rPr>
          <w:rFonts w:ascii="Calibri" w:hAnsi="Calibri"/>
          <w:lang w:eastAsia="ja-JP"/>
        </w:rPr>
        <w:t>Until 2009 the department inspected 100 per cent of containers externally as they left the wharf gate. This was resource-</w:t>
      </w:r>
      <w:r w:rsidRPr="001D5402">
        <w:rPr>
          <w:rFonts w:ascii="Calibri" w:hAnsi="Calibri"/>
          <w:lang w:eastAsia="ja-JP"/>
        </w:rPr>
        <w:t>intensive</w:t>
      </w:r>
      <w:r w:rsidR="001D5402">
        <w:rPr>
          <w:rFonts w:ascii="Calibri" w:hAnsi="Calibri"/>
          <w:lang w:eastAsia="ja-JP"/>
        </w:rPr>
        <w:t>,</w:t>
      </w:r>
      <w:r w:rsidRPr="001D5402">
        <w:rPr>
          <w:rFonts w:ascii="Calibri" w:hAnsi="Calibri"/>
          <w:lang w:eastAsia="ja-JP"/>
        </w:rPr>
        <w:t xml:space="preserve"> and </w:t>
      </w:r>
      <w:r w:rsidR="00252921">
        <w:rPr>
          <w:rFonts w:ascii="Calibri" w:hAnsi="Calibri"/>
          <w:lang w:eastAsia="ja-JP"/>
        </w:rPr>
        <w:t xml:space="preserve">over </w:t>
      </w:r>
      <w:r w:rsidRPr="001D5402">
        <w:rPr>
          <w:rFonts w:ascii="Calibri" w:hAnsi="Calibri"/>
          <w:lang w:eastAsia="ja-JP"/>
        </w:rPr>
        <w:t>98 per cent</w:t>
      </w:r>
      <w:r>
        <w:rPr>
          <w:rFonts w:ascii="Calibri" w:hAnsi="Calibri"/>
          <w:lang w:eastAsia="ja-JP"/>
        </w:rPr>
        <w:t xml:space="preserve"> of containers passed inspection.</w:t>
      </w:r>
    </w:p>
    <w:p w14:paraId="7C76CD3A" w14:textId="77777777" w:rsidR="00AB0E44" w:rsidRDefault="00361FA3" w:rsidP="007B15E0">
      <w:pPr>
        <w:keepNext/>
        <w:keepLines/>
        <w:outlineLvl w:val="3"/>
        <w:rPr>
          <w:rFonts w:ascii="Calibri" w:eastAsia="Times New Roman" w:hAnsi="Calibri"/>
          <w:b/>
          <w:sz w:val="28"/>
          <w:lang w:eastAsia="ja-JP"/>
        </w:rPr>
      </w:pPr>
      <w:r w:rsidRPr="004609A1">
        <w:rPr>
          <w:rFonts w:ascii="Calibri" w:eastAsia="Times New Roman" w:hAnsi="Calibri"/>
          <w:b/>
          <w:sz w:val="28"/>
          <w:lang w:eastAsia="ja-JP"/>
        </w:rPr>
        <w:t>Sea Container Risk Management Policy, 2010–2018</w:t>
      </w:r>
    </w:p>
    <w:p w14:paraId="74AC1C68" w14:textId="77777777" w:rsidR="00AB0E44" w:rsidRDefault="00361FA3">
      <w:pPr>
        <w:rPr>
          <w:rFonts w:ascii="Calibri" w:hAnsi="Calibri"/>
        </w:rPr>
      </w:pPr>
      <w:r>
        <w:rPr>
          <w:rFonts w:ascii="Calibri" w:hAnsi="Calibri"/>
        </w:rPr>
        <w:t xml:space="preserve">In 2010 the department formulated the Sea Container Risk Management Policy (SCRMP). </w:t>
      </w:r>
      <w:r w:rsidRPr="007B15E0">
        <w:rPr>
          <w:rFonts w:ascii="Calibri" w:hAnsi="Calibri"/>
        </w:rPr>
        <w:t>External</w:t>
      </w:r>
      <w:r>
        <w:rPr>
          <w:rFonts w:ascii="Calibri" w:hAnsi="Calibri"/>
          <w:b/>
        </w:rPr>
        <w:t xml:space="preserve"> </w:t>
      </w:r>
      <w:r>
        <w:rPr>
          <w:rFonts w:ascii="Calibri" w:hAnsi="Calibri"/>
        </w:rPr>
        <w:t>contamination risks were to be managed by:</w:t>
      </w:r>
    </w:p>
    <w:p w14:paraId="09CAC92E" w14:textId="0C0BF524" w:rsidR="00AB0E44" w:rsidRDefault="00361FA3">
      <w:pPr>
        <w:numPr>
          <w:ilvl w:val="0"/>
          <w:numId w:val="6"/>
        </w:numPr>
        <w:tabs>
          <w:tab w:val="clear" w:pos="567"/>
        </w:tabs>
        <w:rPr>
          <w:rFonts w:ascii="Calibri" w:hAnsi="Calibri"/>
        </w:rPr>
      </w:pPr>
      <w:r>
        <w:rPr>
          <w:rFonts w:ascii="Calibri" w:hAnsi="Calibri"/>
        </w:rPr>
        <w:t>intensive six-sided on-wharf inspections of all containers that had been last loaded at one of 43 country action list (CAL) countries</w:t>
      </w:r>
      <w:r w:rsidRPr="00B764EE">
        <w:rPr>
          <w:rFonts w:ascii="Calibri" w:hAnsi="Calibri"/>
        </w:rPr>
        <w:t xml:space="preserve"> to find</w:t>
      </w:r>
      <w:r>
        <w:rPr>
          <w:rFonts w:ascii="Calibri" w:hAnsi="Calibri"/>
        </w:rPr>
        <w:t xml:space="preserve"> any giant African snails</w:t>
      </w:r>
      <w:r w:rsidRPr="00A85B71">
        <w:rPr>
          <w:rFonts w:ascii="Calibri" w:hAnsi="Calibri"/>
        </w:rPr>
        <w:t>, other pests</w:t>
      </w:r>
      <w:r w:rsidR="00A85B71">
        <w:rPr>
          <w:rFonts w:ascii="Calibri" w:hAnsi="Calibri"/>
        </w:rPr>
        <w:t xml:space="preserve"> or soil</w:t>
      </w:r>
    </w:p>
    <w:p w14:paraId="4394A5E1" w14:textId="41C81DFA" w:rsidR="00AB0E44" w:rsidRDefault="00361FA3">
      <w:pPr>
        <w:numPr>
          <w:ilvl w:val="0"/>
          <w:numId w:val="6"/>
        </w:numPr>
        <w:tabs>
          <w:tab w:val="clear" w:pos="567"/>
        </w:tabs>
        <w:rPr>
          <w:rFonts w:ascii="Calibri" w:hAnsi="Calibri"/>
        </w:rPr>
      </w:pPr>
      <w:r>
        <w:rPr>
          <w:rFonts w:ascii="Calibri" w:hAnsi="Calibri"/>
        </w:rPr>
        <w:t>three- to four-sided wharf</w:t>
      </w:r>
      <w:r w:rsidR="00E94C59">
        <w:rPr>
          <w:rFonts w:ascii="Calibri" w:hAnsi="Calibri"/>
        </w:rPr>
        <w:t>-</w:t>
      </w:r>
      <w:r>
        <w:rPr>
          <w:rFonts w:ascii="Calibri" w:hAnsi="Calibri"/>
        </w:rPr>
        <w:t>gate inspections of other (non-CAL) containers, initially at a rate of 30 per cent—</w:t>
      </w:r>
      <w:r w:rsidRPr="00B764EE">
        <w:rPr>
          <w:rFonts w:ascii="Calibri" w:hAnsi="Calibri"/>
        </w:rPr>
        <w:t>with this rate intended to reduce</w:t>
      </w:r>
      <w:r>
        <w:rPr>
          <w:rFonts w:ascii="Calibri" w:hAnsi="Calibri"/>
        </w:rPr>
        <w:t xml:space="preserve"> over time based on risk profiling</w:t>
      </w:r>
    </w:p>
    <w:p w14:paraId="38AC7D1C" w14:textId="627C97B8" w:rsidR="00AB0E44" w:rsidRDefault="00361FA3">
      <w:pPr>
        <w:numPr>
          <w:ilvl w:val="0"/>
          <w:numId w:val="6"/>
        </w:numPr>
        <w:tabs>
          <w:tab w:val="clear" w:pos="567"/>
        </w:tabs>
        <w:rPr>
          <w:rFonts w:ascii="Calibri" w:hAnsi="Calibri"/>
        </w:rPr>
      </w:pPr>
      <w:r>
        <w:rPr>
          <w:rFonts w:ascii="Calibri" w:hAnsi="Calibri"/>
        </w:rPr>
        <w:t>wharf-gate inspections of all containers to be moved from ports by rail or truck through rural areas to any destination (known as rural transit inspections)</w:t>
      </w:r>
    </w:p>
    <w:p w14:paraId="37A45BBB" w14:textId="35DB00EA" w:rsidR="003A3D2E" w:rsidRDefault="003A3D2E" w:rsidP="003A3D2E">
      <w:pPr>
        <w:numPr>
          <w:ilvl w:val="0"/>
          <w:numId w:val="6"/>
        </w:numPr>
        <w:tabs>
          <w:tab w:val="clear" w:pos="567"/>
        </w:tabs>
        <w:rPr>
          <w:rFonts w:ascii="Calibri" w:hAnsi="Calibri"/>
        </w:rPr>
      </w:pPr>
      <w:r>
        <w:rPr>
          <w:rFonts w:ascii="Calibri" w:hAnsi="Calibri"/>
        </w:rPr>
        <w:t>rural tailgate inspections—external and internal (tailgate) inspection of all containers to be moved to a rural postcode, done at the wharf or an approved arrangement</w:t>
      </w:r>
      <w:r w:rsidR="00E13B9E">
        <w:rPr>
          <w:rFonts w:ascii="Calibri" w:hAnsi="Calibri"/>
        </w:rPr>
        <w:t xml:space="preserve"> site</w:t>
      </w:r>
    </w:p>
    <w:p w14:paraId="4C4862E1" w14:textId="77777777" w:rsidR="00AB0E44" w:rsidRDefault="00361FA3">
      <w:pPr>
        <w:rPr>
          <w:rFonts w:ascii="Calibri" w:hAnsi="Calibri"/>
        </w:rPr>
      </w:pPr>
      <w:r w:rsidRPr="007B15E0">
        <w:rPr>
          <w:rFonts w:ascii="Calibri" w:hAnsi="Calibri"/>
        </w:rPr>
        <w:t>Internal</w:t>
      </w:r>
      <w:r>
        <w:rPr>
          <w:rFonts w:ascii="Calibri" w:hAnsi="Calibri"/>
          <w:b/>
        </w:rPr>
        <w:t xml:space="preserve"> </w:t>
      </w:r>
      <w:r>
        <w:rPr>
          <w:rFonts w:ascii="Calibri" w:hAnsi="Calibri"/>
        </w:rPr>
        <w:t>contamination risks were to be managed largely by:</w:t>
      </w:r>
    </w:p>
    <w:p w14:paraId="53C9A073" w14:textId="5D1CD977" w:rsidR="003A3D2E" w:rsidRDefault="003A3D2E">
      <w:pPr>
        <w:numPr>
          <w:ilvl w:val="0"/>
          <w:numId w:val="6"/>
        </w:numPr>
        <w:tabs>
          <w:tab w:val="clear" w:pos="567"/>
        </w:tabs>
        <w:rPr>
          <w:rFonts w:ascii="Calibri" w:hAnsi="Calibri"/>
        </w:rPr>
      </w:pPr>
      <w:r>
        <w:rPr>
          <w:rFonts w:ascii="Calibri" w:hAnsi="Calibri"/>
        </w:rPr>
        <w:t>rural tailgate inspections, as noted above</w:t>
      </w:r>
    </w:p>
    <w:p w14:paraId="56C889B0" w14:textId="77777777" w:rsidR="00AB0E44" w:rsidRDefault="00361FA3">
      <w:pPr>
        <w:numPr>
          <w:ilvl w:val="0"/>
          <w:numId w:val="6"/>
        </w:numPr>
        <w:tabs>
          <w:tab w:val="clear" w:pos="567"/>
        </w:tabs>
        <w:rPr>
          <w:rFonts w:ascii="Calibri" w:hAnsi="Calibri"/>
        </w:rPr>
      </w:pPr>
      <w:proofErr w:type="gramStart"/>
      <w:r>
        <w:rPr>
          <w:rFonts w:ascii="Calibri" w:hAnsi="Calibri"/>
        </w:rPr>
        <w:t>empty</w:t>
      </w:r>
      <w:proofErr w:type="gramEnd"/>
      <w:r>
        <w:rPr>
          <w:rFonts w:ascii="Calibri" w:hAnsi="Calibri"/>
        </w:rPr>
        <w:t xml:space="preserve"> container surveillance—targeted inspection of empty containers leaving the wharf or at container parks by industry-based authorised officers.</w:t>
      </w:r>
    </w:p>
    <w:p w14:paraId="66570B96" w14:textId="77FADAE9" w:rsidR="00AB0E44" w:rsidRDefault="00361FA3">
      <w:pPr>
        <w:tabs>
          <w:tab w:val="clear" w:pos="567"/>
        </w:tabs>
        <w:spacing w:after="0"/>
        <w:rPr>
          <w:rFonts w:ascii="Calibri" w:hAnsi="Calibri"/>
          <w:lang w:eastAsia="ja-JP"/>
        </w:rPr>
      </w:pPr>
      <w:r>
        <w:rPr>
          <w:rFonts w:ascii="Calibri" w:hAnsi="Calibri"/>
          <w:lang w:eastAsia="ja-JP"/>
        </w:rPr>
        <w:t>Containers failing any of these inspections would be referred for external and/or internal cleaning or treatment as required and then reinspected and released (if no more pests or contaminants were found).</w:t>
      </w:r>
    </w:p>
    <w:p w14:paraId="346473DA" w14:textId="5F3A81D3" w:rsidR="00AB0E44" w:rsidRDefault="00361FA3" w:rsidP="007B15E0">
      <w:pPr>
        <w:rPr>
          <w:lang w:eastAsia="ja-JP"/>
        </w:rPr>
      </w:pPr>
      <w:r>
        <w:t>In 2010 the department implemented the offshore Sea Container Hygiene System (SCHS), which had been developed by New Zealand in 2006</w:t>
      </w:r>
      <w:r>
        <w:rPr>
          <w:lang w:eastAsia="ja-JP"/>
        </w:rPr>
        <w:t xml:space="preserve">. Participating shipping lines operating out of some Pacific region CAL countries work with their port authorities to implement agreed pre-export container washing, inspection, </w:t>
      </w:r>
      <w:proofErr w:type="gramStart"/>
      <w:r>
        <w:rPr>
          <w:lang w:eastAsia="ja-JP"/>
        </w:rPr>
        <w:t>treatment</w:t>
      </w:r>
      <w:proofErr w:type="gramEnd"/>
      <w:r>
        <w:rPr>
          <w:lang w:eastAsia="ja-JP"/>
        </w:rPr>
        <w:t xml:space="preserve"> and storage protocols. The department reduce</w:t>
      </w:r>
      <w:r w:rsidR="008F5DD2">
        <w:rPr>
          <w:lang w:eastAsia="ja-JP"/>
        </w:rPr>
        <w:t>d</w:t>
      </w:r>
      <w:r>
        <w:rPr>
          <w:lang w:eastAsia="ja-JP"/>
        </w:rPr>
        <w:t xml:space="preserve"> inspection </w:t>
      </w:r>
      <w:r w:rsidR="00D02424">
        <w:rPr>
          <w:lang w:eastAsia="ja-JP"/>
        </w:rPr>
        <w:t>rates</w:t>
      </w:r>
      <w:r>
        <w:rPr>
          <w:lang w:eastAsia="ja-JP"/>
        </w:rPr>
        <w:t xml:space="preserve"> for shipments of CAL containers that </w:t>
      </w:r>
      <w:r w:rsidR="00D02424">
        <w:rPr>
          <w:lang w:eastAsia="ja-JP"/>
        </w:rPr>
        <w:t>are</w:t>
      </w:r>
      <w:r>
        <w:rPr>
          <w:lang w:eastAsia="ja-JP"/>
        </w:rPr>
        <w:t xml:space="preserve"> SCHS complian</w:t>
      </w:r>
      <w:r w:rsidR="00D02424">
        <w:rPr>
          <w:lang w:eastAsia="ja-JP"/>
        </w:rPr>
        <w:t>t</w:t>
      </w:r>
      <w:r>
        <w:rPr>
          <w:lang w:eastAsia="ja-JP"/>
        </w:rPr>
        <w:t>.</w:t>
      </w:r>
    </w:p>
    <w:p w14:paraId="0CBD3D6D" w14:textId="77777777" w:rsidR="00AB0E44" w:rsidRDefault="00361FA3">
      <w:pPr>
        <w:keepNext/>
        <w:keepLines/>
        <w:spacing w:before="200"/>
        <w:outlineLvl w:val="4"/>
        <w:rPr>
          <w:rFonts w:ascii="Calibri" w:eastAsia="Times New Roman" w:hAnsi="Calibri"/>
          <w:b/>
          <w:i/>
        </w:rPr>
      </w:pPr>
      <w:r w:rsidRPr="004609A1">
        <w:rPr>
          <w:rFonts w:ascii="Calibri" w:eastAsia="Times New Roman" w:hAnsi="Calibri"/>
          <w:b/>
          <w:i/>
        </w:rPr>
        <w:t>Implementation and results</w:t>
      </w:r>
    </w:p>
    <w:p w14:paraId="52EA4029" w14:textId="77777777" w:rsidR="00AB0E44" w:rsidRDefault="00361FA3">
      <w:pPr>
        <w:tabs>
          <w:tab w:val="clear" w:pos="567"/>
        </w:tabs>
        <w:spacing w:after="0"/>
        <w:rPr>
          <w:rFonts w:ascii="Calibri" w:hAnsi="Calibri"/>
          <w:lang w:eastAsia="ja-JP"/>
        </w:rPr>
      </w:pPr>
      <w:r>
        <w:rPr>
          <w:rFonts w:ascii="Calibri" w:hAnsi="Calibri"/>
        </w:rPr>
        <w:t xml:space="preserve">Between 2014 and 2017, 11.3 million containers were imported into Australia. Of those, 10.7 per cent (1.2 million) were inspected in some way and </w:t>
      </w:r>
      <w:r>
        <w:rPr>
          <w:rFonts w:ascii="Calibri" w:hAnsi="Calibri"/>
          <w:lang w:eastAsia="ja-JP"/>
        </w:rPr>
        <w:t>1.9 per cent (22,260) were found to be contaminated</w:t>
      </w:r>
      <w:r>
        <w:rPr>
          <w:rFonts w:ascii="Calibri" w:hAnsi="Calibri"/>
        </w:rPr>
        <w:t>.</w:t>
      </w:r>
    </w:p>
    <w:p w14:paraId="7FAC3C42" w14:textId="2C949FA8" w:rsidR="00AB0E44" w:rsidRDefault="00361FA3">
      <w:pPr>
        <w:tabs>
          <w:tab w:val="clear" w:pos="567"/>
        </w:tabs>
        <w:spacing w:after="0"/>
        <w:rPr>
          <w:rFonts w:ascii="Calibri" w:hAnsi="Calibri"/>
          <w:lang w:eastAsia="ja-JP"/>
        </w:rPr>
      </w:pPr>
      <w:r>
        <w:rPr>
          <w:rFonts w:ascii="Calibri" w:hAnsi="Calibri"/>
        </w:rPr>
        <w:t xml:space="preserve">CAL containers made up only 2.5 per cent of all containers entering Australia </w:t>
      </w:r>
      <w:r>
        <w:rPr>
          <w:rFonts w:ascii="Calibri" w:hAnsi="Calibri"/>
          <w:lang w:eastAsia="ja-JP"/>
        </w:rPr>
        <w:t xml:space="preserve">between 2009–10 and 2016–17, but the department’s intensive inspections found that 20 per cent of those were contaminated. However, the proportion found to be contaminated halved over the period, indicating that the SCHS was leading to a gradual reduction </w:t>
      </w:r>
      <w:r w:rsidR="00B73608">
        <w:rPr>
          <w:rFonts w:ascii="Calibri" w:hAnsi="Calibri"/>
          <w:lang w:eastAsia="ja-JP"/>
        </w:rPr>
        <w:t xml:space="preserve">in </w:t>
      </w:r>
      <w:r>
        <w:rPr>
          <w:rFonts w:ascii="Calibri" w:hAnsi="Calibri"/>
          <w:lang w:eastAsia="ja-JP"/>
        </w:rPr>
        <w:t>the number of contaminated containers arriving in Australia.</w:t>
      </w:r>
    </w:p>
    <w:p w14:paraId="0D90A83D" w14:textId="1D07C79C" w:rsidR="00AB0E44" w:rsidRDefault="00361FA3">
      <w:pPr>
        <w:tabs>
          <w:tab w:val="clear" w:pos="567"/>
        </w:tabs>
        <w:spacing w:after="0"/>
        <w:rPr>
          <w:rFonts w:ascii="Calibri" w:hAnsi="Calibri"/>
        </w:rPr>
      </w:pPr>
      <w:r>
        <w:rPr>
          <w:rFonts w:ascii="Calibri" w:hAnsi="Calibri"/>
        </w:rPr>
        <w:t>Wharf-gate inspections of non-CAL containers declined from 30 per cent in</w:t>
      </w:r>
      <w:r>
        <w:rPr>
          <w:rFonts w:ascii="Calibri" w:hAnsi="Calibri"/>
          <w:lang w:eastAsia="ja-JP"/>
        </w:rPr>
        <w:t xml:space="preserve"> 2010 to less than 5 per cent in 2017. This was apparently </w:t>
      </w:r>
      <w:r w:rsidRPr="00B764EE">
        <w:rPr>
          <w:rFonts w:ascii="Calibri" w:hAnsi="Calibri"/>
          <w:lang w:eastAsia="ja-JP"/>
        </w:rPr>
        <w:t>due to insufficient availability of inspection resources</w:t>
      </w:r>
      <w:r>
        <w:rPr>
          <w:rFonts w:ascii="Calibri" w:hAnsi="Calibri"/>
          <w:lang w:eastAsia="ja-JP"/>
        </w:rPr>
        <w:t xml:space="preserve"> to service the SCRMP policy rather than results of risk profiling. In 2015–16, 8.9 per cent of 2.7 million non-CAL containers were externally inspected. Of those, 0.7 per cent were found to have high-level contamination, especially with soil and/or plant material. In 2015–16 and 2016–17, 5.7 million containers were released uninspected. It is likely that at least 42,000 of these were highly contaminated, presenting unmitigated </w:t>
      </w:r>
      <w:r w:rsidR="00A31994">
        <w:rPr>
          <w:rFonts w:ascii="Calibri" w:hAnsi="Calibri"/>
          <w:lang w:eastAsia="ja-JP"/>
        </w:rPr>
        <w:t>potential</w:t>
      </w:r>
      <w:r w:rsidR="00D028D6">
        <w:rPr>
          <w:rFonts w:ascii="Calibri" w:hAnsi="Calibri"/>
          <w:lang w:eastAsia="ja-JP"/>
        </w:rPr>
        <w:t>ly</w:t>
      </w:r>
      <w:r w:rsidR="00A31994">
        <w:rPr>
          <w:rFonts w:ascii="Calibri" w:hAnsi="Calibri"/>
          <w:lang w:eastAsia="ja-JP"/>
        </w:rPr>
        <w:t xml:space="preserve"> </w:t>
      </w:r>
      <w:r w:rsidR="00D028D6">
        <w:rPr>
          <w:rFonts w:ascii="Calibri" w:hAnsi="Calibri"/>
          <w:lang w:eastAsia="ja-JP"/>
        </w:rPr>
        <w:t xml:space="preserve">serious </w:t>
      </w:r>
      <w:r>
        <w:rPr>
          <w:rFonts w:ascii="Calibri" w:hAnsi="Calibri"/>
          <w:lang w:eastAsia="ja-JP"/>
        </w:rPr>
        <w:t>biosecurity risks.</w:t>
      </w:r>
    </w:p>
    <w:p w14:paraId="0192F42C" w14:textId="0AD09984" w:rsidR="00AB0E44" w:rsidRDefault="00361FA3">
      <w:pPr>
        <w:tabs>
          <w:tab w:val="clear" w:pos="567"/>
        </w:tabs>
        <w:spacing w:after="0"/>
        <w:rPr>
          <w:rFonts w:ascii="Calibri" w:hAnsi="Calibri"/>
          <w:lang w:eastAsia="ja-JP"/>
        </w:rPr>
      </w:pPr>
      <w:r>
        <w:rPr>
          <w:rFonts w:ascii="Calibri" w:hAnsi="Calibri"/>
        </w:rPr>
        <w:t xml:space="preserve">Rural transit inspections were </w:t>
      </w:r>
      <w:r w:rsidRPr="00B764EE">
        <w:rPr>
          <w:rFonts w:ascii="Calibri" w:hAnsi="Calibri"/>
        </w:rPr>
        <w:t xml:space="preserve">rarely implemented </w:t>
      </w:r>
      <w:r w:rsidR="00B73608" w:rsidRPr="00B764EE">
        <w:rPr>
          <w:rFonts w:ascii="Calibri" w:hAnsi="Calibri"/>
        </w:rPr>
        <w:t xml:space="preserve">because of </w:t>
      </w:r>
      <w:r w:rsidRPr="00B764EE">
        <w:rPr>
          <w:rFonts w:ascii="Calibri" w:hAnsi="Calibri"/>
          <w:lang w:eastAsia="ja-JP"/>
        </w:rPr>
        <w:t>resource constraints</w:t>
      </w:r>
      <w:r>
        <w:rPr>
          <w:rFonts w:ascii="Calibri" w:hAnsi="Calibri"/>
          <w:lang w:eastAsia="ja-JP"/>
        </w:rPr>
        <w:t xml:space="preserve"> and difficulties in profiling containers. As a result, the risk of hitchhiker pests and contaminants being released into the environment during container transport through rural areas remained unmitigated.</w:t>
      </w:r>
      <w:r w:rsidR="00F21B3D">
        <w:rPr>
          <w:rFonts w:ascii="Calibri" w:hAnsi="Calibri"/>
          <w:lang w:eastAsia="ja-JP"/>
        </w:rPr>
        <w:t xml:space="preserve"> It is unclear how many containers underwent rural transit.</w:t>
      </w:r>
    </w:p>
    <w:p w14:paraId="7DADDE73" w14:textId="49841146" w:rsidR="00AB0E44" w:rsidRDefault="00361FA3">
      <w:pPr>
        <w:tabs>
          <w:tab w:val="clear" w:pos="567"/>
        </w:tabs>
        <w:spacing w:after="0"/>
        <w:rPr>
          <w:rFonts w:ascii="Calibri" w:hAnsi="Calibri"/>
          <w:lang w:eastAsia="ja-JP"/>
        </w:rPr>
      </w:pPr>
      <w:r>
        <w:rPr>
          <w:rFonts w:ascii="Calibri" w:hAnsi="Calibri"/>
        </w:rPr>
        <w:t>Rural tailgate inspections for internal contamination were applied to all containers destined</w:t>
      </w:r>
      <w:r>
        <w:rPr>
          <w:rFonts w:ascii="Calibri" w:hAnsi="Calibri"/>
          <w:lang w:eastAsia="ja-JP"/>
        </w:rPr>
        <w:t xml:space="preserve"> for rural postcodes, but the number of rural postcodes has decreased with progressive peri-urban development. Between 2012–13 and 2016–17 the department conducted about 265,000 rural </w:t>
      </w:r>
      <w:r w:rsidR="00A31994">
        <w:rPr>
          <w:rFonts w:ascii="Calibri" w:hAnsi="Calibri"/>
          <w:lang w:eastAsia="ja-JP"/>
        </w:rPr>
        <w:t xml:space="preserve">tailgate </w:t>
      </w:r>
      <w:r>
        <w:rPr>
          <w:rFonts w:ascii="Calibri" w:hAnsi="Calibri"/>
          <w:lang w:eastAsia="ja-JP"/>
        </w:rPr>
        <w:t>inspections. Of those, 12.4 per cent (32,860) were non-compliant. In 2015–16</w:t>
      </w:r>
      <w:r w:rsidR="005738AB">
        <w:rPr>
          <w:rFonts w:ascii="Calibri" w:hAnsi="Calibri"/>
          <w:lang w:eastAsia="ja-JP"/>
        </w:rPr>
        <w:t>,</w:t>
      </w:r>
      <w:r>
        <w:rPr>
          <w:rFonts w:ascii="Calibri" w:hAnsi="Calibri"/>
          <w:lang w:eastAsia="ja-JP"/>
        </w:rPr>
        <w:t xml:space="preserve"> 15.6 per cent (</w:t>
      </w:r>
      <w:r w:rsidR="00201096">
        <w:rPr>
          <w:rFonts w:ascii="Calibri" w:hAnsi="Calibri"/>
          <w:lang w:eastAsia="ja-JP"/>
        </w:rPr>
        <w:t>8</w:t>
      </w:r>
      <w:r>
        <w:rPr>
          <w:rFonts w:ascii="Calibri" w:hAnsi="Calibri"/>
          <w:lang w:eastAsia="ja-JP"/>
        </w:rPr>
        <w:t>,</w:t>
      </w:r>
      <w:r w:rsidR="00201096">
        <w:rPr>
          <w:rFonts w:ascii="Calibri" w:hAnsi="Calibri"/>
          <w:lang w:eastAsia="ja-JP"/>
        </w:rPr>
        <w:t>147</w:t>
      </w:r>
      <w:r>
        <w:rPr>
          <w:rFonts w:ascii="Calibri" w:hAnsi="Calibri"/>
          <w:lang w:eastAsia="ja-JP"/>
        </w:rPr>
        <w:t xml:space="preserve">) were non-compliant—possibly indicating </w:t>
      </w:r>
      <w:r w:rsidR="00472E30">
        <w:rPr>
          <w:rFonts w:ascii="Calibri" w:hAnsi="Calibri"/>
          <w:lang w:eastAsia="ja-JP"/>
        </w:rPr>
        <w:t xml:space="preserve">that </w:t>
      </w:r>
      <w:r>
        <w:rPr>
          <w:rFonts w:ascii="Calibri" w:hAnsi="Calibri"/>
          <w:lang w:eastAsia="ja-JP"/>
        </w:rPr>
        <w:t xml:space="preserve">the </w:t>
      </w:r>
      <w:r w:rsidR="00472E30">
        <w:rPr>
          <w:rFonts w:ascii="Calibri" w:hAnsi="Calibri"/>
          <w:lang w:eastAsia="ja-JP"/>
        </w:rPr>
        <w:t xml:space="preserve">internal </w:t>
      </w:r>
      <w:r>
        <w:rPr>
          <w:rFonts w:ascii="Calibri" w:hAnsi="Calibri"/>
          <w:lang w:eastAsia="ja-JP"/>
        </w:rPr>
        <w:t>contamination rate across all containers is increasing.</w:t>
      </w:r>
    </w:p>
    <w:p w14:paraId="123BD0E6" w14:textId="77777777" w:rsidR="00AB0E44" w:rsidRDefault="00361FA3">
      <w:pPr>
        <w:keepNext/>
        <w:keepLines/>
        <w:outlineLvl w:val="3"/>
        <w:rPr>
          <w:rFonts w:ascii="Calibri" w:eastAsia="Times New Roman" w:hAnsi="Calibri"/>
          <w:b/>
          <w:sz w:val="28"/>
          <w:lang w:eastAsia="ja-JP"/>
        </w:rPr>
      </w:pPr>
      <w:r w:rsidRPr="004609A1">
        <w:rPr>
          <w:rFonts w:ascii="Calibri" w:eastAsia="Times New Roman" w:hAnsi="Calibri"/>
          <w:b/>
          <w:sz w:val="28"/>
          <w:lang w:eastAsia="ja-JP"/>
        </w:rPr>
        <w:t>Integrated risk and compliance model</w:t>
      </w:r>
    </w:p>
    <w:p w14:paraId="1BC9D4F5" w14:textId="09EEE112" w:rsidR="00AB0E44" w:rsidRDefault="00361FA3">
      <w:pPr>
        <w:tabs>
          <w:tab w:val="clear" w:pos="567"/>
        </w:tabs>
        <w:spacing w:after="0"/>
        <w:rPr>
          <w:rFonts w:ascii="Calibri" w:hAnsi="Calibri"/>
          <w:lang w:eastAsia="ja-JP"/>
        </w:rPr>
      </w:pPr>
      <w:r>
        <w:rPr>
          <w:rFonts w:ascii="Calibri" w:hAnsi="Calibri"/>
        </w:rPr>
        <w:t>The department is developing an integrated risk and compliance model (IRCM) to manage sea container biosecurity risks. Under the IRCM, the CAL country</w:t>
      </w:r>
      <w:r>
        <w:rPr>
          <w:rFonts w:ascii="Calibri" w:hAnsi="Calibri"/>
          <w:lang w:eastAsia="ja-JP"/>
        </w:rPr>
        <w:t xml:space="preserve"> rating of high or low external risk will be replaced. The external risk of each container will be rated as high, medium or low based on recent history of detections of all hitchhikers and contaminants in</w:t>
      </w:r>
      <w:r w:rsidR="003A3D2E">
        <w:rPr>
          <w:rFonts w:ascii="Calibri" w:hAnsi="Calibri"/>
          <w:lang w:eastAsia="ja-JP"/>
        </w:rPr>
        <w:t xml:space="preserve"> its</w:t>
      </w:r>
      <w:r>
        <w:rPr>
          <w:rFonts w:ascii="Calibri" w:hAnsi="Calibri"/>
          <w:lang w:eastAsia="ja-JP"/>
        </w:rPr>
        <w:t xml:space="preserve"> country and port of origin. All high-risk containers and 50 per cent of medium-risk containers will be subject to six-sided inspection, and </w:t>
      </w:r>
      <w:r>
        <w:rPr>
          <w:rFonts w:ascii="Calibri" w:hAnsi="Calibri"/>
        </w:rPr>
        <w:t>5 per cent of low-risk containers destined for non-rural postcodes will be subject to wharf-gate inspections.</w:t>
      </w:r>
    </w:p>
    <w:p w14:paraId="28FB86D5" w14:textId="5147E456" w:rsidR="00AB0E44" w:rsidRDefault="00361FA3">
      <w:pPr>
        <w:tabs>
          <w:tab w:val="clear" w:pos="567"/>
        </w:tabs>
        <w:spacing w:after="0"/>
        <w:rPr>
          <w:rFonts w:ascii="Calibri" w:hAnsi="Calibri"/>
          <w:lang w:eastAsia="ja-JP"/>
        </w:rPr>
      </w:pPr>
      <w:r>
        <w:rPr>
          <w:rFonts w:ascii="Calibri" w:hAnsi="Calibri"/>
        </w:rPr>
        <w:t>Containers destined for rural destinations will be classed as high- or low-risk based on external</w:t>
      </w:r>
      <w:r>
        <w:rPr>
          <w:rFonts w:ascii="Calibri" w:hAnsi="Calibri"/>
          <w:lang w:eastAsia="ja-JP"/>
        </w:rPr>
        <w:t xml:space="preserve"> risk profiles </w:t>
      </w:r>
      <w:r w:rsidR="00D028D6">
        <w:rPr>
          <w:rFonts w:ascii="Calibri" w:hAnsi="Calibri"/>
          <w:lang w:eastAsia="ja-JP"/>
        </w:rPr>
        <w:t xml:space="preserve">of country and port of origin </w:t>
      </w:r>
      <w:r>
        <w:rPr>
          <w:rFonts w:ascii="Calibri" w:hAnsi="Calibri"/>
          <w:lang w:eastAsia="ja-JP"/>
        </w:rPr>
        <w:t xml:space="preserve">and historical non-compliance data for internal contamination. Low-risk containers </w:t>
      </w:r>
      <w:r w:rsidR="009050BD">
        <w:rPr>
          <w:rFonts w:ascii="Calibri" w:hAnsi="Calibri"/>
          <w:lang w:eastAsia="ja-JP"/>
        </w:rPr>
        <w:t xml:space="preserve">can </w:t>
      </w:r>
      <w:r>
        <w:rPr>
          <w:rFonts w:ascii="Calibri" w:hAnsi="Calibri"/>
          <w:lang w:eastAsia="ja-JP"/>
        </w:rPr>
        <w:t>be inspected by approved persons at approved facilities (potentially halving the inspection burden for biosecurity inspectors and reducing cost to industry). High-risk containers will continue to be inspected by biosecurity officers at wharves or approved arrangement sites.</w:t>
      </w:r>
    </w:p>
    <w:p w14:paraId="54706C53" w14:textId="0A36A550" w:rsidR="00AB0E44" w:rsidRDefault="00361FA3">
      <w:pPr>
        <w:tabs>
          <w:tab w:val="clear" w:pos="567"/>
        </w:tabs>
        <w:spacing w:after="0"/>
        <w:rPr>
          <w:rFonts w:ascii="Calibri" w:hAnsi="Calibri"/>
          <w:lang w:eastAsia="ja-JP"/>
        </w:rPr>
      </w:pPr>
      <w:r>
        <w:rPr>
          <w:rFonts w:ascii="Calibri" w:hAnsi="Calibri"/>
          <w:lang w:eastAsia="ja-JP"/>
        </w:rPr>
        <w:t>Modelling of the potential impact of the IRCM using past data showed that it could have captured 60 per cent more high-level contamination and reduced departmental inspection costs by about 8 per cent. In 2014–15 an extra 26,000 six-sided inspections and 100,000 fewer wharf-gate inspections would have been carried out. However,</w:t>
      </w:r>
      <w:r w:rsidR="00D028D6">
        <w:rPr>
          <w:rFonts w:ascii="Calibri" w:hAnsi="Calibri"/>
          <w:lang w:eastAsia="ja-JP"/>
        </w:rPr>
        <w:t xml:space="preserve"> </w:t>
      </w:r>
      <w:r>
        <w:rPr>
          <w:rFonts w:ascii="Calibri" w:hAnsi="Calibri"/>
          <w:lang w:eastAsia="ja-JP"/>
        </w:rPr>
        <w:t>wharf-gate inspections</w:t>
      </w:r>
      <w:r w:rsidR="00D028D6">
        <w:rPr>
          <w:rFonts w:ascii="Calibri" w:hAnsi="Calibri"/>
          <w:lang w:eastAsia="ja-JP"/>
        </w:rPr>
        <w:t xml:space="preserve"> have already dropped below 5 per cent, so the policy will not lead to further savings.</w:t>
      </w:r>
    </w:p>
    <w:p w14:paraId="77F888E9" w14:textId="77777777" w:rsidR="00AB0E44" w:rsidRPr="007B15E0" w:rsidRDefault="00361FA3">
      <w:pPr>
        <w:keepNext/>
        <w:keepLines/>
        <w:spacing w:before="200"/>
        <w:outlineLvl w:val="4"/>
        <w:rPr>
          <w:rFonts w:ascii="Calibri" w:eastAsia="Times New Roman" w:hAnsi="Calibri"/>
          <w:b/>
          <w:i/>
        </w:rPr>
      </w:pPr>
      <w:r w:rsidRPr="004609A1">
        <w:rPr>
          <w:rFonts w:ascii="Calibri" w:eastAsia="Times New Roman" w:hAnsi="Calibri"/>
          <w:b/>
          <w:i/>
        </w:rPr>
        <w:t>Upgrading S-Cargo software to profile and manage sea containers</w:t>
      </w:r>
    </w:p>
    <w:p w14:paraId="14A94DE8" w14:textId="6D70927A" w:rsidR="00AB0E44" w:rsidRDefault="00361FA3">
      <w:pPr>
        <w:tabs>
          <w:tab w:val="clear" w:pos="567"/>
        </w:tabs>
        <w:spacing w:after="0"/>
        <w:rPr>
          <w:rFonts w:ascii="Calibri" w:hAnsi="Calibri"/>
          <w:lang w:eastAsia="ja-JP"/>
        </w:rPr>
      </w:pPr>
      <w:r>
        <w:rPr>
          <w:rFonts w:ascii="Calibri" w:hAnsi="Calibri"/>
          <w:lang w:eastAsia="ja-JP"/>
        </w:rPr>
        <w:t xml:space="preserve">Biosecurity officers </w:t>
      </w:r>
      <w:r w:rsidR="009E08C9">
        <w:rPr>
          <w:rFonts w:ascii="Calibri" w:hAnsi="Calibri"/>
          <w:lang w:eastAsia="ja-JP"/>
        </w:rPr>
        <w:t xml:space="preserve">who are </w:t>
      </w:r>
      <w:r>
        <w:rPr>
          <w:rFonts w:ascii="Calibri" w:hAnsi="Calibri"/>
          <w:lang w:eastAsia="ja-JP"/>
        </w:rPr>
        <w:t xml:space="preserve">profiling and managing sea containers for external and internal biosecurity risk mitigation </w:t>
      </w:r>
      <w:r w:rsidR="00301951">
        <w:rPr>
          <w:rFonts w:ascii="Calibri" w:hAnsi="Calibri"/>
          <w:lang w:eastAsia="ja-JP"/>
        </w:rPr>
        <w:t xml:space="preserve">currently </w:t>
      </w:r>
      <w:r>
        <w:rPr>
          <w:rFonts w:ascii="Calibri" w:hAnsi="Calibri"/>
          <w:lang w:eastAsia="ja-JP"/>
        </w:rPr>
        <w:t>access the Australian Government Department of Home Affairs</w:t>
      </w:r>
      <w:r w:rsidR="00E94957">
        <w:rPr>
          <w:rFonts w:ascii="Calibri" w:hAnsi="Calibri"/>
          <w:lang w:eastAsia="ja-JP"/>
        </w:rPr>
        <w:t>’</w:t>
      </w:r>
      <w:r>
        <w:rPr>
          <w:rFonts w:ascii="Calibri" w:hAnsi="Calibri"/>
          <w:lang w:eastAsia="ja-JP"/>
        </w:rPr>
        <w:t xml:space="preserve"> Integrated Cargo System (ICS) via the Department of Agriculture and Water Resources</w:t>
      </w:r>
      <w:r w:rsidR="00E94957">
        <w:rPr>
          <w:rFonts w:ascii="Calibri" w:hAnsi="Calibri"/>
          <w:lang w:eastAsia="ja-JP"/>
        </w:rPr>
        <w:t>’</w:t>
      </w:r>
      <w:r>
        <w:rPr>
          <w:rFonts w:ascii="Calibri" w:hAnsi="Calibri"/>
          <w:lang w:eastAsia="ja-JP"/>
        </w:rPr>
        <w:t xml:space="preserve"> S-Cargo software program. The department is </w:t>
      </w:r>
      <w:r w:rsidR="00D028D6">
        <w:rPr>
          <w:rFonts w:ascii="Calibri" w:hAnsi="Calibri"/>
          <w:lang w:eastAsia="ja-JP"/>
        </w:rPr>
        <w:t>upgrading</w:t>
      </w:r>
      <w:r>
        <w:rPr>
          <w:rFonts w:ascii="Calibri" w:hAnsi="Calibri"/>
          <w:lang w:eastAsia="ja-JP"/>
        </w:rPr>
        <w:t xml:space="preserve"> S-Cargo so it can implement the IR</w:t>
      </w:r>
      <w:r w:rsidR="00E94957">
        <w:rPr>
          <w:rFonts w:ascii="Calibri" w:hAnsi="Calibri"/>
          <w:lang w:eastAsia="ja-JP"/>
        </w:rPr>
        <w:t>C</w:t>
      </w:r>
      <w:r>
        <w:rPr>
          <w:rFonts w:ascii="Calibri" w:hAnsi="Calibri"/>
          <w:lang w:eastAsia="ja-JP"/>
        </w:rPr>
        <w:t xml:space="preserve">M policy. </w:t>
      </w:r>
      <w:r w:rsidRPr="00A85B71">
        <w:rPr>
          <w:rFonts w:ascii="Calibri" w:hAnsi="Calibri"/>
          <w:lang w:eastAsia="ja-JP"/>
        </w:rPr>
        <w:t>This software upgrade will facilitate revised classification of containers and directions to hold them for six-sided inspections, release them or select them for inspection as they exit the wharf gate. IR</w:t>
      </w:r>
      <w:r w:rsidR="00E94957">
        <w:rPr>
          <w:rFonts w:ascii="Calibri" w:hAnsi="Calibri"/>
          <w:lang w:eastAsia="ja-JP"/>
        </w:rPr>
        <w:t>C</w:t>
      </w:r>
      <w:r w:rsidRPr="00A85B71">
        <w:rPr>
          <w:rFonts w:ascii="Calibri" w:hAnsi="Calibri"/>
          <w:lang w:eastAsia="ja-JP"/>
        </w:rPr>
        <w:t>M cannot be implemented until S-Cargo upgrades are finalised.</w:t>
      </w:r>
    </w:p>
    <w:p w14:paraId="3E1E691D" w14:textId="77777777" w:rsidR="00AB0E44" w:rsidRDefault="00361FA3">
      <w:pPr>
        <w:keepNext/>
        <w:keepLines/>
        <w:outlineLvl w:val="3"/>
        <w:rPr>
          <w:rFonts w:ascii="Calibri" w:eastAsia="Times New Roman" w:hAnsi="Calibri"/>
          <w:b/>
          <w:sz w:val="28"/>
          <w:lang w:eastAsia="ja-JP"/>
        </w:rPr>
      </w:pPr>
      <w:r w:rsidRPr="004609A1">
        <w:rPr>
          <w:rFonts w:ascii="Calibri" w:eastAsia="Times New Roman" w:hAnsi="Calibri"/>
          <w:b/>
          <w:sz w:val="28"/>
          <w:lang w:eastAsia="ja-JP"/>
        </w:rPr>
        <w:t>Stockpiling of high-risk containers</w:t>
      </w:r>
    </w:p>
    <w:p w14:paraId="2FB36157" w14:textId="0D332048" w:rsidR="00AB0E44" w:rsidRDefault="00361FA3">
      <w:pPr>
        <w:tabs>
          <w:tab w:val="clear" w:pos="567"/>
        </w:tabs>
        <w:spacing w:after="0"/>
        <w:rPr>
          <w:rFonts w:ascii="Calibri" w:hAnsi="Calibri"/>
          <w:lang w:eastAsia="ja-JP"/>
        </w:rPr>
      </w:pPr>
      <w:r>
        <w:rPr>
          <w:rFonts w:ascii="Calibri" w:hAnsi="Calibri"/>
          <w:lang w:eastAsia="ja-JP"/>
        </w:rPr>
        <w:t>The risk of external hitchhiker pests escaping to nearby environments</w:t>
      </w:r>
      <w:r>
        <w:rPr>
          <w:rFonts w:ascii="Calibri" w:hAnsi="Calibri"/>
        </w:rPr>
        <w:t xml:space="preserve"> is increased when stevedores stockpile high-risk containers at wharves</w:t>
      </w:r>
      <w:r w:rsidR="00BA3696">
        <w:rPr>
          <w:rFonts w:ascii="Calibri" w:hAnsi="Calibri"/>
        </w:rPr>
        <w:t>, which is commonly done</w:t>
      </w:r>
      <w:r>
        <w:rPr>
          <w:rFonts w:ascii="Calibri" w:hAnsi="Calibri"/>
        </w:rPr>
        <w:t xml:space="preserve"> until it is practical or operationally</w:t>
      </w:r>
      <w:r>
        <w:rPr>
          <w:rFonts w:ascii="Calibri" w:hAnsi="Calibri"/>
          <w:lang w:eastAsia="ja-JP"/>
        </w:rPr>
        <w:t xml:space="preserve"> efficient to inspect them.</w:t>
      </w:r>
      <w:r>
        <w:rPr>
          <w:rFonts w:ascii="Calibri" w:hAnsi="Calibri"/>
        </w:rPr>
        <w:t xml:space="preserve"> Snails can be effectively prevented from leaving the area if cargo is surrounded with</w:t>
      </w:r>
      <w:r>
        <w:rPr>
          <w:rFonts w:ascii="Calibri" w:hAnsi="Calibri"/>
          <w:lang w:eastAsia="ja-JP"/>
        </w:rPr>
        <w:t xml:space="preserve"> a ring of salt or snail baits, but this approach </w:t>
      </w:r>
      <w:r w:rsidR="00D028D6">
        <w:rPr>
          <w:rFonts w:ascii="Calibri" w:hAnsi="Calibri"/>
          <w:lang w:eastAsia="ja-JP"/>
        </w:rPr>
        <w:t>is</w:t>
      </w:r>
      <w:r>
        <w:rPr>
          <w:rFonts w:ascii="Calibri" w:hAnsi="Calibri"/>
          <w:lang w:eastAsia="ja-JP"/>
        </w:rPr>
        <w:t xml:space="preserve"> not effective against other pests. In 2014 a red imported fire ant nest was found on a public road verge just outside the high-risk container holding area of Port Botany, Sydney. This risk-management failure could be repeated.</w:t>
      </w:r>
    </w:p>
    <w:p w14:paraId="0FAA1E5A" w14:textId="77777777" w:rsidR="00AB0E44" w:rsidRDefault="00361FA3">
      <w:pPr>
        <w:keepNext/>
        <w:keepLines/>
        <w:outlineLvl w:val="3"/>
        <w:rPr>
          <w:rFonts w:ascii="Calibri" w:eastAsia="Times New Roman" w:hAnsi="Calibri"/>
          <w:b/>
          <w:sz w:val="28"/>
          <w:lang w:eastAsia="ja-JP"/>
        </w:rPr>
      </w:pPr>
      <w:r w:rsidRPr="004609A1">
        <w:rPr>
          <w:rFonts w:ascii="Calibri" w:eastAsia="Times New Roman" w:hAnsi="Calibri"/>
          <w:b/>
          <w:sz w:val="28"/>
          <w:lang w:eastAsia="ja-JP"/>
        </w:rPr>
        <w:t>Automated container inspection systems</w:t>
      </w:r>
    </w:p>
    <w:p w14:paraId="0C5B0AB6" w14:textId="6A840715" w:rsidR="00AB0E44" w:rsidRDefault="00361FA3">
      <w:pPr>
        <w:tabs>
          <w:tab w:val="clear" w:pos="567"/>
        </w:tabs>
        <w:spacing w:after="0"/>
        <w:rPr>
          <w:rFonts w:ascii="Calibri" w:hAnsi="Calibri"/>
          <w:lang w:eastAsia="ja-JP"/>
        </w:rPr>
      </w:pPr>
      <w:r>
        <w:rPr>
          <w:rFonts w:ascii="Calibri" w:hAnsi="Calibri"/>
          <w:lang w:eastAsia="ja-JP"/>
        </w:rPr>
        <w:t xml:space="preserve">A biosecurity officer takes at least 10 minutes per container to conduct an external six-sided inspection. These inspections </w:t>
      </w:r>
      <w:r w:rsidRPr="00A85B71">
        <w:rPr>
          <w:rFonts w:ascii="Calibri" w:hAnsi="Calibri"/>
          <w:lang w:eastAsia="ja-JP"/>
        </w:rPr>
        <w:t xml:space="preserve">are difficult and repetitive, and </w:t>
      </w:r>
      <w:r w:rsidR="00A85B71">
        <w:rPr>
          <w:rFonts w:ascii="Calibri" w:hAnsi="Calibri"/>
          <w:lang w:eastAsia="ja-JP"/>
        </w:rPr>
        <w:t xml:space="preserve">they </w:t>
      </w:r>
      <w:r w:rsidRPr="00A85B71">
        <w:rPr>
          <w:rFonts w:ascii="Calibri" w:hAnsi="Calibri"/>
          <w:lang w:eastAsia="ja-JP"/>
        </w:rPr>
        <w:t>must</w:t>
      </w:r>
      <w:r>
        <w:rPr>
          <w:rFonts w:ascii="Calibri" w:hAnsi="Calibri"/>
          <w:lang w:eastAsia="ja-JP"/>
        </w:rPr>
        <w:t xml:space="preserve"> be done regardless of weather</w:t>
      </w:r>
      <w:r w:rsidR="00A85B71">
        <w:rPr>
          <w:rFonts w:ascii="Calibri" w:hAnsi="Calibri"/>
          <w:lang w:eastAsia="ja-JP"/>
        </w:rPr>
        <w:t>. Th</w:t>
      </w:r>
      <w:r w:rsidR="00BA3696">
        <w:rPr>
          <w:rFonts w:ascii="Calibri" w:hAnsi="Calibri"/>
          <w:lang w:eastAsia="ja-JP"/>
        </w:rPr>
        <w:t>ese factors</w:t>
      </w:r>
      <w:r w:rsidR="00A85B71">
        <w:rPr>
          <w:rFonts w:ascii="Calibri" w:hAnsi="Calibri"/>
          <w:lang w:eastAsia="ja-JP"/>
        </w:rPr>
        <w:t xml:space="preserve"> affect </w:t>
      </w:r>
      <w:r>
        <w:rPr>
          <w:rFonts w:ascii="Calibri" w:hAnsi="Calibri"/>
          <w:lang w:eastAsia="ja-JP"/>
        </w:rPr>
        <w:t>workplace health and safety. Despite their intensive inspection of crevices, biosecurity officers may not detect small insect pests. Wharf-gate inspections are far less efficient and are only likely to detect gross soil contamination or large pests like giant African snails, because ants and other pests may remain hidden. Manual inspections at current or proposed levels are unlikely to mitigate these risks.</w:t>
      </w:r>
    </w:p>
    <w:p w14:paraId="1BB69B72" w14:textId="6610A1D8" w:rsidR="00AB0E44" w:rsidRDefault="00361FA3">
      <w:pPr>
        <w:tabs>
          <w:tab w:val="clear" w:pos="567"/>
        </w:tabs>
        <w:spacing w:after="0"/>
        <w:rPr>
          <w:rFonts w:ascii="Calibri" w:hAnsi="Calibri"/>
          <w:lang w:eastAsia="ja-JP"/>
        </w:rPr>
      </w:pPr>
      <w:r>
        <w:rPr>
          <w:rFonts w:ascii="Calibri" w:hAnsi="Calibri"/>
        </w:rPr>
        <w:t xml:space="preserve">CSIRO </w:t>
      </w:r>
      <w:r w:rsidR="00FB4685">
        <w:rPr>
          <w:rFonts w:ascii="Calibri" w:hAnsi="Calibri"/>
        </w:rPr>
        <w:t xml:space="preserve">is </w:t>
      </w:r>
      <w:r>
        <w:rPr>
          <w:rFonts w:ascii="Calibri" w:hAnsi="Calibri"/>
        </w:rPr>
        <w:t xml:space="preserve">researching the potential for robotic or other automated container inspection systems </w:t>
      </w:r>
      <w:r>
        <w:rPr>
          <w:rFonts w:ascii="Calibri" w:hAnsi="Calibri"/>
          <w:lang w:eastAsia="ja-JP"/>
        </w:rPr>
        <w:t xml:space="preserve">to detect biosecurity risk material </w:t>
      </w:r>
      <w:r w:rsidR="00CC6391">
        <w:rPr>
          <w:rFonts w:ascii="Calibri" w:hAnsi="Calibri"/>
          <w:lang w:eastAsia="ja-JP"/>
        </w:rPr>
        <w:t xml:space="preserve">as </w:t>
      </w:r>
      <w:r>
        <w:rPr>
          <w:rFonts w:ascii="Calibri" w:hAnsi="Calibri"/>
          <w:lang w:eastAsia="ja-JP"/>
        </w:rPr>
        <w:t>containers are unloaded or stored at wharves.</w:t>
      </w:r>
      <w:r>
        <w:rPr>
          <w:rFonts w:ascii="Calibri" w:hAnsi="Calibri"/>
        </w:rPr>
        <w:t xml:space="preserve"> These efforts could develop more</w:t>
      </w:r>
      <w:r>
        <w:rPr>
          <w:rFonts w:ascii="Calibri" w:hAnsi="Calibri"/>
          <w:lang w:eastAsia="ja-JP"/>
        </w:rPr>
        <w:t xml:space="preserve"> effective and efficient systems and should continue.</w:t>
      </w:r>
    </w:p>
    <w:p w14:paraId="47762826" w14:textId="77777777" w:rsidR="00AB0E44" w:rsidRDefault="00361FA3">
      <w:pPr>
        <w:keepNext/>
        <w:keepLines/>
        <w:outlineLvl w:val="3"/>
        <w:rPr>
          <w:rFonts w:ascii="Calibri" w:eastAsia="Times New Roman" w:hAnsi="Calibri"/>
          <w:b/>
          <w:sz w:val="28"/>
          <w:lang w:eastAsia="ja-JP"/>
        </w:rPr>
      </w:pPr>
      <w:r w:rsidRPr="004609A1">
        <w:rPr>
          <w:rFonts w:ascii="Calibri" w:eastAsia="Times New Roman" w:hAnsi="Calibri"/>
          <w:b/>
          <w:sz w:val="28"/>
          <w:lang w:eastAsia="ja-JP"/>
        </w:rPr>
        <w:t>Cleaning of externally contaminated containers</w:t>
      </w:r>
    </w:p>
    <w:p w14:paraId="1AEF1B70" w14:textId="2DBEDDD0" w:rsidR="00AB0E44" w:rsidRDefault="00361FA3">
      <w:pPr>
        <w:tabs>
          <w:tab w:val="clear" w:pos="567"/>
        </w:tabs>
        <w:spacing w:after="0"/>
        <w:rPr>
          <w:rFonts w:ascii="Calibri" w:hAnsi="Calibri"/>
          <w:lang w:eastAsia="ja-JP"/>
        </w:rPr>
      </w:pPr>
      <w:r>
        <w:rPr>
          <w:rFonts w:ascii="Calibri" w:hAnsi="Calibri"/>
        </w:rPr>
        <w:t>The department normally refers externally contaminated containers to approved</w:t>
      </w:r>
      <w:r>
        <w:rPr>
          <w:rFonts w:ascii="Calibri" w:hAnsi="Calibri"/>
          <w:lang w:eastAsia="ja-JP"/>
        </w:rPr>
        <w:t xml:space="preserve"> arrangement sites near major ports for washing and reinspection. These facilities are already crowded and busy. Any increase in detection of contaminated containers, as projected under the IRCM, would put some under extreme pressure.</w:t>
      </w:r>
    </w:p>
    <w:p w14:paraId="61FC6529" w14:textId="271DC6EB" w:rsidR="00AB0E44" w:rsidRDefault="00361FA3">
      <w:pPr>
        <w:tabs>
          <w:tab w:val="clear" w:pos="567"/>
        </w:tabs>
        <w:spacing w:after="0"/>
        <w:rPr>
          <w:rFonts w:ascii="Calibri" w:hAnsi="Calibri"/>
          <w:lang w:eastAsia="ja-JP"/>
        </w:rPr>
      </w:pPr>
      <w:r>
        <w:rPr>
          <w:rFonts w:ascii="Calibri" w:hAnsi="Calibri"/>
          <w:lang w:eastAsia="ja-JP"/>
        </w:rPr>
        <w:t xml:space="preserve">Between 2010 and 2015 an automated container washing system operated successfully at Port Fremantle. It used recycled water to clean all six sides of a shipping container to a high standard within </w:t>
      </w:r>
      <w:r w:rsidR="00FB4685">
        <w:rPr>
          <w:rFonts w:ascii="Calibri" w:hAnsi="Calibri"/>
          <w:lang w:eastAsia="ja-JP"/>
        </w:rPr>
        <w:t>five</w:t>
      </w:r>
      <w:r>
        <w:rPr>
          <w:rFonts w:ascii="Calibri" w:hAnsi="Calibri"/>
          <w:lang w:eastAsia="ja-JP"/>
        </w:rPr>
        <w:t> minutes, compared with about 20 minutes for manual cleaning</w:t>
      </w:r>
      <w:r w:rsidR="00CC0574">
        <w:rPr>
          <w:rFonts w:ascii="Calibri" w:hAnsi="Calibri"/>
          <w:lang w:eastAsia="ja-JP"/>
        </w:rPr>
        <w:t xml:space="preserve"> and 10 minutes for 6-sided inspection</w:t>
      </w:r>
      <w:r>
        <w:rPr>
          <w:rFonts w:ascii="Calibri" w:hAnsi="Calibri"/>
          <w:lang w:eastAsia="ja-JP"/>
        </w:rPr>
        <w:t>. Installation of a</w:t>
      </w:r>
      <w:r>
        <w:rPr>
          <w:rFonts w:ascii="Calibri" w:hAnsi="Calibri"/>
        </w:rPr>
        <w:t>utomated container washing facilities at major</w:t>
      </w:r>
      <w:r>
        <w:rPr>
          <w:rFonts w:ascii="Calibri" w:hAnsi="Calibri"/>
          <w:lang w:eastAsia="ja-JP"/>
        </w:rPr>
        <w:t xml:space="preserve"> </w:t>
      </w:r>
      <w:r w:rsidRPr="00D2595D">
        <w:rPr>
          <w:rFonts w:ascii="Calibri" w:hAnsi="Calibri"/>
          <w:lang w:eastAsia="ja-JP"/>
        </w:rPr>
        <w:t>container receival ports co</w:t>
      </w:r>
      <w:r>
        <w:rPr>
          <w:rFonts w:ascii="Calibri" w:hAnsi="Calibri"/>
          <w:lang w:eastAsia="ja-JP"/>
        </w:rPr>
        <w:t>uld reduce the need for biosecurity officers to inspect all high- and medium-risk containers, divert contaminated containers for washing and reinspect cleaned containers. Cleaning all containers from high- and medium-risk countries or ports could help improve biosecurity outcomes and result in less disruption to trade. It would also greatly reduce pre-inspection stockpiling of risky containers.</w:t>
      </w:r>
      <w:r w:rsidR="0075334C">
        <w:rPr>
          <w:rFonts w:ascii="Calibri" w:hAnsi="Calibri"/>
          <w:lang w:eastAsia="ja-JP"/>
        </w:rPr>
        <w:t xml:space="preserve"> However, means of collecting information by which the containers are classified, to provide incentives for offshore container risk management, would need consideration.</w:t>
      </w:r>
    </w:p>
    <w:p w14:paraId="2AC1CF0E" w14:textId="0CECBC08" w:rsidR="00AB0E44" w:rsidRDefault="00361FA3">
      <w:pPr>
        <w:tabs>
          <w:tab w:val="clear" w:pos="567"/>
        </w:tabs>
        <w:spacing w:after="0"/>
        <w:rPr>
          <w:rFonts w:ascii="Calibri" w:hAnsi="Calibri"/>
        </w:rPr>
      </w:pPr>
      <w:r>
        <w:rPr>
          <w:rFonts w:ascii="Calibri" w:hAnsi="Calibri"/>
          <w:lang w:eastAsia="ja-JP"/>
        </w:rPr>
        <w:t xml:space="preserve">The </w:t>
      </w:r>
      <w:r w:rsidR="0075334C">
        <w:rPr>
          <w:rFonts w:ascii="Calibri" w:hAnsi="Calibri"/>
          <w:lang w:eastAsia="ja-JP"/>
        </w:rPr>
        <w:t>volume</w:t>
      </w:r>
      <w:r>
        <w:rPr>
          <w:rFonts w:ascii="Calibri" w:hAnsi="Calibri"/>
          <w:lang w:eastAsia="ja-JP"/>
        </w:rPr>
        <w:t xml:space="preserve"> of </w:t>
      </w:r>
      <w:r w:rsidR="0075334C">
        <w:rPr>
          <w:rFonts w:ascii="Calibri" w:hAnsi="Calibri"/>
          <w:lang w:eastAsia="ja-JP"/>
        </w:rPr>
        <w:t xml:space="preserve">containers </w:t>
      </w:r>
      <w:r>
        <w:rPr>
          <w:rFonts w:ascii="Calibri" w:hAnsi="Calibri"/>
          <w:lang w:eastAsia="ja-JP"/>
        </w:rPr>
        <w:t xml:space="preserve">transported from ports by rail to intermodal transport hubs around Sydney and Melbourne is projected to increase, and pressure is mounting to have major container receival facilities built at </w:t>
      </w:r>
      <w:r w:rsidRPr="00A85B71">
        <w:rPr>
          <w:rFonts w:ascii="Calibri" w:hAnsi="Calibri"/>
          <w:lang w:eastAsia="ja-JP"/>
        </w:rPr>
        <w:t>Newcastle. This increase</w:t>
      </w:r>
      <w:r w:rsidR="0075334C">
        <w:rPr>
          <w:rFonts w:ascii="Calibri" w:hAnsi="Calibri"/>
          <w:lang w:eastAsia="ja-JP"/>
        </w:rPr>
        <w:t>d</w:t>
      </w:r>
      <w:r w:rsidRPr="00A85B71">
        <w:rPr>
          <w:rFonts w:ascii="Calibri" w:hAnsi="Calibri"/>
          <w:lang w:eastAsia="ja-JP"/>
        </w:rPr>
        <w:t xml:space="preserve"> </w:t>
      </w:r>
      <w:r w:rsidR="00DB1082">
        <w:rPr>
          <w:rFonts w:ascii="Calibri" w:hAnsi="Calibri"/>
          <w:lang w:eastAsia="ja-JP"/>
        </w:rPr>
        <w:t>transhipping of containers</w:t>
      </w:r>
      <w:r w:rsidR="0075334C">
        <w:rPr>
          <w:rFonts w:ascii="Calibri" w:hAnsi="Calibri"/>
          <w:lang w:eastAsia="ja-JP"/>
        </w:rPr>
        <w:t xml:space="preserve"> will</w:t>
      </w:r>
      <w:r w:rsidR="00DB1082">
        <w:rPr>
          <w:rFonts w:ascii="Calibri" w:hAnsi="Calibri"/>
          <w:lang w:eastAsia="ja-JP"/>
        </w:rPr>
        <w:t xml:space="preserve"> in turn increas</w:t>
      </w:r>
      <w:r w:rsidR="0075334C">
        <w:rPr>
          <w:rFonts w:ascii="Calibri" w:hAnsi="Calibri"/>
          <w:lang w:eastAsia="ja-JP"/>
        </w:rPr>
        <w:t>e</w:t>
      </w:r>
      <w:r w:rsidR="00DB1082">
        <w:rPr>
          <w:rFonts w:ascii="Calibri" w:hAnsi="Calibri"/>
          <w:lang w:eastAsia="ja-JP"/>
        </w:rPr>
        <w:t xml:space="preserve"> </w:t>
      </w:r>
      <w:r w:rsidRPr="00A85B71">
        <w:rPr>
          <w:rFonts w:ascii="Calibri" w:hAnsi="Calibri"/>
          <w:lang w:eastAsia="ja-JP"/>
        </w:rPr>
        <w:t>risk</w:t>
      </w:r>
      <w:r w:rsidR="0075334C">
        <w:rPr>
          <w:rFonts w:ascii="Calibri" w:hAnsi="Calibri"/>
          <w:lang w:eastAsia="ja-JP"/>
        </w:rPr>
        <w:t>s</w:t>
      </w:r>
      <w:r w:rsidRPr="00A85B71">
        <w:rPr>
          <w:rFonts w:ascii="Calibri" w:hAnsi="Calibri"/>
          <w:lang w:eastAsia="ja-JP"/>
        </w:rPr>
        <w:t xml:space="preserve"> </w:t>
      </w:r>
      <w:r w:rsidR="0075334C">
        <w:rPr>
          <w:rFonts w:ascii="Calibri" w:hAnsi="Calibri"/>
          <w:lang w:eastAsia="ja-JP"/>
        </w:rPr>
        <w:t>of</w:t>
      </w:r>
      <w:r w:rsidR="00A85B71">
        <w:rPr>
          <w:rFonts w:ascii="Calibri" w:hAnsi="Calibri"/>
          <w:lang w:eastAsia="ja-JP"/>
        </w:rPr>
        <w:t xml:space="preserve"> </w:t>
      </w:r>
      <w:r w:rsidRPr="00A85B71">
        <w:rPr>
          <w:rFonts w:ascii="Calibri" w:hAnsi="Calibri"/>
          <w:lang w:eastAsia="ja-JP"/>
        </w:rPr>
        <w:t>highly contaminated containers spread</w:t>
      </w:r>
      <w:r w:rsidR="0075334C">
        <w:rPr>
          <w:rFonts w:ascii="Calibri" w:hAnsi="Calibri"/>
          <w:lang w:eastAsia="ja-JP"/>
        </w:rPr>
        <w:t>ing</w:t>
      </w:r>
      <w:r w:rsidRPr="00A85B71">
        <w:rPr>
          <w:rFonts w:ascii="Calibri" w:hAnsi="Calibri"/>
          <w:lang w:eastAsia="ja-JP"/>
        </w:rPr>
        <w:t xml:space="preserve"> pests far and wide</w:t>
      </w:r>
      <w:r w:rsidR="0075334C">
        <w:rPr>
          <w:rFonts w:ascii="Calibri" w:hAnsi="Calibri"/>
          <w:lang w:eastAsia="ja-JP"/>
        </w:rPr>
        <w:t>, and</w:t>
      </w:r>
      <w:r w:rsidR="00A85B71">
        <w:rPr>
          <w:rFonts w:ascii="Calibri" w:hAnsi="Calibri"/>
          <w:lang w:eastAsia="ja-JP"/>
        </w:rPr>
        <w:t xml:space="preserve"> </w:t>
      </w:r>
      <w:r w:rsidRPr="00A85B71">
        <w:rPr>
          <w:rFonts w:ascii="Calibri" w:hAnsi="Calibri"/>
          <w:lang w:eastAsia="ja-JP"/>
        </w:rPr>
        <w:t xml:space="preserve">also </w:t>
      </w:r>
      <w:r w:rsidR="00A85B71">
        <w:rPr>
          <w:rFonts w:ascii="Calibri" w:hAnsi="Calibri"/>
          <w:lang w:eastAsia="ja-JP"/>
        </w:rPr>
        <w:t xml:space="preserve">increase </w:t>
      </w:r>
      <w:r w:rsidRPr="00A85B71">
        <w:rPr>
          <w:rFonts w:ascii="Calibri" w:hAnsi="Calibri"/>
          <w:lang w:eastAsia="ja-JP"/>
        </w:rPr>
        <w:t xml:space="preserve">the cost of inspecting and washing containers at other distributed facilities. </w:t>
      </w:r>
      <w:r w:rsidR="0075334C">
        <w:rPr>
          <w:rFonts w:ascii="Calibri" w:hAnsi="Calibri"/>
        </w:rPr>
        <w:t>T</w:t>
      </w:r>
      <w:r w:rsidRPr="00A85B71">
        <w:rPr>
          <w:rFonts w:ascii="Calibri" w:hAnsi="Calibri"/>
        </w:rPr>
        <w:t>hese risks could be far better managed</w:t>
      </w:r>
      <w:r>
        <w:rPr>
          <w:rFonts w:ascii="Calibri" w:hAnsi="Calibri"/>
        </w:rPr>
        <w:t xml:space="preserve"> by incorporating automatic container washing facilities into new rail infrastructure so containers can be cleaned before they are taken from the wharf.</w:t>
      </w:r>
    </w:p>
    <w:p w14:paraId="68311AE9" w14:textId="2582993C" w:rsidR="00AB0E44" w:rsidRDefault="002F2B47">
      <w:pPr>
        <w:keepNext/>
        <w:keepLines/>
        <w:numPr>
          <w:ilvl w:val="0"/>
          <w:numId w:val="30"/>
        </w:numPr>
        <w:tabs>
          <w:tab w:val="clear" w:pos="567"/>
        </w:tabs>
        <w:spacing w:before="240" w:after="0"/>
        <w:ind w:left="567" w:hanging="567"/>
        <w:outlineLvl w:val="2"/>
        <w:rPr>
          <w:rFonts w:ascii="Calibri" w:eastAsia="Times New Roman" w:hAnsi="Calibri"/>
          <w:b/>
          <w:bCs/>
          <w:sz w:val="32"/>
          <w:szCs w:val="24"/>
        </w:rPr>
      </w:pPr>
      <w:r w:rsidRPr="002F2B47">
        <w:rPr>
          <w:rFonts w:ascii="Calibri" w:eastAsia="Times New Roman" w:hAnsi="Calibri"/>
          <w:b/>
          <w:bCs/>
          <w:sz w:val="32"/>
          <w:szCs w:val="24"/>
        </w:rPr>
        <w:t>Break-bulk cargo and bulk cargo ships’ holds entry pathways</w:t>
      </w:r>
    </w:p>
    <w:p w14:paraId="3EE239C8" w14:textId="77777777" w:rsidR="00AB0E44" w:rsidRDefault="00361FA3">
      <w:pPr>
        <w:tabs>
          <w:tab w:val="clear" w:pos="567"/>
        </w:tabs>
        <w:spacing w:after="0"/>
        <w:rPr>
          <w:rFonts w:ascii="Calibri" w:hAnsi="Calibri"/>
          <w:lang w:eastAsia="ja-JP"/>
        </w:rPr>
      </w:pPr>
      <w:r w:rsidRPr="00BA205B">
        <w:rPr>
          <w:rFonts w:ascii="Calibri" w:hAnsi="Calibri"/>
          <w:b/>
          <w:lang w:eastAsia="ja-JP"/>
        </w:rPr>
        <w:t>Break-bulk cargo</w:t>
      </w:r>
      <w:r>
        <w:rPr>
          <w:rFonts w:ascii="Calibri" w:hAnsi="Calibri"/>
          <w:lang w:eastAsia="ja-JP"/>
        </w:rPr>
        <w:t xml:space="preserve"> poses specific contamination risks, addressed case by case by biosecurity officers. Break-bulk cargo from high-risk (CAL) countries or cargo that otherwise carries the risk of harbouring seasonal pests (such as the brown marmorated </w:t>
      </w:r>
      <w:r w:rsidRPr="00A85B71">
        <w:rPr>
          <w:rFonts w:ascii="Calibri" w:hAnsi="Calibri"/>
          <w:lang w:eastAsia="ja-JP"/>
        </w:rPr>
        <w:t>stink bug)</w:t>
      </w:r>
      <w:r>
        <w:rPr>
          <w:rFonts w:ascii="Calibri" w:hAnsi="Calibri"/>
          <w:lang w:eastAsia="ja-JP"/>
        </w:rPr>
        <w:t xml:space="preserve"> must be inspected at the first point of entry before it is taken from the wharf. High-risk break-bulk cargo must be wrapped in a tarpaulin before it is moved from the wharf to an approved arrangement site for inspection or treatment. This prevents the escape of any pest or contaminant during transport.</w:t>
      </w:r>
    </w:p>
    <w:p w14:paraId="67DAE9BA" w14:textId="20B6EF59" w:rsidR="00DB7076" w:rsidRDefault="00361FA3" w:rsidP="000F7A1D">
      <w:pPr>
        <w:tabs>
          <w:tab w:val="clear" w:pos="567"/>
        </w:tabs>
        <w:spacing w:after="0"/>
        <w:rPr>
          <w:lang w:eastAsia="ja-JP"/>
        </w:rPr>
      </w:pPr>
      <w:r>
        <w:rPr>
          <w:rFonts w:ascii="Calibri" w:hAnsi="Calibri"/>
          <w:lang w:eastAsia="ja-JP"/>
        </w:rPr>
        <w:t xml:space="preserve">Hitchhikers and/or contaminants are frequently found in used cars and farm machinery. Even new cars and tractors may be heavily contaminated with seeds that have blown and stuck onto them before export to Australia. </w:t>
      </w:r>
      <w:r w:rsidR="00DB7076">
        <w:rPr>
          <w:rFonts w:ascii="Calibri" w:hAnsi="Calibri"/>
          <w:lang w:eastAsia="ja-JP"/>
        </w:rPr>
        <w:t>I</w:t>
      </w:r>
      <w:r>
        <w:rPr>
          <w:rFonts w:ascii="Calibri" w:hAnsi="Calibri"/>
          <w:lang w:eastAsia="ja-JP"/>
        </w:rPr>
        <w:t>f biosecurity officers detect seeds or other biosecurity risk material that is over permissible thresholds, the whole consignment must be</w:t>
      </w:r>
      <w:r w:rsidR="00DB7076">
        <w:rPr>
          <w:rFonts w:ascii="Calibri" w:hAnsi="Calibri"/>
          <w:lang w:eastAsia="ja-JP"/>
        </w:rPr>
        <w:t xml:space="preserve"> </w:t>
      </w:r>
      <w:r>
        <w:rPr>
          <w:rFonts w:ascii="Calibri" w:hAnsi="Calibri"/>
          <w:lang w:eastAsia="ja-JP"/>
        </w:rPr>
        <w:t>inspected in detail</w:t>
      </w:r>
      <w:r w:rsidR="00DB7076">
        <w:rPr>
          <w:rFonts w:ascii="Calibri" w:hAnsi="Calibri"/>
          <w:lang w:eastAsia="ja-JP"/>
        </w:rPr>
        <w:t xml:space="preserve">. It will be </w:t>
      </w:r>
      <w:r>
        <w:rPr>
          <w:rFonts w:ascii="Calibri" w:hAnsi="Calibri"/>
          <w:lang w:eastAsia="ja-JP"/>
        </w:rPr>
        <w:t xml:space="preserve">cleaned </w:t>
      </w:r>
      <w:r w:rsidR="00DB7076">
        <w:rPr>
          <w:rFonts w:ascii="Calibri" w:hAnsi="Calibri"/>
          <w:lang w:eastAsia="ja-JP"/>
        </w:rPr>
        <w:t xml:space="preserve">at an approved facility </w:t>
      </w:r>
      <w:r>
        <w:rPr>
          <w:rFonts w:ascii="Calibri" w:hAnsi="Calibri"/>
          <w:lang w:eastAsia="ja-JP"/>
        </w:rPr>
        <w:t>to remove any visible seeds</w:t>
      </w:r>
      <w:r w:rsidR="00DB7076">
        <w:rPr>
          <w:rFonts w:ascii="Calibri" w:hAnsi="Calibri"/>
          <w:lang w:eastAsia="ja-JP"/>
        </w:rPr>
        <w:t xml:space="preserve">, then </w:t>
      </w:r>
      <w:r>
        <w:rPr>
          <w:rFonts w:ascii="Calibri" w:hAnsi="Calibri"/>
          <w:lang w:eastAsia="ja-JP"/>
        </w:rPr>
        <w:t>reinspected.</w:t>
      </w:r>
      <w:r w:rsidR="00DB7076">
        <w:t xml:space="preserve"> Any i</w:t>
      </w:r>
      <w:r>
        <w:t>nsects</w:t>
      </w:r>
      <w:r>
        <w:rPr>
          <w:lang w:eastAsia="ja-JP"/>
        </w:rPr>
        <w:t xml:space="preserve"> </w:t>
      </w:r>
      <w:r w:rsidR="00DB7076">
        <w:rPr>
          <w:lang w:eastAsia="ja-JP"/>
        </w:rPr>
        <w:t xml:space="preserve">or snails </w:t>
      </w:r>
      <w:r w:rsidR="00AC4124">
        <w:rPr>
          <w:lang w:eastAsia="ja-JP"/>
        </w:rPr>
        <w:t>are</w:t>
      </w:r>
      <w:r>
        <w:rPr>
          <w:lang w:eastAsia="ja-JP"/>
        </w:rPr>
        <w:t xml:space="preserve"> sent to departmental </w:t>
      </w:r>
      <w:r w:rsidR="00DB7076">
        <w:rPr>
          <w:lang w:eastAsia="ja-JP"/>
        </w:rPr>
        <w:t>scient</w:t>
      </w:r>
      <w:r>
        <w:rPr>
          <w:lang w:eastAsia="ja-JP"/>
        </w:rPr>
        <w:t xml:space="preserve">ists for identification while cargo is held. If regulated pests are found, the cargo </w:t>
      </w:r>
      <w:r w:rsidR="00DB7076">
        <w:rPr>
          <w:lang w:eastAsia="ja-JP"/>
        </w:rPr>
        <w:t>must be</w:t>
      </w:r>
      <w:r>
        <w:rPr>
          <w:lang w:eastAsia="ja-JP"/>
        </w:rPr>
        <w:t xml:space="preserve"> fumigated or </w:t>
      </w:r>
      <w:r w:rsidR="000F7A1D">
        <w:rPr>
          <w:lang w:eastAsia="ja-JP"/>
        </w:rPr>
        <w:t>treated appropriately.</w:t>
      </w:r>
    </w:p>
    <w:p w14:paraId="2AA6F5B0" w14:textId="544572F0" w:rsidR="00AB0E44" w:rsidRDefault="00361FA3" w:rsidP="000F7A1D">
      <w:pPr>
        <w:tabs>
          <w:tab w:val="clear" w:pos="567"/>
        </w:tabs>
        <w:spacing w:after="0"/>
        <w:rPr>
          <w:lang w:eastAsia="ja-JP"/>
        </w:rPr>
      </w:pPr>
      <w:r w:rsidRPr="00EF692C">
        <w:rPr>
          <w:lang w:eastAsia="ja-JP"/>
        </w:rPr>
        <w:t>Commendably, the department’s offshore inspection and cleaning arrangements, especially with Thailand, have greatly reduced inspection failure rates of new car consignments. This scheme is being expanded to cover some new cars from Japan and the Republic of Korea.</w:t>
      </w:r>
    </w:p>
    <w:p w14:paraId="622C2126" w14:textId="3B9DFF4E" w:rsidR="00AB0E44" w:rsidRDefault="00361FA3">
      <w:pPr>
        <w:tabs>
          <w:tab w:val="clear" w:pos="567"/>
        </w:tabs>
        <w:spacing w:after="0"/>
        <w:rPr>
          <w:rFonts w:ascii="Calibri" w:hAnsi="Calibri"/>
          <w:lang w:eastAsia="ja-JP"/>
        </w:rPr>
      </w:pPr>
      <w:r>
        <w:rPr>
          <w:rFonts w:ascii="Calibri" w:hAnsi="Calibri"/>
          <w:lang w:eastAsia="ja-JP"/>
        </w:rPr>
        <w:t xml:space="preserve">Between 2011–12 and 2016–17, 60,855 break-bulk cargo consignments arrived in Australia. Of these, 30 per cent were identified as having a biosecurity risk, 25 per cent were cleaned and 0.5 per cent were fumigated with methyl bromide. Of those fumigated, 10 per cent were fumigated at a rate high enough to kill giant African snails and the remaining 90 per cent </w:t>
      </w:r>
      <w:r w:rsidR="00EF692C">
        <w:rPr>
          <w:rFonts w:ascii="Calibri" w:hAnsi="Calibri"/>
          <w:lang w:eastAsia="ja-JP"/>
        </w:rPr>
        <w:t xml:space="preserve">were fumigated </w:t>
      </w:r>
      <w:r w:rsidRPr="00EF692C">
        <w:rPr>
          <w:rFonts w:ascii="Calibri" w:hAnsi="Calibri"/>
          <w:lang w:eastAsia="ja-JP"/>
        </w:rPr>
        <w:t>at a lower rate</w:t>
      </w:r>
      <w:r w:rsidR="00EF692C" w:rsidRPr="007B15E0">
        <w:rPr>
          <w:rFonts w:ascii="Calibri" w:hAnsi="Calibri"/>
          <w:lang w:eastAsia="ja-JP"/>
        </w:rPr>
        <w:t xml:space="preserve"> </w:t>
      </w:r>
      <w:r w:rsidRPr="00EF692C">
        <w:rPr>
          <w:rFonts w:ascii="Calibri" w:hAnsi="Calibri"/>
          <w:lang w:eastAsia="ja-JP"/>
        </w:rPr>
        <w:t>sufficient to</w:t>
      </w:r>
      <w:r>
        <w:rPr>
          <w:rFonts w:ascii="Calibri" w:hAnsi="Calibri"/>
          <w:lang w:eastAsia="ja-JP"/>
        </w:rPr>
        <w:t xml:space="preserve"> kill the other pests </w:t>
      </w:r>
      <w:r w:rsidR="00EF692C">
        <w:rPr>
          <w:rFonts w:ascii="Calibri" w:hAnsi="Calibri"/>
          <w:lang w:eastAsia="ja-JP"/>
        </w:rPr>
        <w:t xml:space="preserve">that were </w:t>
      </w:r>
      <w:r>
        <w:rPr>
          <w:rFonts w:ascii="Calibri" w:hAnsi="Calibri"/>
          <w:lang w:eastAsia="ja-JP"/>
        </w:rPr>
        <w:t>detected.</w:t>
      </w:r>
      <w:r w:rsidR="000B6663">
        <w:rPr>
          <w:rFonts w:ascii="Calibri" w:hAnsi="Calibri"/>
          <w:lang w:eastAsia="ja-JP"/>
        </w:rPr>
        <w:t xml:space="preserve"> Efforts to move away from methyl bromide as a fumigant need to be increased.</w:t>
      </w:r>
    </w:p>
    <w:p w14:paraId="5200A232" w14:textId="47B92486" w:rsidR="00AB0E44" w:rsidRDefault="00361FA3">
      <w:pPr>
        <w:tabs>
          <w:tab w:val="clear" w:pos="567"/>
        </w:tabs>
        <w:spacing w:after="0"/>
        <w:rPr>
          <w:rFonts w:ascii="Calibri" w:hAnsi="Calibri"/>
        </w:rPr>
      </w:pPr>
      <w:r>
        <w:rPr>
          <w:rFonts w:ascii="Calibri" w:hAnsi="Calibri"/>
          <w:lang w:eastAsia="ja-JP"/>
        </w:rPr>
        <w:t xml:space="preserve">The </w:t>
      </w:r>
      <w:r>
        <w:rPr>
          <w:rFonts w:ascii="Calibri" w:hAnsi="Calibri"/>
          <w:lang w:val="x-none" w:eastAsia="ja-JP"/>
        </w:rPr>
        <w:t xml:space="preserve">department </w:t>
      </w:r>
      <w:r>
        <w:rPr>
          <w:rFonts w:ascii="Calibri" w:hAnsi="Calibri"/>
          <w:lang w:eastAsia="ja-JP"/>
        </w:rPr>
        <w:t xml:space="preserve">and its </w:t>
      </w:r>
      <w:r>
        <w:rPr>
          <w:rFonts w:ascii="Calibri" w:hAnsi="Calibri"/>
          <w:lang w:val="x-none" w:eastAsia="ja-JP"/>
        </w:rPr>
        <w:t>overseas and industry collaborators</w:t>
      </w:r>
      <w:r>
        <w:rPr>
          <w:rFonts w:ascii="Calibri" w:hAnsi="Calibri"/>
          <w:lang w:eastAsia="ja-JP"/>
        </w:rPr>
        <w:t xml:space="preserve"> appear to be effectively managing </w:t>
      </w:r>
      <w:r>
        <w:rPr>
          <w:rFonts w:ascii="Calibri" w:hAnsi="Calibri"/>
          <w:lang w:val="x-none" w:eastAsia="ja-JP"/>
        </w:rPr>
        <w:t>external biosecurity risks associated with break</w:t>
      </w:r>
      <w:r>
        <w:rPr>
          <w:rFonts w:ascii="Calibri" w:hAnsi="Calibri"/>
          <w:lang w:eastAsia="ja-JP"/>
        </w:rPr>
        <w:t>-</w:t>
      </w:r>
      <w:r>
        <w:rPr>
          <w:rFonts w:ascii="Calibri" w:hAnsi="Calibri"/>
          <w:lang w:val="x-none" w:eastAsia="ja-JP"/>
        </w:rPr>
        <w:t>bulk cargo.</w:t>
      </w:r>
      <w:r>
        <w:rPr>
          <w:rFonts w:ascii="Calibri" w:hAnsi="Calibri"/>
          <w:lang w:eastAsia="ja-JP"/>
        </w:rPr>
        <w:t xml:space="preserve"> However, inspection resources may be stretched by large, complex consignments</w:t>
      </w:r>
      <w:r w:rsidR="00FB4685">
        <w:rPr>
          <w:rFonts w:ascii="Calibri" w:hAnsi="Calibri"/>
          <w:lang w:eastAsia="ja-JP"/>
        </w:rPr>
        <w:t>,</w:t>
      </w:r>
      <w:r>
        <w:rPr>
          <w:rFonts w:ascii="Calibri" w:hAnsi="Calibri"/>
          <w:lang w:eastAsia="ja-JP"/>
        </w:rPr>
        <w:t xml:space="preserve"> and this may result in reduced inspection rates. This ongoing risk must be addressed by adequate supply of well-trained staff.</w:t>
      </w:r>
    </w:p>
    <w:p w14:paraId="7D5B2782" w14:textId="0167B10A" w:rsidR="00AB0E44" w:rsidRDefault="00361FA3">
      <w:pPr>
        <w:tabs>
          <w:tab w:val="clear" w:pos="567"/>
        </w:tabs>
        <w:spacing w:after="0"/>
        <w:rPr>
          <w:rFonts w:ascii="Calibri" w:hAnsi="Calibri"/>
          <w:lang w:eastAsia="ja-JP"/>
        </w:rPr>
      </w:pPr>
      <w:r w:rsidRPr="00BA205B">
        <w:rPr>
          <w:rFonts w:ascii="Calibri" w:hAnsi="Calibri"/>
          <w:b/>
          <w:lang w:eastAsia="ja-JP"/>
        </w:rPr>
        <w:t>Bulk cargo ships’ holds</w:t>
      </w:r>
      <w:r>
        <w:rPr>
          <w:rFonts w:ascii="Calibri" w:hAnsi="Calibri"/>
          <w:lang w:eastAsia="ja-JP"/>
        </w:rPr>
        <w:t xml:space="preserve"> may contain cargo residues (such as remnants of plant-based </w:t>
      </w:r>
      <w:proofErr w:type="spellStart"/>
      <w:r>
        <w:rPr>
          <w:rFonts w:ascii="Calibri" w:hAnsi="Calibri"/>
          <w:lang w:eastAsia="ja-JP"/>
        </w:rPr>
        <w:t>stockfeeds</w:t>
      </w:r>
      <w:proofErr w:type="spellEnd"/>
      <w:r>
        <w:rPr>
          <w:rFonts w:ascii="Calibri" w:hAnsi="Calibri"/>
          <w:lang w:eastAsia="ja-JP"/>
        </w:rPr>
        <w:t xml:space="preserve">) that can provide habitat or food for hitchhiker pests and specific grain pests and diseases, like </w:t>
      </w:r>
      <w:proofErr w:type="spellStart"/>
      <w:r>
        <w:rPr>
          <w:rFonts w:ascii="Calibri" w:hAnsi="Calibri"/>
          <w:lang w:eastAsia="ja-JP"/>
        </w:rPr>
        <w:t>khapra</w:t>
      </w:r>
      <w:proofErr w:type="spellEnd"/>
      <w:r>
        <w:rPr>
          <w:rFonts w:ascii="Calibri" w:hAnsi="Calibri"/>
          <w:lang w:eastAsia="ja-JP"/>
        </w:rPr>
        <w:t xml:space="preserve"> beetle or </w:t>
      </w:r>
      <w:proofErr w:type="spellStart"/>
      <w:r>
        <w:rPr>
          <w:rFonts w:ascii="Calibri" w:hAnsi="Calibri"/>
          <w:lang w:eastAsia="ja-JP"/>
        </w:rPr>
        <w:t>Karnal</w:t>
      </w:r>
      <w:proofErr w:type="spellEnd"/>
      <w:r>
        <w:rPr>
          <w:rFonts w:ascii="Calibri" w:hAnsi="Calibri"/>
          <w:lang w:eastAsia="ja-JP"/>
        </w:rPr>
        <w:t xml:space="preserve"> bunt. Biosecurity officers carry out complex and often dangerous ship-hold inspections for bulk carriers of risk material where cleanliness must be assured between shipments. New technologies may lead to automated inspection processes</w:t>
      </w:r>
      <w:r w:rsidR="000C0B0D">
        <w:rPr>
          <w:rFonts w:ascii="Calibri" w:hAnsi="Calibri"/>
          <w:lang w:eastAsia="ja-JP"/>
        </w:rPr>
        <w:t xml:space="preserve"> for ships’ holds</w:t>
      </w:r>
      <w:r>
        <w:rPr>
          <w:rFonts w:ascii="Calibri" w:hAnsi="Calibri"/>
          <w:lang w:eastAsia="ja-JP"/>
        </w:rPr>
        <w:t>, and departmental support for this research should continue.</w:t>
      </w:r>
    </w:p>
    <w:p w14:paraId="2D07B424" w14:textId="77777777" w:rsidR="00AB0E44" w:rsidRDefault="00361FA3">
      <w:pPr>
        <w:keepNext/>
        <w:keepLines/>
        <w:numPr>
          <w:ilvl w:val="0"/>
          <w:numId w:val="30"/>
        </w:numPr>
        <w:tabs>
          <w:tab w:val="clear" w:pos="567"/>
        </w:tabs>
        <w:spacing w:before="240" w:after="0"/>
        <w:ind w:left="567" w:hanging="567"/>
        <w:outlineLvl w:val="2"/>
        <w:rPr>
          <w:rFonts w:ascii="Calibri" w:eastAsia="Times New Roman" w:hAnsi="Calibri"/>
          <w:b/>
          <w:bCs/>
          <w:sz w:val="32"/>
          <w:szCs w:val="24"/>
        </w:rPr>
      </w:pPr>
      <w:r>
        <w:rPr>
          <w:rFonts w:ascii="Calibri" w:eastAsia="Times New Roman" w:hAnsi="Calibri"/>
          <w:b/>
          <w:bCs/>
          <w:sz w:val="32"/>
          <w:szCs w:val="24"/>
        </w:rPr>
        <w:t>Aircraft and air cargo entry pathway</w:t>
      </w:r>
    </w:p>
    <w:p w14:paraId="1B96A41E" w14:textId="77777777" w:rsidR="00AB0E44" w:rsidRDefault="00361FA3">
      <w:pPr>
        <w:tabs>
          <w:tab w:val="clear" w:pos="567"/>
        </w:tabs>
        <w:spacing w:after="0"/>
        <w:rPr>
          <w:rFonts w:ascii="Calibri" w:hAnsi="Calibri"/>
          <w:lang w:eastAsia="ja-JP"/>
        </w:rPr>
      </w:pPr>
      <w:r>
        <w:rPr>
          <w:rFonts w:ascii="Calibri" w:hAnsi="Calibri"/>
          <w:lang w:eastAsia="ja-JP"/>
        </w:rPr>
        <w:t xml:space="preserve">The biosecurity risk of aircraft and air cargo carrying hitchhikers and contaminants is relatively low (despite the possible presence of insects, especially mosquitoes, and occasionally other </w:t>
      </w:r>
      <w:r w:rsidRPr="00EF692C">
        <w:rPr>
          <w:rFonts w:ascii="Calibri" w:hAnsi="Calibri"/>
          <w:lang w:eastAsia="ja-JP"/>
        </w:rPr>
        <w:t>animals). The department manages this pathway effectively through oversight of aircraft disinsection measures and pratique assessment.</w:t>
      </w:r>
    </w:p>
    <w:p w14:paraId="7D22E0F8" w14:textId="77777777" w:rsidR="00AB0E44" w:rsidRDefault="00361FA3">
      <w:pPr>
        <w:keepNext/>
        <w:keepLines/>
        <w:numPr>
          <w:ilvl w:val="0"/>
          <w:numId w:val="30"/>
        </w:numPr>
        <w:tabs>
          <w:tab w:val="clear" w:pos="567"/>
        </w:tabs>
        <w:spacing w:before="240" w:after="0"/>
        <w:ind w:left="567" w:hanging="567"/>
        <w:outlineLvl w:val="2"/>
        <w:rPr>
          <w:rFonts w:ascii="Calibri" w:eastAsia="Times New Roman" w:hAnsi="Calibri"/>
          <w:b/>
          <w:bCs/>
          <w:sz w:val="32"/>
          <w:szCs w:val="24"/>
        </w:rPr>
      </w:pPr>
      <w:r>
        <w:rPr>
          <w:rFonts w:ascii="Calibri" w:eastAsia="Times New Roman" w:hAnsi="Calibri"/>
          <w:b/>
          <w:bCs/>
          <w:sz w:val="32"/>
          <w:szCs w:val="24"/>
        </w:rPr>
        <w:t>Seasonal hitchhiker pest risk management</w:t>
      </w:r>
    </w:p>
    <w:p w14:paraId="0FDC0583" w14:textId="2C691E3E" w:rsidR="00AB0E44" w:rsidRDefault="00361FA3">
      <w:pPr>
        <w:rPr>
          <w:rFonts w:ascii="Calibri" w:hAnsi="Calibri"/>
        </w:rPr>
      </w:pPr>
      <w:r>
        <w:rPr>
          <w:rFonts w:ascii="Calibri" w:hAnsi="Calibri"/>
        </w:rPr>
        <w:t xml:space="preserve">Since December 2014 very large numbers </w:t>
      </w:r>
      <w:r w:rsidRPr="00EF692C">
        <w:rPr>
          <w:rFonts w:ascii="Calibri" w:hAnsi="Calibri"/>
        </w:rPr>
        <w:t xml:space="preserve">of </w:t>
      </w:r>
      <w:r w:rsidRPr="007B15E0">
        <w:rPr>
          <w:rFonts w:ascii="Calibri" w:hAnsi="Calibri"/>
          <w:b/>
        </w:rPr>
        <w:t>brown marmorated stink bugs</w:t>
      </w:r>
      <w:r w:rsidRPr="00EF692C">
        <w:rPr>
          <w:rFonts w:ascii="Calibri" w:hAnsi="Calibri"/>
        </w:rPr>
        <w:t xml:space="preserve"> </w:t>
      </w:r>
      <w:r w:rsidR="006C593D">
        <w:rPr>
          <w:rFonts w:ascii="Calibri" w:hAnsi="Calibri"/>
        </w:rPr>
        <w:t xml:space="preserve">(BMSB) </w:t>
      </w:r>
      <w:r w:rsidRPr="00EF692C">
        <w:rPr>
          <w:rFonts w:ascii="Calibri" w:hAnsi="Calibri"/>
        </w:rPr>
        <w:t>have</w:t>
      </w:r>
      <w:r>
        <w:rPr>
          <w:rFonts w:ascii="Calibri" w:hAnsi="Calibri"/>
        </w:rPr>
        <w:t xml:space="preserve"> been identified in sea cargo, especially in break-bulk and some containerised cargo shipped from the United States between the months of September and April each year. Since 2016 the department has focused on break-bulk and containerised cargo shipped between September and April, especially from Italian ports—</w:t>
      </w:r>
      <w:r w:rsidR="006C593D">
        <w:rPr>
          <w:rFonts w:ascii="Calibri" w:hAnsi="Calibri"/>
        </w:rPr>
        <w:t>due to</w:t>
      </w:r>
      <w:r>
        <w:rPr>
          <w:rFonts w:ascii="Calibri" w:hAnsi="Calibri"/>
        </w:rPr>
        <w:t xml:space="preserve"> the spread </w:t>
      </w:r>
      <w:r w:rsidR="00EF692C">
        <w:rPr>
          <w:rFonts w:ascii="Calibri" w:hAnsi="Calibri"/>
        </w:rPr>
        <w:t xml:space="preserve">of </w:t>
      </w:r>
      <w:r w:rsidR="006C593D">
        <w:rPr>
          <w:rFonts w:ascii="Calibri" w:hAnsi="Calibri"/>
        </w:rPr>
        <w:t xml:space="preserve">BMSB </w:t>
      </w:r>
      <w:r>
        <w:rPr>
          <w:rFonts w:ascii="Calibri" w:hAnsi="Calibri"/>
        </w:rPr>
        <w:t xml:space="preserve">into Europe. In 2017–18 an upsurge in </w:t>
      </w:r>
      <w:r w:rsidR="00EF692C">
        <w:rPr>
          <w:rFonts w:ascii="Calibri" w:hAnsi="Calibri"/>
        </w:rPr>
        <w:t xml:space="preserve">bug </w:t>
      </w:r>
      <w:r>
        <w:rPr>
          <w:rFonts w:ascii="Calibri" w:hAnsi="Calibri"/>
        </w:rPr>
        <w:t xml:space="preserve">interceptions </w:t>
      </w:r>
      <w:r w:rsidR="006C593D">
        <w:rPr>
          <w:rFonts w:ascii="Calibri" w:hAnsi="Calibri"/>
        </w:rPr>
        <w:t xml:space="preserve">and several post-border detections </w:t>
      </w:r>
      <w:r>
        <w:rPr>
          <w:rFonts w:ascii="Calibri" w:hAnsi="Calibri"/>
        </w:rPr>
        <w:t>showed that offshore fumigation had been unreliable. As a result</w:t>
      </w:r>
      <w:r w:rsidRPr="00EF692C">
        <w:rPr>
          <w:rFonts w:ascii="Calibri" w:hAnsi="Calibri"/>
        </w:rPr>
        <w:t xml:space="preserve">, the department required fumigation on arrival of containerised cargo </w:t>
      </w:r>
      <w:r w:rsidR="006C593D">
        <w:rPr>
          <w:rFonts w:ascii="Calibri" w:hAnsi="Calibri"/>
        </w:rPr>
        <w:t>com</w:t>
      </w:r>
      <w:r w:rsidRPr="00EF692C">
        <w:rPr>
          <w:rFonts w:ascii="Calibri" w:hAnsi="Calibri"/>
        </w:rPr>
        <w:t>ing from Italian ports. This caused short-term disruption to cargo handling on arrival and significantly increased departmental workload</w:t>
      </w:r>
      <w:r w:rsidR="004832CA">
        <w:rPr>
          <w:lang w:eastAsia="ja-JP"/>
        </w:rPr>
        <w:t xml:space="preserve"> and pressure on an already stressed biosecurity system. </w:t>
      </w:r>
      <w:r w:rsidR="006C593D">
        <w:rPr>
          <w:rFonts w:ascii="Calibri" w:hAnsi="Calibri"/>
        </w:rPr>
        <w:t>BMSB remains a major threat to both Australia and New Zealand and</w:t>
      </w:r>
      <w:r w:rsidR="008D59E6">
        <w:rPr>
          <w:rFonts w:ascii="Calibri" w:hAnsi="Calibri"/>
        </w:rPr>
        <w:t xml:space="preserve"> an</w:t>
      </w:r>
      <w:r w:rsidR="006C593D">
        <w:rPr>
          <w:rFonts w:ascii="Calibri" w:hAnsi="Calibri"/>
        </w:rPr>
        <w:t xml:space="preserve"> intensive </w:t>
      </w:r>
      <w:r w:rsidR="008D59E6">
        <w:rPr>
          <w:rFonts w:ascii="Calibri" w:hAnsi="Calibri"/>
        </w:rPr>
        <w:t>program to combat it will need to continue, with offshore, border and post-border interventions.</w:t>
      </w:r>
    </w:p>
    <w:p w14:paraId="62D9F4F5" w14:textId="69452A36" w:rsidR="00AB0E44" w:rsidRDefault="00361FA3">
      <w:pPr>
        <w:tabs>
          <w:tab w:val="clear" w:pos="567"/>
        </w:tabs>
        <w:spacing w:after="0"/>
        <w:rPr>
          <w:rFonts w:ascii="Calibri" w:hAnsi="Calibri"/>
          <w:lang w:eastAsia="ja-JP"/>
        </w:rPr>
      </w:pPr>
      <w:r>
        <w:rPr>
          <w:rFonts w:ascii="Calibri" w:hAnsi="Calibri"/>
        </w:rPr>
        <w:t xml:space="preserve">In recent years, </w:t>
      </w:r>
      <w:r w:rsidRPr="007B15E0">
        <w:rPr>
          <w:rFonts w:ascii="Calibri" w:hAnsi="Calibri"/>
          <w:b/>
        </w:rPr>
        <w:t>Asian gypsy moth</w:t>
      </w:r>
      <w:r>
        <w:rPr>
          <w:rFonts w:ascii="Calibri" w:hAnsi="Calibri"/>
        </w:rPr>
        <w:t xml:space="preserve"> inspections have been selectively undertaken by</w:t>
      </w:r>
      <w:r>
        <w:rPr>
          <w:rFonts w:ascii="Calibri" w:hAnsi="Calibri"/>
          <w:lang w:eastAsia="ja-JP"/>
        </w:rPr>
        <w:t xml:space="preserve"> port of origin, pathway and season (due to heightened risk between January and May). Recently, far more </w:t>
      </w:r>
      <w:r w:rsidR="00EF692C">
        <w:rPr>
          <w:rFonts w:ascii="Calibri" w:hAnsi="Calibri"/>
          <w:lang w:eastAsia="ja-JP"/>
        </w:rPr>
        <w:t xml:space="preserve">Asian gypsy moths </w:t>
      </w:r>
      <w:r>
        <w:rPr>
          <w:rFonts w:ascii="Calibri" w:hAnsi="Calibri"/>
          <w:lang w:eastAsia="ja-JP"/>
        </w:rPr>
        <w:t xml:space="preserve">have been found during pre-export inspections. This has led to fewer whole-of-ship targeted inspections and fewer </w:t>
      </w:r>
      <w:r w:rsidR="00EF692C">
        <w:rPr>
          <w:rFonts w:ascii="Calibri" w:hAnsi="Calibri"/>
          <w:lang w:eastAsia="ja-JP"/>
        </w:rPr>
        <w:t xml:space="preserve">moth </w:t>
      </w:r>
      <w:r>
        <w:rPr>
          <w:rFonts w:ascii="Calibri" w:hAnsi="Calibri"/>
          <w:lang w:eastAsia="ja-JP"/>
        </w:rPr>
        <w:t>interceptions on arrival—a successful outcome.</w:t>
      </w:r>
    </w:p>
    <w:p w14:paraId="69ADB5D2" w14:textId="01FF7D31" w:rsidR="00AB0E44" w:rsidRDefault="00361FA3">
      <w:pPr>
        <w:keepNext/>
        <w:tabs>
          <w:tab w:val="clear" w:pos="567"/>
        </w:tabs>
        <w:spacing w:after="0"/>
        <w:rPr>
          <w:rFonts w:ascii="Calibri" w:hAnsi="Calibri"/>
          <w:lang w:eastAsia="ja-JP"/>
        </w:rPr>
      </w:pPr>
      <w:r w:rsidRPr="007B15E0">
        <w:rPr>
          <w:rFonts w:ascii="Calibri" w:hAnsi="Calibri"/>
          <w:b/>
        </w:rPr>
        <w:t>Burnt pine longicorn beetle</w:t>
      </w:r>
      <w:r>
        <w:rPr>
          <w:rFonts w:ascii="Calibri" w:hAnsi="Calibri"/>
        </w:rPr>
        <w:t xml:space="preserve"> risks are managed through </w:t>
      </w:r>
      <w:r>
        <w:rPr>
          <w:rFonts w:ascii="Calibri" w:hAnsi="Calibri"/>
          <w:lang w:eastAsia="ja-JP"/>
        </w:rPr>
        <w:t>surveillance and timber fumigation</w:t>
      </w:r>
      <w:r>
        <w:rPr>
          <w:rFonts w:ascii="Calibri" w:hAnsi="Calibri"/>
        </w:rPr>
        <w:t xml:space="preserve"> offshore (in New Zealand) and onshore</w:t>
      </w:r>
      <w:r>
        <w:rPr>
          <w:rFonts w:ascii="Calibri" w:hAnsi="Calibri"/>
          <w:lang w:eastAsia="ja-JP"/>
        </w:rPr>
        <w:t xml:space="preserve">, especially in the risk season from November to May. The department is looking to better manage </w:t>
      </w:r>
      <w:r w:rsidR="00EF692C">
        <w:rPr>
          <w:rFonts w:ascii="Calibri" w:hAnsi="Calibri"/>
          <w:lang w:eastAsia="ja-JP"/>
        </w:rPr>
        <w:t xml:space="preserve">burnt pine longicorn beetle </w:t>
      </w:r>
      <w:r w:rsidR="000C0B0D">
        <w:rPr>
          <w:rFonts w:ascii="Calibri" w:hAnsi="Calibri"/>
          <w:lang w:eastAsia="ja-JP"/>
        </w:rPr>
        <w:t xml:space="preserve">incursion risks </w:t>
      </w:r>
      <w:r>
        <w:rPr>
          <w:rFonts w:ascii="Calibri" w:hAnsi="Calibri"/>
          <w:lang w:eastAsia="ja-JP"/>
        </w:rPr>
        <w:t>through improved vessel reporting.</w:t>
      </w:r>
    </w:p>
    <w:p w14:paraId="482521E4" w14:textId="77777777" w:rsidR="00AB0E44" w:rsidRDefault="00361FA3">
      <w:pPr>
        <w:keepNext/>
        <w:keepLines/>
        <w:numPr>
          <w:ilvl w:val="0"/>
          <w:numId w:val="30"/>
        </w:numPr>
        <w:tabs>
          <w:tab w:val="clear" w:pos="567"/>
        </w:tabs>
        <w:spacing w:before="240" w:after="0"/>
        <w:ind w:left="567" w:hanging="567"/>
        <w:outlineLvl w:val="2"/>
        <w:rPr>
          <w:rFonts w:ascii="Calibri" w:eastAsia="Times New Roman" w:hAnsi="Calibri"/>
          <w:b/>
          <w:bCs/>
          <w:sz w:val="32"/>
          <w:szCs w:val="24"/>
        </w:rPr>
      </w:pPr>
      <w:r>
        <w:rPr>
          <w:rFonts w:ascii="Calibri" w:eastAsia="Times New Roman" w:hAnsi="Calibri"/>
          <w:b/>
          <w:bCs/>
          <w:sz w:val="32"/>
          <w:szCs w:val="24"/>
        </w:rPr>
        <w:t>Other key hitchhiker pests</w:t>
      </w:r>
    </w:p>
    <w:p w14:paraId="20DE6B3F" w14:textId="77777777" w:rsidR="00AB0E44" w:rsidRDefault="00361FA3">
      <w:pPr>
        <w:tabs>
          <w:tab w:val="clear" w:pos="567"/>
        </w:tabs>
        <w:spacing w:after="0"/>
        <w:rPr>
          <w:rFonts w:ascii="Calibri" w:hAnsi="Calibri"/>
          <w:lang w:eastAsia="ja-JP"/>
        </w:rPr>
      </w:pPr>
      <w:r>
        <w:rPr>
          <w:rFonts w:ascii="Calibri" w:hAnsi="Calibri"/>
        </w:rPr>
        <w:t xml:space="preserve">Management of </w:t>
      </w:r>
      <w:r w:rsidRPr="007B15E0">
        <w:rPr>
          <w:rFonts w:ascii="Calibri" w:hAnsi="Calibri"/>
          <w:b/>
        </w:rPr>
        <w:t>exotic invasive ants</w:t>
      </w:r>
      <w:r>
        <w:rPr>
          <w:rFonts w:ascii="Calibri" w:hAnsi="Calibri"/>
        </w:rPr>
        <w:t xml:space="preserve"> requires targeted surveillance at and near ports—including inspection for nests </w:t>
      </w:r>
      <w:r w:rsidRPr="00EF692C">
        <w:rPr>
          <w:rFonts w:ascii="Calibri" w:hAnsi="Calibri"/>
        </w:rPr>
        <w:t xml:space="preserve">and regularly monitoring </w:t>
      </w:r>
      <w:r w:rsidRPr="00EF692C">
        <w:rPr>
          <w:rFonts w:ascii="Calibri" w:hAnsi="Calibri"/>
          <w:lang w:eastAsia="ja-JP"/>
        </w:rPr>
        <w:t>purpose</w:t>
      </w:r>
      <w:r>
        <w:rPr>
          <w:rFonts w:ascii="Calibri" w:hAnsi="Calibri"/>
          <w:lang w:eastAsia="ja-JP"/>
        </w:rPr>
        <w:t>-built traps. The department reports all detections to the relevant state/territory departments and port neighbours so the response can be integrated. Ants represent an increasing threat, and their management will require sustained effort.</w:t>
      </w:r>
    </w:p>
    <w:p w14:paraId="17B0EF56" w14:textId="77777777" w:rsidR="00AB0E44" w:rsidRDefault="00361FA3">
      <w:pPr>
        <w:tabs>
          <w:tab w:val="clear" w:pos="567"/>
        </w:tabs>
        <w:spacing w:after="0"/>
        <w:rPr>
          <w:rFonts w:ascii="Calibri" w:hAnsi="Calibri"/>
          <w:lang w:eastAsia="ja-JP"/>
        </w:rPr>
      </w:pPr>
      <w:r w:rsidRPr="007B15E0">
        <w:rPr>
          <w:rFonts w:ascii="Calibri" w:hAnsi="Calibri"/>
          <w:b/>
        </w:rPr>
        <w:t>Exotic bees and bee mites</w:t>
      </w:r>
      <w:r>
        <w:rPr>
          <w:rFonts w:ascii="Calibri" w:hAnsi="Calibri"/>
        </w:rPr>
        <w:t xml:space="preserve"> are monitored at and near major ports through strategic placement and regular monitoring of sentinel hives</w:t>
      </w:r>
      <w:r>
        <w:rPr>
          <w:rFonts w:ascii="Calibri" w:hAnsi="Calibri"/>
          <w:lang w:eastAsia="ja-JP"/>
        </w:rPr>
        <w:t xml:space="preserve"> and other traps. Asian honey bee populations have established in Cairns, but no other exotic bee species have established on the Australian mainland. Cooperative </w:t>
      </w:r>
      <w:r w:rsidRPr="00EF692C">
        <w:rPr>
          <w:rFonts w:ascii="Calibri" w:hAnsi="Calibri"/>
          <w:lang w:eastAsia="ja-JP"/>
        </w:rPr>
        <w:t>surveillance run by the department</w:t>
      </w:r>
      <w:r>
        <w:rPr>
          <w:rFonts w:ascii="Calibri" w:hAnsi="Calibri"/>
          <w:lang w:eastAsia="ja-JP"/>
        </w:rPr>
        <w:t xml:space="preserve">, state and territory agencies and beekeepers shows that Australia remains free of most </w:t>
      </w:r>
      <w:proofErr w:type="spellStart"/>
      <w:r w:rsidRPr="007B15E0">
        <w:rPr>
          <w:rFonts w:ascii="Calibri" w:hAnsi="Calibri"/>
          <w:lang w:eastAsia="ja-JP"/>
        </w:rPr>
        <w:t>Varroa</w:t>
      </w:r>
      <w:proofErr w:type="spellEnd"/>
      <w:r w:rsidRPr="00EF692C">
        <w:rPr>
          <w:rFonts w:ascii="Calibri" w:hAnsi="Calibri"/>
          <w:lang w:eastAsia="ja-JP"/>
        </w:rPr>
        <w:t xml:space="preserve"> </w:t>
      </w:r>
      <w:r>
        <w:rPr>
          <w:rFonts w:ascii="Calibri" w:hAnsi="Calibri"/>
          <w:lang w:eastAsia="ja-JP"/>
        </w:rPr>
        <w:t>and other key exotic mites.</w:t>
      </w:r>
    </w:p>
    <w:p w14:paraId="79DA631F" w14:textId="77777777" w:rsidR="00AB0E44" w:rsidRDefault="00361FA3">
      <w:pPr>
        <w:keepNext/>
        <w:keepLines/>
        <w:numPr>
          <w:ilvl w:val="0"/>
          <w:numId w:val="30"/>
        </w:numPr>
        <w:tabs>
          <w:tab w:val="clear" w:pos="567"/>
        </w:tabs>
        <w:spacing w:before="240" w:after="0"/>
        <w:ind w:left="567" w:hanging="567"/>
        <w:outlineLvl w:val="2"/>
        <w:rPr>
          <w:rFonts w:ascii="Calibri" w:eastAsia="Times New Roman" w:hAnsi="Calibri"/>
          <w:b/>
          <w:bCs/>
          <w:sz w:val="32"/>
          <w:szCs w:val="24"/>
        </w:rPr>
      </w:pPr>
      <w:r>
        <w:rPr>
          <w:rFonts w:ascii="Calibri" w:eastAsia="Times New Roman" w:hAnsi="Calibri"/>
          <w:b/>
          <w:bCs/>
          <w:sz w:val="32"/>
          <w:szCs w:val="24"/>
        </w:rPr>
        <w:t>Conclusion</w:t>
      </w:r>
    </w:p>
    <w:p w14:paraId="4A1994E5" w14:textId="6D4A5CE8" w:rsidR="00AB0E44" w:rsidRDefault="00EF692C">
      <w:pPr>
        <w:tabs>
          <w:tab w:val="clear" w:pos="567"/>
        </w:tabs>
        <w:spacing w:after="0"/>
        <w:rPr>
          <w:rFonts w:ascii="Calibri" w:hAnsi="Calibri"/>
          <w:lang w:eastAsia="ja-JP"/>
        </w:rPr>
      </w:pPr>
      <w:r>
        <w:rPr>
          <w:rFonts w:ascii="Calibri" w:hAnsi="Calibri"/>
          <w:lang w:eastAsia="ja-JP"/>
        </w:rPr>
        <w:t>The challenge for Australia in managing h</w:t>
      </w:r>
      <w:r w:rsidR="00361FA3">
        <w:rPr>
          <w:rFonts w:ascii="Calibri" w:hAnsi="Calibri"/>
          <w:lang w:eastAsia="ja-JP"/>
        </w:rPr>
        <w:t xml:space="preserve">itchhiker pests and contaminants </w:t>
      </w:r>
      <w:r>
        <w:rPr>
          <w:rFonts w:ascii="Calibri" w:hAnsi="Calibri"/>
          <w:lang w:eastAsia="ja-JP"/>
        </w:rPr>
        <w:t xml:space="preserve">is </w:t>
      </w:r>
      <w:r w:rsidR="00361FA3">
        <w:rPr>
          <w:rFonts w:ascii="Calibri" w:hAnsi="Calibri"/>
          <w:lang w:eastAsia="ja-JP"/>
        </w:rPr>
        <w:t xml:space="preserve">increasing </w:t>
      </w:r>
      <w:r>
        <w:rPr>
          <w:rFonts w:ascii="Calibri" w:hAnsi="Calibri"/>
          <w:lang w:eastAsia="ja-JP"/>
        </w:rPr>
        <w:t xml:space="preserve">because of </w:t>
      </w:r>
      <w:r w:rsidR="00361FA3" w:rsidRPr="00EF692C">
        <w:rPr>
          <w:rFonts w:ascii="Calibri" w:hAnsi="Calibri"/>
          <w:lang w:eastAsia="ja-JP"/>
        </w:rPr>
        <w:t>greater</w:t>
      </w:r>
      <w:r w:rsidR="00361FA3">
        <w:rPr>
          <w:rFonts w:ascii="Calibri" w:hAnsi="Calibri"/>
          <w:lang w:eastAsia="ja-JP"/>
        </w:rPr>
        <w:t xml:space="preserve"> global trade and movement of pests and diseases around the world. Many other countries may not prioritise preventive measures because </w:t>
      </w:r>
      <w:r w:rsidR="00112BDD">
        <w:rPr>
          <w:rFonts w:ascii="Calibri" w:hAnsi="Calibri"/>
          <w:lang w:eastAsia="ja-JP"/>
        </w:rPr>
        <w:t xml:space="preserve">certain </w:t>
      </w:r>
      <w:r w:rsidR="00361FA3">
        <w:rPr>
          <w:rFonts w:ascii="Calibri" w:hAnsi="Calibri"/>
          <w:lang w:eastAsia="ja-JP"/>
        </w:rPr>
        <w:t>pests may be endemic or not pose as great a risk</w:t>
      </w:r>
      <w:r w:rsidR="00112BDD">
        <w:rPr>
          <w:rFonts w:ascii="Calibri" w:hAnsi="Calibri"/>
          <w:lang w:eastAsia="ja-JP"/>
        </w:rPr>
        <w:t xml:space="preserve"> to them as they do to Australia</w:t>
      </w:r>
      <w:r w:rsidR="00361FA3">
        <w:rPr>
          <w:rFonts w:ascii="Calibri" w:hAnsi="Calibri"/>
          <w:lang w:eastAsia="ja-JP"/>
        </w:rPr>
        <w:t>.</w:t>
      </w:r>
    </w:p>
    <w:p w14:paraId="5272001D" w14:textId="77777777" w:rsidR="00AB0E44" w:rsidRDefault="00361FA3">
      <w:pPr>
        <w:tabs>
          <w:tab w:val="clear" w:pos="567"/>
        </w:tabs>
        <w:spacing w:after="0"/>
        <w:rPr>
          <w:rFonts w:ascii="Calibri" w:hAnsi="Calibri"/>
        </w:rPr>
      </w:pPr>
      <w:r w:rsidRPr="00EF692C">
        <w:rPr>
          <w:rFonts w:ascii="Calibri" w:hAnsi="Calibri"/>
          <w:lang w:eastAsia="ja-JP"/>
        </w:rPr>
        <w:t xml:space="preserve">The department should continue to develop its offshore risk management programs, </w:t>
      </w:r>
      <w:r w:rsidRPr="00EF692C">
        <w:rPr>
          <w:rFonts w:ascii="Calibri" w:hAnsi="Calibri"/>
        </w:rPr>
        <w:t>using incentive-based compliance systems for importers and shipping lines that transport containers and break-bulk cargo that meet biosecurity requirements.</w:t>
      </w:r>
    </w:p>
    <w:p w14:paraId="7A7B3A17" w14:textId="6D6DB065" w:rsidR="00AB0E44" w:rsidRDefault="00EF692C">
      <w:pPr>
        <w:tabs>
          <w:tab w:val="clear" w:pos="567"/>
        </w:tabs>
        <w:spacing w:after="0"/>
        <w:rPr>
          <w:rFonts w:ascii="Calibri" w:hAnsi="Calibri"/>
          <w:lang w:eastAsia="ja-JP"/>
        </w:rPr>
      </w:pPr>
      <w:r>
        <w:rPr>
          <w:rFonts w:ascii="Calibri" w:hAnsi="Calibri"/>
          <w:lang w:eastAsia="ja-JP"/>
        </w:rPr>
        <w:t xml:space="preserve">It is likely that the </w:t>
      </w:r>
      <w:r w:rsidR="00361FA3">
        <w:rPr>
          <w:rFonts w:ascii="Calibri" w:hAnsi="Calibri"/>
          <w:lang w:eastAsia="ja-JP"/>
        </w:rPr>
        <w:t>volume of sea containers entering Australia will continue to rise steadily. Improved external and internal contamination risk profiling for targeted intervention will be necessary but insufficient to manage future challenges.</w:t>
      </w:r>
    </w:p>
    <w:p w14:paraId="64707139" w14:textId="0C75A467" w:rsidR="00AB0E44" w:rsidRDefault="00361FA3">
      <w:pPr>
        <w:tabs>
          <w:tab w:val="clear" w:pos="567"/>
        </w:tabs>
        <w:spacing w:after="0"/>
        <w:rPr>
          <w:rFonts w:ascii="Calibri" w:hAnsi="Calibri"/>
          <w:lang w:eastAsia="ja-JP"/>
        </w:rPr>
      </w:pPr>
      <w:r>
        <w:rPr>
          <w:rFonts w:ascii="Calibri" w:hAnsi="Calibri"/>
          <w:lang w:eastAsia="ja-JP"/>
        </w:rPr>
        <w:t xml:space="preserve">The department is not </w:t>
      </w:r>
      <w:r w:rsidRPr="00EF692C">
        <w:rPr>
          <w:rFonts w:ascii="Calibri" w:hAnsi="Calibri"/>
          <w:lang w:eastAsia="ja-JP"/>
        </w:rPr>
        <w:t>sufficiently managing the</w:t>
      </w:r>
      <w:r>
        <w:rPr>
          <w:rFonts w:ascii="Calibri" w:hAnsi="Calibri"/>
          <w:lang w:eastAsia="ja-JP"/>
        </w:rPr>
        <w:t xml:space="preserve"> risk of external contamination of sea containers. Current inspection and cleaning regimes are cumbersome and will not cope with expected increases in container numbers or development of ever-faster cargo transport systems (such as rail to intermodal hubs). Automated container inspection and cleaning could improve efficiency and effectiveness across the whole system</w:t>
      </w:r>
      <w:r w:rsidR="00EF692C">
        <w:rPr>
          <w:rFonts w:ascii="Calibri" w:hAnsi="Calibri"/>
          <w:lang w:eastAsia="ja-JP"/>
        </w:rPr>
        <w:t>; therefore, industry and government should</w:t>
      </w:r>
      <w:r>
        <w:rPr>
          <w:rFonts w:ascii="Calibri" w:hAnsi="Calibri"/>
          <w:lang w:eastAsia="ja-JP"/>
        </w:rPr>
        <w:t xml:space="preserve"> </w:t>
      </w:r>
      <w:r w:rsidRPr="00EF692C">
        <w:rPr>
          <w:rFonts w:ascii="Calibri" w:hAnsi="Calibri"/>
          <w:lang w:eastAsia="ja-JP"/>
        </w:rPr>
        <w:t xml:space="preserve">prioritise </w:t>
      </w:r>
      <w:r w:rsidR="00EF692C">
        <w:rPr>
          <w:rFonts w:ascii="Calibri" w:hAnsi="Calibri"/>
          <w:lang w:eastAsia="ja-JP"/>
        </w:rPr>
        <w:t>it</w:t>
      </w:r>
      <w:r w:rsidRPr="00EF692C">
        <w:rPr>
          <w:rFonts w:ascii="Calibri" w:hAnsi="Calibri"/>
          <w:lang w:eastAsia="ja-JP"/>
        </w:rPr>
        <w:t>.</w:t>
      </w:r>
    </w:p>
    <w:p w14:paraId="48B49510" w14:textId="14669A79" w:rsidR="00AB0E44" w:rsidRDefault="00361FA3">
      <w:pPr>
        <w:tabs>
          <w:tab w:val="clear" w:pos="567"/>
        </w:tabs>
        <w:spacing w:after="0"/>
        <w:rPr>
          <w:rFonts w:ascii="Calibri" w:hAnsi="Calibri"/>
          <w:lang w:eastAsia="ja-JP"/>
        </w:rPr>
      </w:pPr>
      <w:r>
        <w:rPr>
          <w:rFonts w:ascii="Calibri" w:hAnsi="Calibri"/>
          <w:lang w:eastAsia="ja-JP"/>
        </w:rPr>
        <w:t xml:space="preserve">Automated container washing </w:t>
      </w:r>
      <w:r w:rsidR="00472E30">
        <w:rPr>
          <w:rFonts w:ascii="Calibri" w:hAnsi="Calibri"/>
          <w:lang w:eastAsia="ja-JP"/>
        </w:rPr>
        <w:t xml:space="preserve">at major container receival ports </w:t>
      </w:r>
      <w:r>
        <w:rPr>
          <w:rFonts w:ascii="Calibri" w:hAnsi="Calibri"/>
          <w:lang w:eastAsia="ja-JP"/>
        </w:rPr>
        <w:t>could result in a far greater percentage of high- and medium-risk containers</w:t>
      </w:r>
      <w:r w:rsidR="00472E30">
        <w:rPr>
          <w:rFonts w:ascii="Calibri" w:hAnsi="Calibri"/>
          <w:lang w:eastAsia="ja-JP"/>
        </w:rPr>
        <w:t>, and those to be transported by rail,</w:t>
      </w:r>
      <w:r>
        <w:rPr>
          <w:rFonts w:ascii="Calibri" w:hAnsi="Calibri"/>
          <w:lang w:eastAsia="ja-JP"/>
        </w:rPr>
        <w:t xml:space="preserve"> being satisfactorily cleaned before they are moved from the wharf. This may provide the biggest short-term reduction in external biosecurity risk. The development and validation of automated inspection methods could further improve the system.</w:t>
      </w:r>
    </w:p>
    <w:p w14:paraId="52C75C3B" w14:textId="1E0569F7" w:rsidR="00AB0E44" w:rsidRDefault="00361FA3">
      <w:pPr>
        <w:tabs>
          <w:tab w:val="clear" w:pos="567"/>
        </w:tabs>
        <w:spacing w:after="0"/>
        <w:rPr>
          <w:rFonts w:ascii="Calibri" w:hAnsi="Calibri"/>
          <w:lang w:eastAsia="ja-JP"/>
        </w:rPr>
      </w:pPr>
      <w:r w:rsidRPr="00EF692C">
        <w:rPr>
          <w:rFonts w:ascii="Calibri" w:hAnsi="Calibri"/>
          <w:lang w:eastAsia="ja-JP"/>
        </w:rPr>
        <w:t xml:space="preserve">The risk of sea containers carrying pests internally </w:t>
      </w:r>
      <w:r w:rsidR="00D02424">
        <w:rPr>
          <w:rFonts w:ascii="Calibri" w:hAnsi="Calibri"/>
          <w:lang w:eastAsia="ja-JP"/>
        </w:rPr>
        <w:t xml:space="preserve">is </w:t>
      </w:r>
      <w:r w:rsidRPr="00EF692C">
        <w:rPr>
          <w:rFonts w:ascii="Calibri" w:hAnsi="Calibri"/>
          <w:lang w:eastAsia="ja-JP"/>
        </w:rPr>
        <w:t>also increasing—</w:t>
      </w:r>
      <w:r>
        <w:rPr>
          <w:rFonts w:ascii="Calibri" w:hAnsi="Calibri"/>
          <w:lang w:eastAsia="ja-JP"/>
        </w:rPr>
        <w:t>evident because more hitchhiker pests have been found in recent years. The department’s rural tailgate inspection program seems to be effective in protecting rural postcode destinations but a greater level of internal inspection may be required for others. The national border surveillance program</w:t>
      </w:r>
      <w:r w:rsidR="00D02424">
        <w:rPr>
          <w:rFonts w:ascii="Calibri" w:hAnsi="Calibri"/>
          <w:lang w:eastAsia="ja-JP"/>
        </w:rPr>
        <w:t>, and increased levels of engagement with industry and with state and territory</w:t>
      </w:r>
      <w:r>
        <w:rPr>
          <w:rFonts w:ascii="Calibri" w:hAnsi="Calibri"/>
          <w:lang w:eastAsia="ja-JP"/>
        </w:rPr>
        <w:t xml:space="preserve"> </w:t>
      </w:r>
      <w:r w:rsidR="00D02424">
        <w:rPr>
          <w:rFonts w:ascii="Calibri" w:hAnsi="Calibri"/>
          <w:lang w:eastAsia="ja-JP"/>
        </w:rPr>
        <w:t>governments are</w:t>
      </w:r>
      <w:r>
        <w:rPr>
          <w:rFonts w:ascii="Calibri" w:hAnsi="Calibri"/>
          <w:lang w:eastAsia="ja-JP"/>
        </w:rPr>
        <w:t xml:space="preserve"> also essential for early detection of pests that breach border biosecurity controls.</w:t>
      </w:r>
    </w:p>
    <w:p w14:paraId="452A1FF8" w14:textId="4D7858EE" w:rsidR="00AB0E44" w:rsidRDefault="00361FA3">
      <w:pPr>
        <w:tabs>
          <w:tab w:val="clear" w:pos="567"/>
        </w:tabs>
        <w:spacing w:after="0"/>
        <w:rPr>
          <w:rFonts w:ascii="Calibri" w:hAnsi="Calibri"/>
          <w:lang w:eastAsia="ja-JP"/>
        </w:rPr>
      </w:pPr>
      <w:r>
        <w:rPr>
          <w:rFonts w:ascii="Calibri" w:hAnsi="Calibri"/>
          <w:lang w:eastAsia="ja-JP"/>
        </w:rPr>
        <w:t xml:space="preserve">In the future the department may be able to reduce border effort by using automated systems and offshore schemes. However, it cannot even implement </w:t>
      </w:r>
      <w:r w:rsidR="00D02424">
        <w:rPr>
          <w:rFonts w:ascii="Calibri" w:hAnsi="Calibri"/>
          <w:lang w:eastAsia="ja-JP"/>
        </w:rPr>
        <w:t xml:space="preserve">its </w:t>
      </w:r>
      <w:r>
        <w:rPr>
          <w:rFonts w:ascii="Calibri" w:hAnsi="Calibri"/>
          <w:lang w:eastAsia="ja-JP"/>
        </w:rPr>
        <w:t>existing risk management policies properly due to staffing pressures. This is greatly slowing development of new and adaptive policies. Adequate long-term resourcing of current programs and frontline inspection services—and ongoing development of improved systems—will be essential to long-term biosecurity risk management. Without this, Australia risks being overwhelmed by biosecurity threats posed by increasing trade volumes and changing global pest and disease threats.</w:t>
      </w:r>
    </w:p>
    <w:p w14:paraId="7C195371" w14:textId="77777777" w:rsidR="00AB0E44" w:rsidRDefault="00361FA3">
      <w:pPr>
        <w:tabs>
          <w:tab w:val="clear" w:pos="567"/>
        </w:tabs>
        <w:spacing w:after="0"/>
        <w:rPr>
          <w:rFonts w:ascii="Calibri" w:hAnsi="Calibri"/>
          <w:lang w:eastAsia="ja-JP"/>
        </w:rPr>
      </w:pPr>
      <w:r>
        <w:rPr>
          <w:rFonts w:ascii="Calibri" w:hAnsi="Calibri"/>
          <w:lang w:eastAsia="ja-JP"/>
        </w:rPr>
        <w:t>Nevertheless, the department’s efforts to intercept and exterminate hitchhikers and contaminants are preventing a great deal of biosecurity risk material, pests and diseases from entering Australia. This is of huge value not just to agriculture and human health but also to the environment and the Australian way of life.</w:t>
      </w:r>
    </w:p>
    <w:p w14:paraId="72A31AE5" w14:textId="77777777" w:rsidR="00AB0E44" w:rsidRDefault="00361FA3">
      <w:pPr>
        <w:pStyle w:val="Heading2"/>
        <w:numPr>
          <w:ilvl w:val="0"/>
          <w:numId w:val="0"/>
        </w:numPr>
      </w:pPr>
      <w:bookmarkStart w:id="3" w:name="_Toc367702808"/>
      <w:bookmarkStart w:id="4" w:name="_Toc367706521"/>
      <w:bookmarkStart w:id="5" w:name="_Toc367707101"/>
      <w:bookmarkStart w:id="6" w:name="_Toc367707282"/>
      <w:bookmarkStart w:id="7" w:name="_Toc367708164"/>
      <w:bookmarkStart w:id="8" w:name="_Toc417308601"/>
      <w:bookmarkStart w:id="9" w:name="_Toc499046897"/>
      <w:bookmarkStart w:id="10" w:name="_Toc521069529"/>
      <w:r>
        <w:t>Recommendations</w:t>
      </w:r>
      <w:bookmarkEnd w:id="3"/>
      <w:bookmarkEnd w:id="4"/>
      <w:bookmarkEnd w:id="5"/>
      <w:bookmarkEnd w:id="6"/>
      <w:bookmarkEnd w:id="7"/>
      <w:bookmarkEnd w:id="8"/>
      <w:bookmarkEnd w:id="9"/>
      <w:bookmarkEnd w:id="10"/>
    </w:p>
    <w:p w14:paraId="764BC557" w14:textId="77777777" w:rsidR="00AB0E44" w:rsidRDefault="00361FA3">
      <w:pPr>
        <w:rPr>
          <w:szCs w:val="24"/>
        </w:rPr>
      </w:pPr>
      <w:r>
        <w:rPr>
          <w:szCs w:val="24"/>
        </w:rPr>
        <w:t xml:space="preserve">The full departmental response to the recommendations is at </w:t>
      </w:r>
      <w:hyperlink w:anchor="_Appendix_A:_Agency" w:history="1">
        <w:r>
          <w:rPr>
            <w:rStyle w:val="Hyperlink"/>
            <w:szCs w:val="24"/>
          </w:rPr>
          <w:t>Appendix A</w:t>
        </w:r>
      </w:hyperlink>
      <w:r>
        <w:rPr>
          <w:szCs w:val="24"/>
        </w:rPr>
        <w:t>.</w:t>
      </w:r>
    </w:p>
    <w:p w14:paraId="53DE8813" w14:textId="77777777" w:rsidR="00AB0E44" w:rsidRDefault="00361FA3">
      <w:pPr>
        <w:pStyle w:val="Caption"/>
        <w:spacing w:before="240"/>
      </w:pPr>
      <w:r>
        <w:t>Recommendation 1</w:t>
      </w:r>
    </w:p>
    <w:p w14:paraId="1B172948" w14:textId="77777777" w:rsidR="00AB0E44" w:rsidRDefault="00361FA3">
      <w:pPr>
        <w:pStyle w:val="BoxText"/>
      </w:pPr>
      <w:r>
        <w:t>The department should modify the MARS software so it can provide:</w:t>
      </w:r>
    </w:p>
    <w:p w14:paraId="7912AB5E" w14:textId="1BA4E618" w:rsidR="00D2041F" w:rsidRPr="000F7A1D" w:rsidRDefault="00D2041F" w:rsidP="004A2839">
      <w:pPr>
        <w:pStyle w:val="BoxTextBullet"/>
        <w:tabs>
          <w:tab w:val="clear" w:pos="227"/>
          <w:tab w:val="left" w:pos="426"/>
        </w:tabs>
        <w:ind w:left="426" w:hanging="426"/>
        <w:rPr>
          <w:szCs w:val="20"/>
          <w:lang w:eastAsia="ja-JP"/>
        </w:rPr>
      </w:pPr>
      <w:r w:rsidRPr="000F7A1D">
        <w:rPr>
          <w:szCs w:val="20"/>
          <w:lang w:eastAsia="ja-JP"/>
        </w:rPr>
        <w:t xml:space="preserve">ability for ships’ masters to </w:t>
      </w:r>
      <w:r w:rsidRPr="00590420">
        <w:rPr>
          <w:szCs w:val="20"/>
          <w:lang w:eastAsia="ja-JP"/>
        </w:rPr>
        <w:t>list up to five prior overseas ports of call when submitting a Pre-Arrival Report</w:t>
      </w:r>
      <w:r w:rsidR="005C6AC1">
        <w:rPr>
          <w:szCs w:val="20"/>
          <w:lang w:eastAsia="ja-JP"/>
        </w:rPr>
        <w:t>,</w:t>
      </w:r>
    </w:p>
    <w:p w14:paraId="6297639B" w14:textId="201BE1FD" w:rsidR="00AB0E44" w:rsidRDefault="00361FA3" w:rsidP="004A2839">
      <w:pPr>
        <w:pStyle w:val="BoxTextBullet"/>
        <w:tabs>
          <w:tab w:val="clear" w:pos="227"/>
          <w:tab w:val="left" w:pos="426"/>
        </w:tabs>
        <w:ind w:left="426" w:hanging="426"/>
      </w:pPr>
      <w:r>
        <w:t>real-time reporting and visualisation of MARS inspection data and missed inspections, including reasons by port and ship type, for all biosecurity officers and managers</w:t>
      </w:r>
      <w:r w:rsidR="005C6AC1">
        <w:t>, and</w:t>
      </w:r>
    </w:p>
    <w:p w14:paraId="64D510D7" w14:textId="77777777" w:rsidR="00AB0E44" w:rsidRDefault="00361FA3" w:rsidP="004A2839">
      <w:pPr>
        <w:pStyle w:val="BoxTextBullet"/>
        <w:tabs>
          <w:tab w:val="clear" w:pos="227"/>
          <w:tab w:val="left" w:pos="426"/>
        </w:tabs>
        <w:ind w:left="426" w:hanging="426"/>
      </w:pPr>
      <w:proofErr w:type="gramStart"/>
      <w:r>
        <w:t>better</w:t>
      </w:r>
      <w:proofErr w:type="gramEnd"/>
      <w:r>
        <w:t xml:space="preserve"> summary reports for departmental decision-makers and operational staff, and industry, to facilitate timely and targeted risk management.</w:t>
      </w:r>
    </w:p>
    <w:p w14:paraId="5D6EDAC9" w14:textId="77777777" w:rsidR="000C11D5" w:rsidRPr="000C11D5" w:rsidRDefault="00361FA3" w:rsidP="000C11D5">
      <w:pPr>
        <w:pStyle w:val="BoxText"/>
        <w:rPr>
          <w:rStyle w:val="Strong"/>
          <w:b w:val="0"/>
        </w:rPr>
      </w:pPr>
      <w:r>
        <w:rPr>
          <w:rStyle w:val="Strong"/>
        </w:rPr>
        <w:t>Department’s response:</w:t>
      </w:r>
      <w:r w:rsidR="000C11D5">
        <w:rPr>
          <w:rStyle w:val="Strong"/>
          <w:b w:val="0"/>
        </w:rPr>
        <w:t xml:space="preserve"> </w:t>
      </w:r>
      <w:r w:rsidR="000C11D5" w:rsidRPr="000C11D5">
        <w:rPr>
          <w:rStyle w:val="Strong"/>
          <w:b w:val="0"/>
        </w:rPr>
        <w:t xml:space="preserve">Agreed. </w:t>
      </w:r>
    </w:p>
    <w:p w14:paraId="5CF3F8A5" w14:textId="00CC2A6A" w:rsidR="00AB0E44" w:rsidRPr="000C11D5" w:rsidRDefault="000C11D5" w:rsidP="000C11D5">
      <w:pPr>
        <w:pStyle w:val="BoxText"/>
        <w:rPr>
          <w:rStyle w:val="Strong"/>
          <w:b w:val="0"/>
        </w:rPr>
      </w:pPr>
      <w:r w:rsidRPr="000C11D5">
        <w:rPr>
          <w:rStyle w:val="Strong"/>
          <w:b w:val="0"/>
        </w:rPr>
        <w:t>The above recommended modifications have been prioritised for future MARS releases.</w:t>
      </w:r>
    </w:p>
    <w:p w14:paraId="1696CB67" w14:textId="77777777" w:rsidR="00AB0E44" w:rsidRDefault="00361FA3">
      <w:pPr>
        <w:pStyle w:val="Caption"/>
        <w:rPr>
          <w:bCs w:val="0"/>
          <w:color w:val="auto"/>
          <w:szCs w:val="22"/>
        </w:rPr>
      </w:pPr>
      <w:r>
        <w:t>Recommendation 2</w:t>
      </w:r>
    </w:p>
    <w:p w14:paraId="3205F2C1" w14:textId="0745FC4F" w:rsidR="00AB0E44" w:rsidRDefault="00361FA3">
      <w:pPr>
        <w:pStyle w:val="BoxText"/>
      </w:pPr>
      <w:r>
        <w:t xml:space="preserve">The department should expedite the </w:t>
      </w:r>
      <w:r w:rsidR="00FB72C1">
        <w:t xml:space="preserve">upgrading of the </w:t>
      </w:r>
      <w:r>
        <w:t>S-Cargo s</w:t>
      </w:r>
      <w:r w:rsidR="00FB72C1">
        <w:t>oftware s</w:t>
      </w:r>
      <w:r>
        <w:t>ystem so it can better manage container and cargo contamination risks</w:t>
      </w:r>
      <w:r w:rsidR="00FB72C1">
        <w:t>, including</w:t>
      </w:r>
      <w:r>
        <w:t xml:space="preserve"> rural tailgate container inspections.</w:t>
      </w:r>
    </w:p>
    <w:p w14:paraId="731A2A04" w14:textId="77777777" w:rsidR="000C11D5" w:rsidRPr="000C11D5" w:rsidRDefault="00361FA3" w:rsidP="000C11D5">
      <w:pPr>
        <w:pStyle w:val="BoxText"/>
        <w:rPr>
          <w:rStyle w:val="Strong"/>
          <w:b w:val="0"/>
        </w:rPr>
      </w:pPr>
      <w:r>
        <w:rPr>
          <w:rStyle w:val="Strong"/>
        </w:rPr>
        <w:t>Department’s response:</w:t>
      </w:r>
      <w:r w:rsidR="000C11D5">
        <w:rPr>
          <w:rStyle w:val="Strong"/>
          <w:b w:val="0"/>
        </w:rPr>
        <w:t xml:space="preserve"> </w:t>
      </w:r>
      <w:r w:rsidR="000C11D5" w:rsidRPr="000C11D5">
        <w:rPr>
          <w:rStyle w:val="Strong"/>
          <w:b w:val="0"/>
        </w:rPr>
        <w:t>Agreed.</w:t>
      </w:r>
    </w:p>
    <w:p w14:paraId="293EA2C4" w14:textId="4DCACAF2" w:rsidR="00AB0E44" w:rsidRPr="000C11D5" w:rsidRDefault="000C11D5" w:rsidP="000C11D5">
      <w:pPr>
        <w:pStyle w:val="BoxText"/>
        <w:rPr>
          <w:rStyle w:val="Strong"/>
          <w:b w:val="0"/>
        </w:rPr>
      </w:pPr>
      <w:r w:rsidRPr="000C11D5">
        <w:rPr>
          <w:rStyle w:val="Strong"/>
          <w:b w:val="0"/>
        </w:rPr>
        <w:t>The department is progressing the enhancements to the S-Cargo software system as a priority. These enhancements will strengthen the department’s ability to manage the biosecurity risks entering Australia on the surfaces of sea containers and breakbulk cargo. However, the department’s ability to better manage container risks is also reliant on the progression of profile changes in the Integrated Cargo System (ICS). As rural tailgate inspections cannot be managed through the S-Cargo system, the department is considering enhancements to the Agriculture Import Management Systems (AIMS) to implement reforms to rural tailgate inspections. In addition, the department is developing a mobile tailgate application for inspectors to capture inspection results.</w:t>
      </w:r>
    </w:p>
    <w:p w14:paraId="62F70C12" w14:textId="77777777" w:rsidR="00AB0E44" w:rsidRDefault="00361FA3">
      <w:pPr>
        <w:pStyle w:val="Caption"/>
      </w:pPr>
      <w:r>
        <w:t>Recommendation 3</w:t>
      </w:r>
    </w:p>
    <w:p w14:paraId="3A970AB2" w14:textId="77777777" w:rsidR="00AB0E44" w:rsidRDefault="00361FA3">
      <w:pPr>
        <w:pStyle w:val="BoxText"/>
      </w:pPr>
      <w:r>
        <w:t>The department should prioritise allocating resources to expand the Sea Container Hygiene System, to enable better offshore management of sea container biosecurity risks from more countries and ports.</w:t>
      </w:r>
    </w:p>
    <w:p w14:paraId="5F92E310" w14:textId="77777777" w:rsidR="000C11D5" w:rsidRPr="000C11D5" w:rsidRDefault="00361FA3" w:rsidP="000C11D5">
      <w:pPr>
        <w:pStyle w:val="BoxText"/>
        <w:rPr>
          <w:rStyle w:val="Strong"/>
          <w:b w:val="0"/>
        </w:rPr>
      </w:pPr>
      <w:r>
        <w:rPr>
          <w:rStyle w:val="Strong"/>
        </w:rPr>
        <w:t>Department’s response:</w:t>
      </w:r>
      <w:r w:rsidR="000C11D5">
        <w:rPr>
          <w:rStyle w:val="Strong"/>
          <w:b w:val="0"/>
        </w:rPr>
        <w:t xml:space="preserve"> </w:t>
      </w:r>
      <w:r w:rsidR="000C11D5" w:rsidRPr="000C11D5">
        <w:rPr>
          <w:rStyle w:val="Strong"/>
          <w:b w:val="0"/>
        </w:rPr>
        <w:t>Agreed.</w:t>
      </w:r>
    </w:p>
    <w:p w14:paraId="4F8227AE" w14:textId="211DCAA9" w:rsidR="00AB0E44" w:rsidRPr="000C11D5" w:rsidRDefault="000C11D5" w:rsidP="000C11D5">
      <w:pPr>
        <w:pStyle w:val="BoxText"/>
        <w:rPr>
          <w:rStyle w:val="Strong"/>
          <w:b w:val="0"/>
        </w:rPr>
      </w:pPr>
      <w:r w:rsidRPr="000C11D5">
        <w:rPr>
          <w:rStyle w:val="Strong"/>
          <w:b w:val="0"/>
        </w:rPr>
        <w:t>The department will ensure adequate resources are allocated to prioritise expansion of the Sea Container Hygiene System (SCHS) to more countries and ports. However, the uptake of SCHS is dependent on the level of interest shown by industry and overseas government agencies.</w:t>
      </w:r>
    </w:p>
    <w:p w14:paraId="4F390FF5" w14:textId="77777777" w:rsidR="00AB0E44" w:rsidRDefault="00361FA3">
      <w:pPr>
        <w:pStyle w:val="Caption"/>
      </w:pPr>
      <w:r>
        <w:t>Recommendation 4</w:t>
      </w:r>
    </w:p>
    <w:p w14:paraId="5B260A5C" w14:textId="5CD6DEDC" w:rsidR="00AB0E44" w:rsidRDefault="00361FA3">
      <w:pPr>
        <w:pStyle w:val="BoxText"/>
      </w:pPr>
      <w:r>
        <w:t>The department should require major sea container receival operator</w:t>
      </w:r>
      <w:r w:rsidR="00065206">
        <w:t>s</w:t>
      </w:r>
      <w:r>
        <w:t xml:space="preserve"> to </w:t>
      </w:r>
      <w:r w:rsidR="00065206">
        <w:t xml:space="preserve">clean high and medium external risk </w:t>
      </w:r>
      <w:r>
        <w:t>container</w:t>
      </w:r>
      <w:r w:rsidR="00065206">
        <w:t>s to an acceptable standard</w:t>
      </w:r>
      <w:r>
        <w:t xml:space="preserve"> </w:t>
      </w:r>
      <w:r w:rsidR="00065206">
        <w:t>before they are transported from the port, removing the need for most on-wharf six-sided inspections</w:t>
      </w:r>
      <w:r w:rsidR="00995D88">
        <w:t xml:space="preserve"> and subsequent manual cleaning when biosecurity risk material is found</w:t>
      </w:r>
      <w:r w:rsidR="00065206">
        <w:t xml:space="preserve">. </w:t>
      </w:r>
      <w:r w:rsidR="00995D88">
        <w:t>Automated cleaning facilities should also be built into rail infrastructure installed to transport containers to intermodal hubs so that all containers</w:t>
      </w:r>
      <w:r w:rsidR="00065206">
        <w:t xml:space="preserve"> being transported </w:t>
      </w:r>
      <w:r w:rsidR="00995D88">
        <w:t>by rail are cleaned before leaving the port, while low risk containers leaving by truck continue to be subject to risk-based wharf gate inspections.</w:t>
      </w:r>
    </w:p>
    <w:p w14:paraId="211836DF" w14:textId="77777777" w:rsidR="000C11D5" w:rsidRPr="000C11D5" w:rsidRDefault="00361FA3" w:rsidP="000C11D5">
      <w:pPr>
        <w:pStyle w:val="BoxText"/>
        <w:rPr>
          <w:rStyle w:val="Strong"/>
          <w:b w:val="0"/>
        </w:rPr>
      </w:pPr>
      <w:r>
        <w:rPr>
          <w:rStyle w:val="Strong"/>
        </w:rPr>
        <w:t>Department’s response:</w:t>
      </w:r>
      <w:r w:rsidR="000C11D5">
        <w:rPr>
          <w:rStyle w:val="Strong"/>
          <w:b w:val="0"/>
        </w:rPr>
        <w:t xml:space="preserve"> </w:t>
      </w:r>
      <w:r w:rsidR="000C11D5" w:rsidRPr="000C11D5">
        <w:rPr>
          <w:rStyle w:val="Strong"/>
          <w:b w:val="0"/>
        </w:rPr>
        <w:t>Agreed in principle.</w:t>
      </w:r>
    </w:p>
    <w:p w14:paraId="5D685BE3" w14:textId="38FDCFBF" w:rsidR="00AB0E44" w:rsidRPr="000C11D5" w:rsidRDefault="000C11D5" w:rsidP="000C11D5">
      <w:pPr>
        <w:pStyle w:val="BoxText"/>
        <w:rPr>
          <w:rStyle w:val="Strong"/>
          <w:b w:val="0"/>
        </w:rPr>
      </w:pPr>
      <w:r w:rsidRPr="000C11D5">
        <w:rPr>
          <w:rStyle w:val="Strong"/>
          <w:b w:val="0"/>
        </w:rPr>
        <w:t>The department notes the role of automated methods of container cleaning in risk management of sea containers.  However, introduction of automated cleaning facilities could conflict with the promotion and expansion of offshore management options (recommendation 3 refers). Further, the effectiveness of these facilities in managing hitchhiker pests and molluscs needs to be assessed. In light of this recommendation, the department, in consultation with industry, will assess the impact of the introduction of these facilities on efficiency of container management at ports and whether mandating a specific technology solution is warranted. The department will consult with industry as part of this assessment.</w:t>
      </w:r>
    </w:p>
    <w:p w14:paraId="079A05F6" w14:textId="77777777" w:rsidR="00AB0E44" w:rsidRDefault="00361FA3">
      <w:pPr>
        <w:pStyle w:val="Caption"/>
      </w:pPr>
      <w:r>
        <w:t>Recommendation 5</w:t>
      </w:r>
    </w:p>
    <w:p w14:paraId="3AE35076" w14:textId="1830AF2E" w:rsidR="00AB0E44" w:rsidRDefault="00361FA3">
      <w:pPr>
        <w:pStyle w:val="BoxText"/>
      </w:pPr>
      <w:r>
        <w:t>The department should continue to reduce its dependence on methyl bromide gas for fumigation and consider assessing and approving alternative treatments.</w:t>
      </w:r>
    </w:p>
    <w:p w14:paraId="3C6021B2" w14:textId="77777777" w:rsidR="000C11D5" w:rsidRPr="000C11D5" w:rsidRDefault="00361FA3" w:rsidP="000C11D5">
      <w:pPr>
        <w:pStyle w:val="BoxText"/>
        <w:rPr>
          <w:rStyle w:val="Strong"/>
          <w:b w:val="0"/>
        </w:rPr>
      </w:pPr>
      <w:r>
        <w:rPr>
          <w:rStyle w:val="Strong"/>
        </w:rPr>
        <w:t>Department’s response:</w:t>
      </w:r>
      <w:r w:rsidR="000C11D5">
        <w:rPr>
          <w:rStyle w:val="Strong"/>
          <w:b w:val="0"/>
        </w:rPr>
        <w:t xml:space="preserve"> </w:t>
      </w:r>
      <w:r w:rsidR="000C11D5" w:rsidRPr="000C11D5">
        <w:rPr>
          <w:rStyle w:val="Strong"/>
          <w:b w:val="0"/>
        </w:rPr>
        <w:t xml:space="preserve">Agreed. </w:t>
      </w:r>
    </w:p>
    <w:p w14:paraId="3D928B25" w14:textId="4EF98DFE" w:rsidR="00AB0E44" w:rsidRPr="000C11D5" w:rsidRDefault="000C11D5" w:rsidP="000C11D5">
      <w:pPr>
        <w:pStyle w:val="BoxText"/>
        <w:rPr>
          <w:rStyle w:val="Strong"/>
          <w:b w:val="0"/>
        </w:rPr>
      </w:pPr>
      <w:r w:rsidRPr="000C11D5">
        <w:rPr>
          <w:rStyle w:val="Strong"/>
          <w:b w:val="0"/>
        </w:rPr>
        <w:t>The department is continuing to investigate alternatives to methyl bromide gas for fumigation and is also continuing to assess and approve alternative treatments where relevant.</w:t>
      </w:r>
    </w:p>
    <w:p w14:paraId="39F0E0D6" w14:textId="77777777" w:rsidR="00AB0E44" w:rsidRDefault="00361FA3">
      <w:pPr>
        <w:pStyle w:val="Caption"/>
        <w:keepLines/>
      </w:pPr>
      <w:r>
        <w:t>Recommendation 6</w:t>
      </w:r>
    </w:p>
    <w:p w14:paraId="68EE35C6" w14:textId="77777777" w:rsidR="00AB0E44" w:rsidRDefault="00361FA3">
      <w:pPr>
        <w:pStyle w:val="BoxText"/>
        <w:keepNext/>
        <w:keepLines/>
      </w:pPr>
      <w:r>
        <w:t>The department should develop a comprehensive training and rotation program to maintain a pool of competent biosecurity officers with expertise in specialised inspection areas and the experience necessary to cope with peaks in import inspection demand. This program should be regularly reviewed and adequately resourced.</w:t>
      </w:r>
    </w:p>
    <w:p w14:paraId="23738DDB" w14:textId="77777777" w:rsidR="000C11D5" w:rsidRPr="000C11D5" w:rsidRDefault="00361FA3" w:rsidP="000C11D5">
      <w:pPr>
        <w:pStyle w:val="BoxText"/>
        <w:keepNext/>
        <w:keepLines/>
        <w:rPr>
          <w:rStyle w:val="Strong"/>
          <w:b w:val="0"/>
        </w:rPr>
      </w:pPr>
      <w:r>
        <w:rPr>
          <w:rStyle w:val="Strong"/>
        </w:rPr>
        <w:t>Department’s response:</w:t>
      </w:r>
      <w:r w:rsidR="000C11D5">
        <w:rPr>
          <w:rStyle w:val="Strong"/>
          <w:b w:val="0"/>
        </w:rPr>
        <w:t xml:space="preserve"> </w:t>
      </w:r>
      <w:r w:rsidR="000C11D5" w:rsidRPr="000C11D5">
        <w:rPr>
          <w:rStyle w:val="Strong"/>
          <w:b w:val="0"/>
        </w:rPr>
        <w:t xml:space="preserve">Agreed. </w:t>
      </w:r>
    </w:p>
    <w:p w14:paraId="1591EA70" w14:textId="2315E1A1" w:rsidR="00AB0E44" w:rsidRPr="000C11D5" w:rsidRDefault="000C11D5" w:rsidP="000C11D5">
      <w:pPr>
        <w:pStyle w:val="BoxText"/>
        <w:keepNext/>
        <w:keepLines/>
        <w:rPr>
          <w:rStyle w:val="Strong"/>
          <w:rFonts w:asciiTheme="minorHAnsi" w:hAnsiTheme="minorHAnsi"/>
          <w:b w:val="0"/>
          <w:sz w:val="24"/>
        </w:rPr>
      </w:pPr>
      <w:r w:rsidRPr="000C11D5">
        <w:rPr>
          <w:rStyle w:val="Strong"/>
          <w:b w:val="0"/>
        </w:rPr>
        <w:t>The department is further strengthening its training and workforce allocation processes to ensure that specialist biosecurity functions, such as break-bulk cargo inspections, are undertaken by a well-trained and competent workforce in a dynamic demand-driven environment.</w:t>
      </w:r>
    </w:p>
    <w:p w14:paraId="19DB87AF" w14:textId="77777777" w:rsidR="00AB0E44" w:rsidRDefault="00361FA3">
      <w:pPr>
        <w:pStyle w:val="Caption"/>
      </w:pPr>
      <w:r>
        <w:t>Recommendation 7</w:t>
      </w:r>
    </w:p>
    <w:p w14:paraId="6A8C55A0" w14:textId="77777777" w:rsidR="00134D52" w:rsidRDefault="00134D52" w:rsidP="00134D52">
      <w:pPr>
        <w:pStyle w:val="BoxText"/>
      </w:pPr>
      <w:r>
        <w:t>The department should continue to work with research and development organisations and industry to develop automated inspection capability for containers and for ship bulk cargo holds and hulls.</w:t>
      </w:r>
    </w:p>
    <w:p w14:paraId="768DDE1B" w14:textId="77777777" w:rsidR="000C11D5" w:rsidRPr="000C11D5" w:rsidRDefault="00361FA3" w:rsidP="000C11D5">
      <w:pPr>
        <w:pStyle w:val="BoxText"/>
        <w:rPr>
          <w:rStyle w:val="Strong"/>
          <w:b w:val="0"/>
        </w:rPr>
      </w:pPr>
      <w:r>
        <w:rPr>
          <w:rStyle w:val="Strong"/>
        </w:rPr>
        <w:t>Department’s response:</w:t>
      </w:r>
      <w:r w:rsidR="000C11D5">
        <w:rPr>
          <w:rStyle w:val="Strong"/>
          <w:b w:val="0"/>
        </w:rPr>
        <w:t xml:space="preserve"> </w:t>
      </w:r>
      <w:r w:rsidR="000C11D5" w:rsidRPr="000C11D5">
        <w:rPr>
          <w:rStyle w:val="Strong"/>
          <w:b w:val="0"/>
        </w:rPr>
        <w:t xml:space="preserve">Agreed. </w:t>
      </w:r>
    </w:p>
    <w:p w14:paraId="579425F7" w14:textId="3B8EAB7E" w:rsidR="00AB0E44" w:rsidRPr="000C11D5" w:rsidRDefault="000C11D5" w:rsidP="000C11D5">
      <w:pPr>
        <w:pStyle w:val="BoxText"/>
        <w:rPr>
          <w:rStyle w:val="Strong"/>
          <w:b w:val="0"/>
        </w:rPr>
      </w:pPr>
      <w:r w:rsidRPr="000C11D5">
        <w:rPr>
          <w:rStyle w:val="Strong"/>
          <w:b w:val="0"/>
        </w:rPr>
        <w:t>The department is currently working with a research organisation to explore the potential use of emerging scanning technologies to automatically detect the presence of pests or contamination.</w:t>
      </w:r>
    </w:p>
    <w:p w14:paraId="69814C2B" w14:textId="77777777" w:rsidR="00AB0E44" w:rsidRDefault="00361FA3">
      <w:pPr>
        <w:pStyle w:val="Caption"/>
      </w:pPr>
      <w:r>
        <w:t>Recommendation 8</w:t>
      </w:r>
    </w:p>
    <w:p w14:paraId="20540CDA" w14:textId="77777777" w:rsidR="00AB0E44" w:rsidRDefault="00361FA3">
      <w:pPr>
        <w:pStyle w:val="BoxText"/>
      </w:pPr>
      <w:r>
        <w:t>The department should develop a policy framework for biosecurity management of aircraft similar to its policy for the biosecurity management of commercial vessels.</w:t>
      </w:r>
    </w:p>
    <w:p w14:paraId="65688120" w14:textId="77777777" w:rsidR="000C11D5" w:rsidRPr="000C11D5" w:rsidRDefault="00361FA3" w:rsidP="000C11D5">
      <w:pPr>
        <w:pStyle w:val="BoxText"/>
        <w:rPr>
          <w:rStyle w:val="Strong"/>
          <w:b w:val="0"/>
        </w:rPr>
      </w:pPr>
      <w:r>
        <w:rPr>
          <w:rStyle w:val="Strong"/>
        </w:rPr>
        <w:t>Department’s response:</w:t>
      </w:r>
      <w:r w:rsidR="000C11D5">
        <w:rPr>
          <w:rStyle w:val="Strong"/>
          <w:b w:val="0"/>
        </w:rPr>
        <w:t xml:space="preserve"> </w:t>
      </w:r>
      <w:r w:rsidR="000C11D5" w:rsidRPr="000C11D5">
        <w:rPr>
          <w:rStyle w:val="Strong"/>
          <w:b w:val="0"/>
        </w:rPr>
        <w:t xml:space="preserve">Agreed. </w:t>
      </w:r>
    </w:p>
    <w:p w14:paraId="537DCB01" w14:textId="752E99C4" w:rsidR="00AB0E44" w:rsidRPr="000C11D5" w:rsidRDefault="000C11D5" w:rsidP="000C11D5">
      <w:pPr>
        <w:pStyle w:val="BoxText"/>
        <w:rPr>
          <w:rStyle w:val="Strong"/>
          <w:b w:val="0"/>
        </w:rPr>
      </w:pPr>
      <w:r w:rsidRPr="000C11D5">
        <w:rPr>
          <w:rStyle w:val="Strong"/>
          <w:b w:val="0"/>
        </w:rPr>
        <w:t>Work has already commenced to develop a policy framework for biosecurity management of aircraft.</w:t>
      </w:r>
    </w:p>
    <w:p w14:paraId="1BE1CDF7" w14:textId="77777777" w:rsidR="00AB0E44" w:rsidRDefault="00361FA3">
      <w:pPr>
        <w:pStyle w:val="Caption"/>
        <w:rPr>
          <w:b w:val="0"/>
          <w:bCs w:val="0"/>
          <w:szCs w:val="24"/>
        </w:rPr>
      </w:pPr>
      <w:r>
        <w:t>Recommendation 9</w:t>
      </w:r>
    </w:p>
    <w:p w14:paraId="40A74616" w14:textId="0E502F03" w:rsidR="00AB0E44" w:rsidRDefault="00361FA3">
      <w:pPr>
        <w:pStyle w:val="BoxText"/>
      </w:pPr>
      <w:r>
        <w:t>The department and state/territory government agencies, industry and port authorities should agree on and cost share measures for monitoring and minimising risks of</w:t>
      </w:r>
      <w:r w:rsidR="00D95088">
        <w:t xml:space="preserve"> hitchhiker pests near first poin</w:t>
      </w:r>
      <w:r>
        <w:t>ts of entry, container parks</w:t>
      </w:r>
      <w:r w:rsidR="00D95088">
        <w:t>,</w:t>
      </w:r>
      <w:r>
        <w:t xml:space="preserve"> intermodal transport hubs</w:t>
      </w:r>
      <w:r w:rsidR="00D95088">
        <w:t xml:space="preserve"> and approved arrangement</w:t>
      </w:r>
      <w:r w:rsidR="00E13B9E">
        <w:t xml:space="preserve"> site</w:t>
      </w:r>
      <w:r w:rsidR="00D95088">
        <w:t>s</w:t>
      </w:r>
      <w:r>
        <w:t>.</w:t>
      </w:r>
    </w:p>
    <w:p w14:paraId="3D744399" w14:textId="77777777" w:rsidR="000C11D5" w:rsidRPr="000C11D5" w:rsidRDefault="00361FA3" w:rsidP="000C11D5">
      <w:pPr>
        <w:pStyle w:val="BoxText"/>
        <w:rPr>
          <w:rStyle w:val="Strong"/>
          <w:b w:val="0"/>
        </w:rPr>
      </w:pPr>
      <w:r>
        <w:rPr>
          <w:rStyle w:val="Strong"/>
        </w:rPr>
        <w:t>Department’s response:</w:t>
      </w:r>
      <w:r w:rsidR="000C11D5">
        <w:rPr>
          <w:rStyle w:val="Strong"/>
          <w:b w:val="0"/>
        </w:rPr>
        <w:t xml:space="preserve"> </w:t>
      </w:r>
      <w:r w:rsidR="000C11D5" w:rsidRPr="000C11D5">
        <w:rPr>
          <w:rStyle w:val="Strong"/>
          <w:b w:val="0"/>
        </w:rPr>
        <w:t xml:space="preserve">Agreed in principle. </w:t>
      </w:r>
    </w:p>
    <w:p w14:paraId="6C388D29" w14:textId="3052295D" w:rsidR="00AB0E44" w:rsidRPr="000C11D5" w:rsidRDefault="000C11D5" w:rsidP="000C11D5">
      <w:pPr>
        <w:pStyle w:val="BoxText"/>
        <w:rPr>
          <w:rStyle w:val="Strong"/>
          <w:b w:val="0"/>
        </w:rPr>
      </w:pPr>
      <w:r w:rsidRPr="000C11D5">
        <w:rPr>
          <w:rStyle w:val="Strong"/>
          <w:b w:val="0"/>
        </w:rPr>
        <w:t>The department will continue to consult and negotiate with all governments, as well as stakeholders, to build on the existing cost sharing arrangements.</w:t>
      </w:r>
    </w:p>
    <w:p w14:paraId="1A21B461" w14:textId="1E6FC47F" w:rsidR="00FC2D78" w:rsidRDefault="00FC2D78">
      <w:pPr>
        <w:spacing w:before="840" w:after="0"/>
        <w:rPr>
          <w:szCs w:val="24"/>
        </w:rPr>
      </w:pPr>
      <w:r>
        <w:rPr>
          <w:noProof/>
          <w:lang w:eastAsia="en-AU"/>
        </w:rPr>
        <w:drawing>
          <wp:inline distT="0" distB="0" distL="0" distR="0" wp14:anchorId="40D208DD" wp14:editId="54AAE020">
            <wp:extent cx="2049780" cy="36068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0" cstate="print"/>
                    <a:stretch>
                      <a:fillRect/>
                    </a:stretch>
                  </pic:blipFill>
                  <pic:spPr>
                    <a:xfrm>
                      <a:off x="0" y="0"/>
                      <a:ext cx="2049780" cy="360680"/>
                    </a:xfrm>
                    <a:prstGeom prst="rect">
                      <a:avLst/>
                    </a:prstGeom>
                  </pic:spPr>
                </pic:pic>
              </a:graphicData>
            </a:graphic>
          </wp:inline>
        </w:drawing>
      </w:r>
    </w:p>
    <w:p w14:paraId="31D50FEB" w14:textId="77777777" w:rsidR="00AB0E44" w:rsidRDefault="00361FA3" w:rsidP="00FC2D78">
      <w:pPr>
        <w:spacing w:before="240" w:after="0"/>
        <w:rPr>
          <w:szCs w:val="24"/>
        </w:rPr>
      </w:pPr>
      <w:r>
        <w:rPr>
          <w:szCs w:val="24"/>
        </w:rPr>
        <w:t>Dr Helen Scott-Orr</w:t>
      </w:r>
    </w:p>
    <w:p w14:paraId="55D08495" w14:textId="77777777" w:rsidR="00AB0E44" w:rsidRDefault="00361FA3">
      <w:pPr>
        <w:spacing w:after="0"/>
        <w:rPr>
          <w:szCs w:val="24"/>
        </w:rPr>
      </w:pPr>
      <w:r>
        <w:rPr>
          <w:szCs w:val="24"/>
        </w:rPr>
        <w:t>Inspector-General of Biosecurity</w:t>
      </w:r>
    </w:p>
    <w:p w14:paraId="3B7B3CA5" w14:textId="4E0FA576" w:rsidR="00AB0E44" w:rsidRDefault="00B93423">
      <w:pPr>
        <w:spacing w:before="0" w:after="480"/>
        <w:rPr>
          <w:szCs w:val="24"/>
        </w:rPr>
      </w:pPr>
      <w:r w:rsidRPr="000C11D5">
        <w:rPr>
          <w:szCs w:val="24"/>
        </w:rPr>
        <w:t>1</w:t>
      </w:r>
      <w:r w:rsidR="000C11D5" w:rsidRPr="00DB34FB">
        <w:rPr>
          <w:szCs w:val="24"/>
        </w:rPr>
        <w:t>3</w:t>
      </w:r>
      <w:r w:rsidR="00361FA3" w:rsidRPr="000C11D5">
        <w:rPr>
          <w:szCs w:val="24"/>
        </w:rPr>
        <w:t xml:space="preserve"> Ju</w:t>
      </w:r>
      <w:r w:rsidR="000C11D5" w:rsidRPr="00D970C5">
        <w:rPr>
          <w:szCs w:val="24"/>
        </w:rPr>
        <w:t>ly</w:t>
      </w:r>
      <w:r w:rsidR="00361FA3" w:rsidRPr="00D970C5">
        <w:rPr>
          <w:szCs w:val="24"/>
        </w:rPr>
        <w:t xml:space="preserve"> 2018</w:t>
      </w:r>
    </w:p>
    <w:p w14:paraId="01D24ABB" w14:textId="77777777" w:rsidR="00AB0E44" w:rsidRDefault="00361FA3">
      <w:pPr>
        <w:spacing w:before="0"/>
        <w:rPr>
          <w:b/>
          <w:bCs/>
          <w:szCs w:val="24"/>
        </w:rPr>
      </w:pPr>
      <w:r>
        <w:rPr>
          <w:b/>
          <w:bCs/>
          <w:szCs w:val="24"/>
        </w:rPr>
        <w:t>Acknowledgements</w:t>
      </w:r>
    </w:p>
    <w:p w14:paraId="7B8991AA" w14:textId="2F14D433" w:rsidR="00AB0E44" w:rsidRDefault="00361FA3">
      <w:pPr>
        <w:spacing w:before="0" w:after="480"/>
        <w:rPr>
          <w:szCs w:val="24"/>
        </w:rPr>
      </w:pPr>
      <w:r>
        <w:rPr>
          <w:szCs w:val="24"/>
        </w:rPr>
        <w:t xml:space="preserve">In undertaking this review, the IGB received cooperation and advice from industry organisations, companies and individuals, and </w:t>
      </w:r>
      <w:r>
        <w:t>officials from the Australian Government Department of Agriculture and Water Resource and other agencies</w:t>
      </w:r>
      <w:r w:rsidR="0070470F">
        <w:t>, and from the New Zealand Ministry of Primary Industries</w:t>
      </w:r>
      <w:r>
        <w:rPr>
          <w:szCs w:val="24"/>
        </w:rPr>
        <w:t>. Their assistance is gratefully acknowledged.</w:t>
      </w:r>
    </w:p>
    <w:p w14:paraId="67A62DA1" w14:textId="4422F9B7" w:rsidR="00AB0E44" w:rsidRDefault="00DF0F2B">
      <w:pPr>
        <w:pStyle w:val="Heading2"/>
        <w:numPr>
          <w:ilvl w:val="0"/>
          <w:numId w:val="83"/>
        </w:numPr>
      </w:pPr>
      <w:bookmarkStart w:id="11" w:name="_Increasing_hitchhiker_and"/>
      <w:bookmarkStart w:id="12" w:name="_Toc509242442"/>
      <w:bookmarkStart w:id="13" w:name="_Toc521069530"/>
      <w:bookmarkEnd w:id="11"/>
      <w:r>
        <w:t xml:space="preserve">Challenges for </w:t>
      </w:r>
      <w:r w:rsidR="00361FA3">
        <w:t>Australia</w:t>
      </w:r>
      <w:bookmarkEnd w:id="13"/>
      <w:r w:rsidR="00361FA3">
        <w:t xml:space="preserve"> </w:t>
      </w:r>
      <w:bookmarkEnd w:id="12"/>
    </w:p>
    <w:p w14:paraId="6D31689B" w14:textId="0D1FF157" w:rsidR="00AB0E44" w:rsidRDefault="00DF0F2B">
      <w:pPr>
        <w:pStyle w:val="Heading3"/>
      </w:pPr>
      <w:bookmarkStart w:id="14" w:name="_Toc521069531"/>
      <w:r>
        <w:t>H</w:t>
      </w:r>
      <w:r w:rsidR="00361FA3">
        <w:t>itchhiker and contaminant biosecurity risks</w:t>
      </w:r>
      <w:r>
        <w:t xml:space="preserve"> increasing</w:t>
      </w:r>
      <w:bookmarkEnd w:id="14"/>
    </w:p>
    <w:p w14:paraId="6484EF8A" w14:textId="18CEA4B4" w:rsidR="00396FE6" w:rsidRDefault="00361FA3">
      <w:pPr>
        <w:spacing w:before="240"/>
        <w:rPr>
          <w:rFonts w:cs="Calibri"/>
          <w:color w:val="000000"/>
          <w:szCs w:val="24"/>
          <w:lang w:eastAsia="en-AU"/>
        </w:rPr>
      </w:pPr>
      <w:r>
        <w:rPr>
          <w:rFonts w:cs="Calibri"/>
          <w:color w:val="000000"/>
          <w:szCs w:val="24"/>
          <w:lang w:eastAsia="en-AU"/>
        </w:rPr>
        <w:t>Australia remains free of many significant pests and diseases</w:t>
      </w:r>
      <w:r w:rsidR="00396FE6">
        <w:rPr>
          <w:rFonts w:cs="Calibri"/>
          <w:color w:val="000000"/>
          <w:szCs w:val="24"/>
          <w:lang w:eastAsia="en-AU"/>
        </w:rPr>
        <w:t xml:space="preserve"> </w:t>
      </w:r>
      <w:r w:rsidR="000B5653">
        <w:rPr>
          <w:rFonts w:cs="Calibri"/>
          <w:color w:val="000000"/>
          <w:szCs w:val="24"/>
          <w:lang w:eastAsia="en-AU"/>
        </w:rPr>
        <w:t>because it</w:t>
      </w:r>
      <w:r w:rsidR="00396FE6">
        <w:rPr>
          <w:rFonts w:cs="Calibri"/>
          <w:color w:val="000000"/>
          <w:szCs w:val="24"/>
          <w:lang w:eastAsia="en-AU"/>
        </w:rPr>
        <w:t xml:space="preserve"> </w:t>
      </w:r>
      <w:r>
        <w:rPr>
          <w:rFonts w:cs="Calibri"/>
          <w:color w:val="000000"/>
          <w:szCs w:val="24"/>
          <w:lang w:eastAsia="en-AU"/>
        </w:rPr>
        <w:t>maintain</w:t>
      </w:r>
      <w:r w:rsidR="000B5653">
        <w:rPr>
          <w:rFonts w:cs="Calibri"/>
          <w:color w:val="000000"/>
          <w:szCs w:val="24"/>
          <w:lang w:eastAsia="en-AU"/>
        </w:rPr>
        <w:t>s</w:t>
      </w:r>
      <w:r>
        <w:rPr>
          <w:rFonts w:cs="Calibri"/>
          <w:color w:val="000000"/>
          <w:szCs w:val="24"/>
          <w:lang w:eastAsia="en-AU"/>
        </w:rPr>
        <w:t xml:space="preserve"> strong biosecurity systems. However, </w:t>
      </w:r>
      <w:r w:rsidR="00396FE6">
        <w:rPr>
          <w:rFonts w:cs="Calibri"/>
          <w:color w:val="000000"/>
          <w:szCs w:val="24"/>
          <w:lang w:eastAsia="en-AU"/>
        </w:rPr>
        <w:t xml:space="preserve">the </w:t>
      </w:r>
      <w:r>
        <w:rPr>
          <w:rFonts w:cs="Calibri"/>
          <w:color w:val="000000"/>
          <w:szCs w:val="24"/>
          <w:lang w:eastAsia="en-AU"/>
        </w:rPr>
        <w:t xml:space="preserve">flow of vessels, goods and passengers into Australia </w:t>
      </w:r>
      <w:r w:rsidR="00396FE6">
        <w:rPr>
          <w:rFonts w:cs="Calibri"/>
          <w:color w:val="000000"/>
          <w:szCs w:val="24"/>
          <w:lang w:eastAsia="en-AU"/>
        </w:rPr>
        <w:t xml:space="preserve">is rapidly increasing. </w:t>
      </w:r>
      <w:r w:rsidR="00396FE6" w:rsidRPr="00B764EE">
        <w:rPr>
          <w:rFonts w:cs="Calibri"/>
          <w:color w:val="000000"/>
          <w:szCs w:val="24"/>
          <w:lang w:eastAsia="en-AU"/>
        </w:rPr>
        <w:t xml:space="preserve">This </w:t>
      </w:r>
      <w:r w:rsidRPr="00B764EE">
        <w:rPr>
          <w:rFonts w:cs="Calibri"/>
          <w:color w:val="000000"/>
          <w:szCs w:val="24"/>
          <w:lang w:eastAsia="en-AU"/>
        </w:rPr>
        <w:t>presents biosecurity risks in two ways</w:t>
      </w:r>
      <w:r w:rsidR="00396FE6" w:rsidRPr="00B764EE">
        <w:rPr>
          <w:rFonts w:cs="Calibri"/>
          <w:color w:val="000000"/>
          <w:szCs w:val="24"/>
          <w:lang w:eastAsia="en-AU"/>
        </w:rPr>
        <w:t>:</w:t>
      </w:r>
    </w:p>
    <w:p w14:paraId="25DEBA07" w14:textId="01A75587" w:rsidR="00396FE6" w:rsidRDefault="00361FA3" w:rsidP="007B15E0">
      <w:pPr>
        <w:pStyle w:val="ListBullet"/>
        <w:rPr>
          <w:lang w:eastAsia="en-AU"/>
        </w:rPr>
      </w:pPr>
      <w:r>
        <w:rPr>
          <w:lang w:eastAsia="en-AU"/>
        </w:rPr>
        <w:t xml:space="preserve">The imported goods themselves may pose a direct biosecurity risk </w:t>
      </w:r>
      <w:r w:rsidR="00396FE6">
        <w:rPr>
          <w:lang w:eastAsia="en-AU"/>
        </w:rPr>
        <w:t xml:space="preserve">because of </w:t>
      </w:r>
      <w:r>
        <w:rPr>
          <w:lang w:eastAsia="en-AU"/>
        </w:rPr>
        <w:t>the origin or type of material being imported.</w:t>
      </w:r>
    </w:p>
    <w:p w14:paraId="1B86EA76" w14:textId="6D60C87C" w:rsidR="00AB0E44" w:rsidRDefault="00396FE6" w:rsidP="007B15E0">
      <w:pPr>
        <w:pStyle w:val="ListBullet"/>
        <w:rPr>
          <w:lang w:eastAsia="en-AU"/>
        </w:rPr>
      </w:pPr>
      <w:r w:rsidRPr="007B15E0">
        <w:rPr>
          <w:lang w:eastAsia="en-AU"/>
        </w:rPr>
        <w:t xml:space="preserve">The sea and air vessels that transport goods may carry </w:t>
      </w:r>
      <w:r w:rsidRPr="000B5653">
        <w:rPr>
          <w:lang w:eastAsia="en-AU"/>
        </w:rPr>
        <w:t>p</w:t>
      </w:r>
      <w:r w:rsidR="00361FA3" w:rsidRPr="000B5653">
        <w:rPr>
          <w:lang w:eastAsia="en-AU"/>
        </w:rPr>
        <w:t>ests</w:t>
      </w:r>
      <w:r w:rsidRPr="000B5653">
        <w:rPr>
          <w:lang w:eastAsia="en-AU"/>
        </w:rPr>
        <w:t>,</w:t>
      </w:r>
      <w:r w:rsidR="00361FA3" w:rsidRPr="000B5653">
        <w:rPr>
          <w:lang w:eastAsia="en-AU"/>
        </w:rPr>
        <w:t xml:space="preserve"> </w:t>
      </w:r>
      <w:r w:rsidR="00361FA3" w:rsidRPr="007B15E0">
        <w:rPr>
          <w:lang w:eastAsia="en-AU"/>
        </w:rPr>
        <w:t>including pathogens</w:t>
      </w:r>
      <w:r w:rsidR="000B5653">
        <w:rPr>
          <w:lang w:eastAsia="en-AU"/>
        </w:rPr>
        <w:t xml:space="preserve">—for example, </w:t>
      </w:r>
      <w:r w:rsidR="00361FA3" w:rsidRPr="000B5653">
        <w:rPr>
          <w:lang w:eastAsia="en-AU"/>
        </w:rPr>
        <w:t>on or</w:t>
      </w:r>
      <w:r w:rsidR="00361FA3">
        <w:rPr>
          <w:lang w:eastAsia="en-AU"/>
        </w:rPr>
        <w:t xml:space="preserve"> inside sea containers and on cargo which would not of itself pose biosecurity risks.</w:t>
      </w:r>
    </w:p>
    <w:p w14:paraId="21DD76ED" w14:textId="3C89B947" w:rsidR="00AB0E44" w:rsidRDefault="00361FA3" w:rsidP="001D4D0B">
      <w:pPr>
        <w:spacing w:after="0"/>
      </w:pPr>
      <w:r>
        <w:t xml:space="preserve">Imported goods, cargo containers and conveyances (defined in the </w:t>
      </w:r>
      <w:r>
        <w:rPr>
          <w:i/>
        </w:rPr>
        <w:t>Biosecurity Act</w:t>
      </w:r>
      <w:r>
        <w:t xml:space="preserve"> </w:t>
      </w:r>
      <w:r>
        <w:rPr>
          <w:i/>
        </w:rPr>
        <w:t>2015</w:t>
      </w:r>
      <w:r>
        <w:t>) may all be contaminated with living material</w:t>
      </w:r>
      <w:r w:rsidRPr="00B764EE">
        <w:t>, whether mobile (insects or rodents) or not (seeds), and</w:t>
      </w:r>
      <w:r>
        <w:t xml:space="preserve"> non-living material such as soil, which can carry living material.</w:t>
      </w:r>
      <w:r w:rsidR="001D4D0B">
        <w:t xml:space="preserve"> </w:t>
      </w:r>
      <w:r>
        <w:t xml:space="preserve">Examples of hitchhikers and contaminants </w:t>
      </w:r>
      <w:r w:rsidR="00D2041F">
        <w:t xml:space="preserve">and where they may be found </w:t>
      </w:r>
      <w:r>
        <w:t xml:space="preserve">are </w:t>
      </w:r>
      <w:r w:rsidR="00396FE6">
        <w:t xml:space="preserve">given </w:t>
      </w:r>
      <w:r>
        <w:t xml:space="preserve">in </w:t>
      </w:r>
      <w:r>
        <w:fldChar w:fldCharType="begin"/>
      </w:r>
      <w:r>
        <w:instrText xml:space="preserve"> REF _Ref514147985 \h </w:instrText>
      </w:r>
      <w:r>
        <w:fldChar w:fldCharType="separate"/>
      </w:r>
      <w:r w:rsidR="007F78D8">
        <w:t xml:space="preserve">Table </w:t>
      </w:r>
      <w:r w:rsidR="007F78D8">
        <w:rPr>
          <w:noProof/>
        </w:rPr>
        <w:t>1</w:t>
      </w:r>
      <w:r>
        <w:fldChar w:fldCharType="end"/>
      </w:r>
      <w:r w:rsidR="009C791B">
        <w:t>.</w:t>
      </w:r>
      <w:r>
        <w:t xml:space="preserve"> </w:t>
      </w:r>
    </w:p>
    <w:p w14:paraId="3AA73C9A" w14:textId="40B1425D" w:rsidR="00796C68" w:rsidRDefault="00361FA3" w:rsidP="00A8093E">
      <w:pPr>
        <w:pStyle w:val="Caption"/>
        <w:widowControl w:val="0"/>
      </w:pPr>
      <w:bookmarkStart w:id="15" w:name="_Ref514147985"/>
      <w:bookmarkStart w:id="16" w:name="_Toc521069592"/>
      <w:r>
        <w:t xml:space="preserve">Table </w:t>
      </w:r>
      <w:r w:rsidR="00F21B3D">
        <w:rPr>
          <w:noProof/>
        </w:rPr>
        <w:fldChar w:fldCharType="begin"/>
      </w:r>
      <w:r w:rsidR="00F21B3D">
        <w:rPr>
          <w:noProof/>
        </w:rPr>
        <w:instrText xml:space="preserve"> SEQ Table \* ARABIC </w:instrText>
      </w:r>
      <w:r w:rsidR="00F21B3D">
        <w:rPr>
          <w:noProof/>
        </w:rPr>
        <w:fldChar w:fldCharType="separate"/>
      </w:r>
      <w:r w:rsidR="007F78D8">
        <w:rPr>
          <w:noProof/>
        </w:rPr>
        <w:t>1</w:t>
      </w:r>
      <w:r w:rsidR="00F21B3D">
        <w:rPr>
          <w:noProof/>
        </w:rPr>
        <w:fldChar w:fldCharType="end"/>
      </w:r>
      <w:bookmarkEnd w:id="15"/>
      <w:r>
        <w:t xml:space="preserve"> Terrestrial hitchhiker </w:t>
      </w:r>
      <w:r w:rsidR="00B220A2">
        <w:t xml:space="preserve">pest and contaminant </w:t>
      </w:r>
      <w:r>
        <w:t>examples</w:t>
      </w:r>
      <w:bookmarkEnd w:id="16"/>
    </w:p>
    <w:tbl>
      <w:tblPr>
        <w:tblStyle w:val="LightShading1"/>
        <w:tblpPr w:leftFromText="180" w:rightFromText="180" w:vertAnchor="text" w:horzAnchor="margin" w:tblpY="-17"/>
        <w:tblW w:w="9072" w:type="dxa"/>
        <w:tblLook w:val="04A0" w:firstRow="1" w:lastRow="0" w:firstColumn="1" w:lastColumn="0" w:noHBand="0" w:noVBand="1"/>
      </w:tblPr>
      <w:tblGrid>
        <w:gridCol w:w="5529"/>
        <w:gridCol w:w="3543"/>
      </w:tblGrid>
      <w:tr w:rsidR="0007540E" w14:paraId="65D38AC6" w14:textId="77777777" w:rsidTr="00E94957">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auto"/>
              <w:bottom w:val="single" w:sz="4" w:space="0" w:color="auto"/>
            </w:tcBorders>
          </w:tcPr>
          <w:p w14:paraId="27703F37" w14:textId="487F7E7C" w:rsidR="0007540E" w:rsidRDefault="0007540E" w:rsidP="00590420">
            <w:pPr>
              <w:pStyle w:val="Tabletext"/>
              <w:keepNext/>
              <w:widowControl w:val="0"/>
            </w:pPr>
            <w:r>
              <w:t xml:space="preserve">Hitchhiker </w:t>
            </w:r>
            <w:r w:rsidR="00D2041F">
              <w:t>and contaminant ex</w:t>
            </w:r>
            <w:r>
              <w:t>ample</w:t>
            </w:r>
            <w:r w:rsidR="00D2041F">
              <w:t>s</w:t>
            </w:r>
          </w:p>
        </w:tc>
        <w:tc>
          <w:tcPr>
            <w:tcW w:w="3543" w:type="dxa"/>
            <w:tcBorders>
              <w:top w:val="single" w:sz="4" w:space="0" w:color="auto"/>
              <w:bottom w:val="single" w:sz="4" w:space="0" w:color="auto"/>
            </w:tcBorders>
          </w:tcPr>
          <w:p w14:paraId="1835DFB3" w14:textId="77777777" w:rsidR="0007540E" w:rsidRDefault="0007540E" w:rsidP="00E94957">
            <w:pPr>
              <w:pStyle w:val="Tabletext"/>
              <w:keepNext/>
              <w:widowControl w:val="0"/>
              <w:cnfStyle w:val="100000000000" w:firstRow="1" w:lastRow="0" w:firstColumn="0" w:lastColumn="0" w:oddVBand="0" w:evenVBand="0" w:oddHBand="0" w:evenHBand="0" w:firstRowFirstColumn="0" w:firstRowLastColumn="0" w:lastRowFirstColumn="0" w:lastRowLastColumn="0"/>
            </w:pPr>
            <w:r>
              <w:t>Typical locations</w:t>
            </w:r>
          </w:p>
        </w:tc>
      </w:tr>
      <w:tr w:rsidR="0007540E" w14:paraId="302006B8" w14:textId="77777777" w:rsidTr="00E94957">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auto"/>
              <w:bottom w:val="nil"/>
            </w:tcBorders>
            <w:shd w:val="clear" w:color="auto" w:fill="auto"/>
          </w:tcPr>
          <w:p w14:paraId="7F7FC955" w14:textId="77777777" w:rsidR="0007540E" w:rsidRPr="0007540E" w:rsidRDefault="0007540E" w:rsidP="00E94957">
            <w:pPr>
              <w:pStyle w:val="Tabletext"/>
              <w:keepNext/>
              <w:widowControl w:val="0"/>
              <w:rPr>
                <w:b w:val="0"/>
              </w:rPr>
            </w:pPr>
            <w:r w:rsidRPr="0007540E">
              <w:rPr>
                <w:b w:val="0"/>
              </w:rPr>
              <w:t>Red imported fire ant (</w:t>
            </w:r>
            <w:proofErr w:type="spellStart"/>
            <w:r w:rsidRPr="0007540E">
              <w:rPr>
                <w:b w:val="0"/>
                <w:i/>
              </w:rPr>
              <w:t>Solenopsis</w:t>
            </w:r>
            <w:proofErr w:type="spellEnd"/>
            <w:r w:rsidRPr="0007540E">
              <w:rPr>
                <w:b w:val="0"/>
                <w:i/>
              </w:rPr>
              <w:t xml:space="preserve"> </w:t>
            </w:r>
            <w:proofErr w:type="spellStart"/>
            <w:r w:rsidRPr="0007540E">
              <w:rPr>
                <w:b w:val="0"/>
                <w:i/>
              </w:rPr>
              <w:t>invicta</w:t>
            </w:r>
            <w:proofErr w:type="spellEnd"/>
            <w:r w:rsidRPr="0007540E">
              <w:rPr>
                <w:b w:val="0"/>
              </w:rPr>
              <w:t>), Yellow crazy ant (</w:t>
            </w:r>
            <w:proofErr w:type="spellStart"/>
            <w:r w:rsidRPr="0007540E">
              <w:rPr>
                <w:b w:val="0"/>
                <w:i/>
              </w:rPr>
              <w:t>Anoplolepis</w:t>
            </w:r>
            <w:proofErr w:type="spellEnd"/>
            <w:r w:rsidRPr="0007540E">
              <w:rPr>
                <w:b w:val="0"/>
                <w:i/>
              </w:rPr>
              <w:t xml:space="preserve"> </w:t>
            </w:r>
            <w:proofErr w:type="spellStart"/>
            <w:r w:rsidRPr="0007540E">
              <w:rPr>
                <w:b w:val="0"/>
                <w:i/>
              </w:rPr>
              <w:t>gracilipes</w:t>
            </w:r>
            <w:proofErr w:type="spellEnd"/>
            <w:r w:rsidRPr="0007540E">
              <w:rPr>
                <w:b w:val="0"/>
              </w:rPr>
              <w:t>), Electric ant (</w:t>
            </w:r>
            <w:proofErr w:type="spellStart"/>
            <w:r w:rsidRPr="0007540E">
              <w:rPr>
                <w:b w:val="0"/>
                <w:i/>
              </w:rPr>
              <w:t>Wasmannia</w:t>
            </w:r>
            <w:proofErr w:type="spellEnd"/>
            <w:r w:rsidRPr="0007540E">
              <w:rPr>
                <w:b w:val="0"/>
                <w:i/>
              </w:rPr>
              <w:t xml:space="preserve"> </w:t>
            </w:r>
            <w:proofErr w:type="spellStart"/>
            <w:r w:rsidRPr="0007540E">
              <w:rPr>
                <w:b w:val="0"/>
                <w:i/>
              </w:rPr>
              <w:t>auropunctata</w:t>
            </w:r>
            <w:proofErr w:type="spellEnd"/>
            <w:r w:rsidRPr="0007540E">
              <w:rPr>
                <w:b w:val="0"/>
              </w:rPr>
              <w:t>)</w:t>
            </w:r>
          </w:p>
        </w:tc>
        <w:tc>
          <w:tcPr>
            <w:tcW w:w="3543" w:type="dxa"/>
            <w:tcBorders>
              <w:top w:val="single" w:sz="4" w:space="0" w:color="auto"/>
              <w:bottom w:val="nil"/>
            </w:tcBorders>
            <w:shd w:val="clear" w:color="auto" w:fill="auto"/>
          </w:tcPr>
          <w:p w14:paraId="645BC84C" w14:textId="77777777" w:rsidR="0007540E" w:rsidRDefault="0007540E" w:rsidP="00E94957">
            <w:pPr>
              <w:pStyle w:val="Tabletext"/>
              <w:keepNext/>
              <w:widowControl w:val="0"/>
              <w:cnfStyle w:val="000000100000" w:firstRow="0" w:lastRow="0" w:firstColumn="0" w:lastColumn="0" w:oddVBand="0" w:evenVBand="0" w:oddHBand="1" w:evenHBand="0" w:firstRowFirstColumn="0" w:firstRowLastColumn="0" w:lastRowFirstColumn="0" w:lastRowLastColumn="0"/>
            </w:pPr>
            <w:r>
              <w:t>Inside or outside of a sea container</w:t>
            </w:r>
          </w:p>
        </w:tc>
      </w:tr>
      <w:tr w:rsidR="0007540E" w14:paraId="6C32A8DF" w14:textId="77777777" w:rsidTr="00E94957">
        <w:trPr>
          <w:trHeight w:val="346"/>
        </w:trPr>
        <w:tc>
          <w:tcPr>
            <w:cnfStyle w:val="001000000000" w:firstRow="0" w:lastRow="0" w:firstColumn="1" w:lastColumn="0" w:oddVBand="0" w:evenVBand="0" w:oddHBand="0" w:evenHBand="0" w:firstRowFirstColumn="0" w:firstRowLastColumn="0" w:lastRowFirstColumn="0" w:lastRowLastColumn="0"/>
            <w:tcW w:w="5529" w:type="dxa"/>
            <w:tcBorders>
              <w:top w:val="nil"/>
              <w:bottom w:val="nil"/>
            </w:tcBorders>
            <w:shd w:val="clear" w:color="auto" w:fill="auto"/>
          </w:tcPr>
          <w:p w14:paraId="57AE8507" w14:textId="77777777" w:rsidR="0007540E" w:rsidRPr="0007540E" w:rsidRDefault="0007540E" w:rsidP="00E94957">
            <w:pPr>
              <w:pStyle w:val="Tabletext"/>
              <w:keepNext/>
              <w:widowControl w:val="0"/>
              <w:rPr>
                <w:b w:val="0"/>
              </w:rPr>
            </w:pPr>
            <w:r w:rsidRPr="0007540E">
              <w:rPr>
                <w:b w:val="0"/>
              </w:rPr>
              <w:t>Asian gypsy moth (</w:t>
            </w:r>
            <w:proofErr w:type="spellStart"/>
            <w:r w:rsidRPr="0007540E">
              <w:rPr>
                <w:b w:val="0"/>
                <w:i/>
              </w:rPr>
              <w:t>Lymantria</w:t>
            </w:r>
            <w:proofErr w:type="spellEnd"/>
            <w:r w:rsidRPr="0007540E">
              <w:rPr>
                <w:b w:val="0"/>
                <w:i/>
              </w:rPr>
              <w:t xml:space="preserve"> </w:t>
            </w:r>
            <w:proofErr w:type="spellStart"/>
            <w:r w:rsidRPr="0007540E">
              <w:rPr>
                <w:b w:val="0"/>
                <w:i/>
              </w:rPr>
              <w:t>dispar</w:t>
            </w:r>
            <w:proofErr w:type="spellEnd"/>
            <w:r w:rsidRPr="0007540E">
              <w:rPr>
                <w:b w:val="0"/>
              </w:rPr>
              <w:t>)</w:t>
            </w:r>
          </w:p>
        </w:tc>
        <w:tc>
          <w:tcPr>
            <w:tcW w:w="3543" w:type="dxa"/>
            <w:tcBorders>
              <w:top w:val="nil"/>
              <w:bottom w:val="nil"/>
            </w:tcBorders>
            <w:shd w:val="clear" w:color="auto" w:fill="auto"/>
          </w:tcPr>
          <w:p w14:paraId="5D32429F" w14:textId="77777777" w:rsidR="0007540E" w:rsidRDefault="0007540E" w:rsidP="00E94957">
            <w:pPr>
              <w:pStyle w:val="Tabletext"/>
              <w:keepNext/>
              <w:widowControl w:val="0"/>
              <w:cnfStyle w:val="000000000000" w:firstRow="0" w:lastRow="0" w:firstColumn="0" w:lastColumn="0" w:oddVBand="0" w:evenVBand="0" w:oddHBand="0" w:evenHBand="0" w:firstRowFirstColumn="0" w:firstRowLastColumn="0" w:lastRowFirstColumn="0" w:lastRowLastColumn="0"/>
            </w:pPr>
            <w:r>
              <w:t>Superstructure of a sea vessel, outside walls of a sea container</w:t>
            </w:r>
          </w:p>
        </w:tc>
      </w:tr>
      <w:tr w:rsidR="0007540E" w14:paraId="1A1D0501" w14:textId="77777777" w:rsidTr="00E94957">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529" w:type="dxa"/>
            <w:tcBorders>
              <w:top w:val="nil"/>
              <w:bottom w:val="nil"/>
            </w:tcBorders>
            <w:shd w:val="clear" w:color="auto" w:fill="auto"/>
          </w:tcPr>
          <w:p w14:paraId="6E856E6B" w14:textId="77777777" w:rsidR="0007540E" w:rsidRPr="0007540E" w:rsidRDefault="0007540E" w:rsidP="00E94957">
            <w:pPr>
              <w:pStyle w:val="Tabletext"/>
              <w:keepNext/>
              <w:widowControl w:val="0"/>
              <w:rPr>
                <w:b w:val="0"/>
              </w:rPr>
            </w:pPr>
            <w:r w:rsidRPr="0007540E">
              <w:rPr>
                <w:b w:val="0"/>
              </w:rPr>
              <w:t>Giant African snail (</w:t>
            </w:r>
            <w:proofErr w:type="spellStart"/>
            <w:r w:rsidRPr="0007540E">
              <w:rPr>
                <w:b w:val="0"/>
                <w:i/>
              </w:rPr>
              <w:t>Achatina</w:t>
            </w:r>
            <w:proofErr w:type="spellEnd"/>
            <w:r w:rsidRPr="0007540E">
              <w:rPr>
                <w:b w:val="0"/>
                <w:i/>
              </w:rPr>
              <w:t xml:space="preserve"> </w:t>
            </w:r>
            <w:proofErr w:type="spellStart"/>
            <w:r w:rsidRPr="0007540E">
              <w:rPr>
                <w:b w:val="0"/>
                <w:i/>
              </w:rPr>
              <w:t>fulica</w:t>
            </w:r>
            <w:proofErr w:type="spellEnd"/>
            <w:r w:rsidRPr="0007540E">
              <w:rPr>
                <w:b w:val="0"/>
              </w:rPr>
              <w:t>), Green snail (</w:t>
            </w:r>
            <w:proofErr w:type="spellStart"/>
            <w:r w:rsidRPr="0007540E">
              <w:rPr>
                <w:b w:val="0"/>
                <w:i/>
              </w:rPr>
              <w:t>Cantareus</w:t>
            </w:r>
            <w:proofErr w:type="spellEnd"/>
            <w:r w:rsidRPr="0007540E">
              <w:rPr>
                <w:b w:val="0"/>
                <w:i/>
              </w:rPr>
              <w:t xml:space="preserve"> </w:t>
            </w:r>
            <w:proofErr w:type="spellStart"/>
            <w:r w:rsidRPr="0007540E">
              <w:rPr>
                <w:b w:val="0"/>
                <w:i/>
              </w:rPr>
              <w:t>apertus</w:t>
            </w:r>
            <w:proofErr w:type="spellEnd"/>
            <w:r w:rsidRPr="0007540E">
              <w:rPr>
                <w:b w:val="0"/>
              </w:rPr>
              <w:t>)</w:t>
            </w:r>
          </w:p>
        </w:tc>
        <w:tc>
          <w:tcPr>
            <w:tcW w:w="3543" w:type="dxa"/>
            <w:tcBorders>
              <w:top w:val="nil"/>
              <w:bottom w:val="nil"/>
            </w:tcBorders>
            <w:shd w:val="clear" w:color="auto" w:fill="auto"/>
          </w:tcPr>
          <w:p w14:paraId="0FE9DF02" w14:textId="77777777" w:rsidR="0007540E" w:rsidRDefault="0007540E" w:rsidP="00E94957">
            <w:pPr>
              <w:pStyle w:val="Tabletext"/>
              <w:keepNext/>
              <w:widowControl w:val="0"/>
              <w:cnfStyle w:val="000000100000" w:firstRow="0" w:lastRow="0" w:firstColumn="0" w:lastColumn="0" w:oddVBand="0" w:evenVBand="0" w:oddHBand="1" w:evenHBand="0" w:firstRowFirstColumn="0" w:firstRowLastColumn="0" w:lastRowFirstColumn="0" w:lastRowLastColumn="0"/>
            </w:pPr>
            <w:r>
              <w:t>Underside of a sea container</w:t>
            </w:r>
          </w:p>
        </w:tc>
      </w:tr>
      <w:tr w:rsidR="0007540E" w14:paraId="6642707B" w14:textId="77777777" w:rsidTr="00E94957">
        <w:trPr>
          <w:trHeight w:val="178"/>
        </w:trPr>
        <w:tc>
          <w:tcPr>
            <w:cnfStyle w:val="001000000000" w:firstRow="0" w:lastRow="0" w:firstColumn="1" w:lastColumn="0" w:oddVBand="0" w:evenVBand="0" w:oddHBand="0" w:evenHBand="0" w:firstRowFirstColumn="0" w:firstRowLastColumn="0" w:lastRowFirstColumn="0" w:lastRowLastColumn="0"/>
            <w:tcW w:w="5529" w:type="dxa"/>
            <w:tcBorders>
              <w:top w:val="nil"/>
              <w:bottom w:val="nil"/>
            </w:tcBorders>
            <w:shd w:val="clear" w:color="auto" w:fill="auto"/>
          </w:tcPr>
          <w:p w14:paraId="6655B075" w14:textId="77777777" w:rsidR="0007540E" w:rsidRPr="0007540E" w:rsidRDefault="0007540E" w:rsidP="00E94957">
            <w:pPr>
              <w:pStyle w:val="Tabletext"/>
              <w:keepNext/>
              <w:widowControl w:val="0"/>
              <w:rPr>
                <w:b w:val="0"/>
              </w:rPr>
            </w:pPr>
            <w:r w:rsidRPr="0007540E">
              <w:rPr>
                <w:b w:val="0"/>
              </w:rPr>
              <w:t>Madagascar day gecko (</w:t>
            </w:r>
            <w:proofErr w:type="spellStart"/>
            <w:r w:rsidRPr="0007540E">
              <w:rPr>
                <w:b w:val="0"/>
                <w:i/>
              </w:rPr>
              <w:t>Phelsuma</w:t>
            </w:r>
            <w:proofErr w:type="spellEnd"/>
            <w:r w:rsidRPr="0007540E">
              <w:rPr>
                <w:b w:val="0"/>
                <w:i/>
              </w:rPr>
              <w:t xml:space="preserve"> </w:t>
            </w:r>
            <w:proofErr w:type="spellStart"/>
            <w:r w:rsidRPr="0007540E">
              <w:rPr>
                <w:b w:val="0"/>
                <w:i/>
              </w:rPr>
              <w:t>madagascariensis</w:t>
            </w:r>
            <w:proofErr w:type="spellEnd"/>
            <w:r w:rsidRPr="0007540E">
              <w:rPr>
                <w:b w:val="0"/>
                <w:i/>
              </w:rPr>
              <w:t xml:space="preserve"> </w:t>
            </w:r>
            <w:proofErr w:type="spellStart"/>
            <w:r w:rsidRPr="0007540E">
              <w:rPr>
                <w:b w:val="0"/>
                <w:i/>
              </w:rPr>
              <w:t>madagascariensis</w:t>
            </w:r>
            <w:proofErr w:type="spellEnd"/>
            <w:r w:rsidRPr="0007540E">
              <w:rPr>
                <w:b w:val="0"/>
              </w:rPr>
              <w:t>)</w:t>
            </w:r>
          </w:p>
        </w:tc>
        <w:tc>
          <w:tcPr>
            <w:tcW w:w="3543" w:type="dxa"/>
            <w:tcBorders>
              <w:top w:val="nil"/>
              <w:bottom w:val="nil"/>
            </w:tcBorders>
            <w:shd w:val="clear" w:color="auto" w:fill="auto"/>
          </w:tcPr>
          <w:p w14:paraId="005F6215" w14:textId="77777777" w:rsidR="0007540E" w:rsidRDefault="0007540E" w:rsidP="00E94957">
            <w:pPr>
              <w:pStyle w:val="Tabletext"/>
              <w:keepNext/>
              <w:widowControl w:val="0"/>
              <w:cnfStyle w:val="000000000000" w:firstRow="0" w:lastRow="0" w:firstColumn="0" w:lastColumn="0" w:oddVBand="0" w:evenVBand="0" w:oddHBand="0" w:evenHBand="0" w:firstRowFirstColumn="0" w:firstRowLastColumn="0" w:lastRowFirstColumn="0" w:lastRowLastColumn="0"/>
            </w:pPr>
            <w:r>
              <w:t>Inside or underside of a sea container</w:t>
            </w:r>
          </w:p>
        </w:tc>
      </w:tr>
      <w:tr w:rsidR="0007540E" w14:paraId="71608333" w14:textId="77777777" w:rsidTr="00E94957">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529" w:type="dxa"/>
            <w:tcBorders>
              <w:top w:val="nil"/>
              <w:bottom w:val="nil"/>
            </w:tcBorders>
            <w:shd w:val="clear" w:color="auto" w:fill="auto"/>
          </w:tcPr>
          <w:p w14:paraId="1DE20903" w14:textId="77777777" w:rsidR="0007540E" w:rsidRPr="0007540E" w:rsidRDefault="0007540E" w:rsidP="00E94957">
            <w:pPr>
              <w:pStyle w:val="Tabletext"/>
              <w:keepNext/>
              <w:widowControl w:val="0"/>
              <w:rPr>
                <w:b w:val="0"/>
              </w:rPr>
            </w:pPr>
            <w:r w:rsidRPr="0007540E">
              <w:rPr>
                <w:b w:val="0"/>
              </w:rPr>
              <w:t>Asian black-spined toad (</w:t>
            </w:r>
            <w:r w:rsidRPr="0007540E">
              <w:rPr>
                <w:b w:val="0"/>
                <w:i/>
              </w:rPr>
              <w:t xml:space="preserve">Bufo </w:t>
            </w:r>
            <w:proofErr w:type="spellStart"/>
            <w:r w:rsidRPr="0007540E">
              <w:rPr>
                <w:b w:val="0"/>
                <w:i/>
              </w:rPr>
              <w:t>melanostictus</w:t>
            </w:r>
            <w:proofErr w:type="spellEnd"/>
            <w:r w:rsidRPr="0007540E">
              <w:rPr>
                <w:b w:val="0"/>
              </w:rPr>
              <w:t>)</w:t>
            </w:r>
          </w:p>
        </w:tc>
        <w:tc>
          <w:tcPr>
            <w:tcW w:w="3543" w:type="dxa"/>
            <w:tcBorders>
              <w:top w:val="nil"/>
              <w:bottom w:val="nil"/>
            </w:tcBorders>
            <w:shd w:val="clear" w:color="auto" w:fill="auto"/>
          </w:tcPr>
          <w:p w14:paraId="0380704A" w14:textId="77777777" w:rsidR="0007540E" w:rsidRDefault="0007540E" w:rsidP="00E94957">
            <w:pPr>
              <w:pStyle w:val="Tabletext"/>
              <w:keepNext/>
              <w:widowControl w:val="0"/>
              <w:cnfStyle w:val="000000100000" w:firstRow="0" w:lastRow="0" w:firstColumn="0" w:lastColumn="0" w:oddVBand="0" w:evenVBand="0" w:oddHBand="1" w:evenHBand="0" w:firstRowFirstColumn="0" w:firstRowLastColumn="0" w:lastRowFirstColumn="0" w:lastRowLastColumn="0"/>
            </w:pPr>
            <w:r>
              <w:t>Inside sea container</w:t>
            </w:r>
          </w:p>
        </w:tc>
      </w:tr>
      <w:tr w:rsidR="0007540E" w14:paraId="6995A0B4" w14:textId="77777777" w:rsidTr="00E94957">
        <w:trPr>
          <w:trHeight w:val="513"/>
        </w:trPr>
        <w:tc>
          <w:tcPr>
            <w:cnfStyle w:val="001000000000" w:firstRow="0" w:lastRow="0" w:firstColumn="1" w:lastColumn="0" w:oddVBand="0" w:evenVBand="0" w:oddHBand="0" w:evenHBand="0" w:firstRowFirstColumn="0" w:firstRowLastColumn="0" w:lastRowFirstColumn="0" w:lastRowLastColumn="0"/>
            <w:tcW w:w="5529" w:type="dxa"/>
            <w:tcBorders>
              <w:top w:val="nil"/>
              <w:bottom w:val="nil"/>
            </w:tcBorders>
            <w:shd w:val="clear" w:color="auto" w:fill="auto"/>
          </w:tcPr>
          <w:p w14:paraId="1E961DD6" w14:textId="77777777" w:rsidR="0007540E" w:rsidRPr="0007540E" w:rsidRDefault="0007540E" w:rsidP="00E94957">
            <w:pPr>
              <w:keepNext/>
              <w:widowControl w:val="0"/>
              <w:spacing w:before="60" w:after="60"/>
              <w:rPr>
                <w:b w:val="0"/>
                <w:color w:val="auto"/>
                <w:sz w:val="18"/>
              </w:rPr>
            </w:pPr>
            <w:r>
              <w:rPr>
                <w:b w:val="0"/>
                <w:color w:val="auto"/>
                <w:sz w:val="18"/>
              </w:rPr>
              <w:t>Exotic b</w:t>
            </w:r>
            <w:r w:rsidRPr="0007540E">
              <w:rPr>
                <w:b w:val="0"/>
                <w:color w:val="auto"/>
                <w:sz w:val="18"/>
              </w:rPr>
              <w:t>ees</w:t>
            </w:r>
          </w:p>
          <w:p w14:paraId="00035A36" w14:textId="77777777" w:rsidR="0007540E" w:rsidRDefault="0007540E" w:rsidP="00E94957">
            <w:pPr>
              <w:pStyle w:val="Tabletext"/>
              <w:keepNext/>
              <w:widowControl w:val="0"/>
              <w:rPr>
                <w:b w:val="0"/>
              </w:rPr>
            </w:pPr>
            <w:r w:rsidRPr="0007540E">
              <w:rPr>
                <w:b w:val="0"/>
              </w:rPr>
              <w:t>Brown marmorated stink bug (</w:t>
            </w:r>
            <w:proofErr w:type="spellStart"/>
            <w:r w:rsidRPr="0007540E">
              <w:rPr>
                <w:b w:val="0"/>
                <w:i/>
              </w:rPr>
              <w:t>Halyomorpha</w:t>
            </w:r>
            <w:proofErr w:type="spellEnd"/>
            <w:r w:rsidRPr="0007540E">
              <w:rPr>
                <w:b w:val="0"/>
                <w:i/>
              </w:rPr>
              <w:t xml:space="preserve"> </w:t>
            </w:r>
            <w:proofErr w:type="spellStart"/>
            <w:r w:rsidRPr="0007540E">
              <w:rPr>
                <w:b w:val="0"/>
                <w:i/>
              </w:rPr>
              <w:t>halys</w:t>
            </w:r>
            <w:proofErr w:type="spellEnd"/>
            <w:r w:rsidRPr="0007540E">
              <w:rPr>
                <w:b w:val="0"/>
              </w:rPr>
              <w:t>)</w:t>
            </w:r>
            <w:r>
              <w:rPr>
                <w:b w:val="0"/>
              </w:rPr>
              <w:t xml:space="preserve"> </w:t>
            </w:r>
          </w:p>
          <w:p w14:paraId="1BA87753" w14:textId="77777777" w:rsidR="0007540E" w:rsidRPr="0007540E" w:rsidRDefault="0007540E" w:rsidP="00E94957">
            <w:pPr>
              <w:pStyle w:val="Tabletext"/>
              <w:keepNext/>
              <w:widowControl w:val="0"/>
              <w:rPr>
                <w:b w:val="0"/>
              </w:rPr>
            </w:pPr>
            <w:r w:rsidRPr="0007540E">
              <w:rPr>
                <w:b w:val="0"/>
              </w:rPr>
              <w:t>Burnt pine longicorn beetle (</w:t>
            </w:r>
            <w:proofErr w:type="spellStart"/>
            <w:r w:rsidRPr="0007540E">
              <w:rPr>
                <w:b w:val="0"/>
                <w:i/>
              </w:rPr>
              <w:t>Arhopalus</w:t>
            </w:r>
            <w:proofErr w:type="spellEnd"/>
            <w:r w:rsidRPr="0007540E">
              <w:rPr>
                <w:b w:val="0"/>
                <w:i/>
              </w:rPr>
              <w:t xml:space="preserve"> </w:t>
            </w:r>
            <w:proofErr w:type="spellStart"/>
            <w:r w:rsidRPr="0007540E">
              <w:rPr>
                <w:b w:val="0"/>
                <w:i/>
              </w:rPr>
              <w:t>ferus</w:t>
            </w:r>
            <w:proofErr w:type="spellEnd"/>
            <w:r w:rsidRPr="0007540E">
              <w:rPr>
                <w:b w:val="0"/>
              </w:rPr>
              <w:t>)</w:t>
            </w:r>
          </w:p>
        </w:tc>
        <w:tc>
          <w:tcPr>
            <w:tcW w:w="3543" w:type="dxa"/>
            <w:tcBorders>
              <w:top w:val="nil"/>
              <w:bottom w:val="nil"/>
            </w:tcBorders>
            <w:shd w:val="clear" w:color="auto" w:fill="auto"/>
          </w:tcPr>
          <w:p w14:paraId="28F67D5A" w14:textId="77777777" w:rsidR="0007540E" w:rsidRDefault="0007540E" w:rsidP="00E94957">
            <w:pPr>
              <w:pStyle w:val="Tabletext"/>
              <w:keepNext/>
              <w:widowControl w:val="0"/>
              <w:cnfStyle w:val="000000000000" w:firstRow="0" w:lastRow="0" w:firstColumn="0" w:lastColumn="0" w:oddVBand="0" w:evenVBand="0" w:oddHBand="0" w:evenHBand="0" w:firstRowFirstColumn="0" w:firstRowLastColumn="0" w:lastRowFirstColumn="0" w:lastRowLastColumn="0"/>
            </w:pPr>
            <w:r>
              <w:t>Vessels, aircraft holds, vehicle interiors</w:t>
            </w:r>
          </w:p>
          <w:p w14:paraId="1333B0F7" w14:textId="5E24346F" w:rsidR="0007540E" w:rsidRDefault="00D2041F" w:rsidP="00E94957">
            <w:pPr>
              <w:pStyle w:val="Tabletext"/>
              <w:keepNext/>
              <w:widowControl w:val="0"/>
              <w:cnfStyle w:val="000000000000" w:firstRow="0" w:lastRow="0" w:firstColumn="0" w:lastColumn="0" w:oddVBand="0" w:evenVBand="0" w:oddHBand="0" w:evenHBand="0" w:firstRowFirstColumn="0" w:firstRowLastColumn="0" w:lastRowFirstColumn="0" w:lastRowLastColumn="0"/>
            </w:pPr>
            <w:r>
              <w:t>B</w:t>
            </w:r>
            <w:r w:rsidR="0007540E">
              <w:t>reak-bulk and containerised</w:t>
            </w:r>
            <w:r w:rsidR="0007540E">
              <w:rPr>
                <w:color w:val="auto"/>
                <w:sz w:val="24"/>
              </w:rPr>
              <w:t xml:space="preserve"> </w:t>
            </w:r>
            <w:r w:rsidR="0007540E">
              <w:t>cargo</w:t>
            </w:r>
          </w:p>
          <w:p w14:paraId="4118A598" w14:textId="77777777" w:rsidR="0007540E" w:rsidRDefault="0007540E" w:rsidP="00E94957">
            <w:pPr>
              <w:pStyle w:val="Tabletext"/>
              <w:keepNext/>
              <w:widowControl w:val="0"/>
              <w:cnfStyle w:val="000000000000" w:firstRow="0" w:lastRow="0" w:firstColumn="0" w:lastColumn="0" w:oddVBand="0" w:evenVBand="0" w:oddHBand="0" w:evenHBand="0" w:firstRowFirstColumn="0" w:firstRowLastColumn="0" w:lastRowFirstColumn="0" w:lastRowLastColumn="0"/>
            </w:pPr>
            <w:r>
              <w:t>Deck of a sea vessel</w:t>
            </w:r>
          </w:p>
        </w:tc>
      </w:tr>
      <w:tr w:rsidR="0007540E" w14:paraId="527C427A" w14:textId="77777777" w:rsidTr="00A8093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529" w:type="dxa"/>
            <w:tcBorders>
              <w:top w:val="nil"/>
              <w:bottom w:val="nil"/>
            </w:tcBorders>
            <w:shd w:val="clear" w:color="auto" w:fill="auto"/>
          </w:tcPr>
          <w:p w14:paraId="2C4311E0" w14:textId="1D7A45E3" w:rsidR="0007540E" w:rsidRPr="0007540E" w:rsidRDefault="0007540E" w:rsidP="00E94957">
            <w:pPr>
              <w:pStyle w:val="Tabletext"/>
              <w:keepNext/>
              <w:widowControl w:val="0"/>
              <w:rPr>
                <w:b w:val="0"/>
              </w:rPr>
            </w:pPr>
            <w:r w:rsidRPr="0007540E">
              <w:rPr>
                <w:b w:val="0"/>
              </w:rPr>
              <w:t>Rats and mice as vectors of numerous human diseases</w:t>
            </w:r>
            <w:r>
              <w:rPr>
                <w:b w:val="0"/>
              </w:rPr>
              <w:t>—</w:t>
            </w:r>
            <w:r w:rsidRPr="0007540E">
              <w:rPr>
                <w:b w:val="0"/>
              </w:rPr>
              <w:t>plague, hantavirus</w:t>
            </w:r>
          </w:p>
        </w:tc>
        <w:tc>
          <w:tcPr>
            <w:tcW w:w="3543" w:type="dxa"/>
            <w:tcBorders>
              <w:top w:val="nil"/>
              <w:bottom w:val="nil"/>
            </w:tcBorders>
            <w:shd w:val="clear" w:color="auto" w:fill="auto"/>
          </w:tcPr>
          <w:p w14:paraId="24119B37" w14:textId="77777777" w:rsidR="0007540E" w:rsidRDefault="0007540E" w:rsidP="00E94957">
            <w:pPr>
              <w:pStyle w:val="Tabletext"/>
              <w:keepNext/>
              <w:widowControl w:val="0"/>
              <w:cnfStyle w:val="000000100000" w:firstRow="0" w:lastRow="0" w:firstColumn="0" w:lastColumn="0" w:oddVBand="0" w:evenVBand="0" w:oddHBand="1" w:evenHBand="0" w:firstRowFirstColumn="0" w:firstRowLastColumn="0" w:lastRowFirstColumn="0" w:lastRowLastColumn="0"/>
            </w:pPr>
            <w:r>
              <w:t>Cargo vessel holds and food storage areas</w:t>
            </w:r>
          </w:p>
        </w:tc>
      </w:tr>
      <w:tr w:rsidR="00495334" w14:paraId="63E8642B" w14:textId="77777777" w:rsidTr="00A8093E">
        <w:trPr>
          <w:trHeight w:val="346"/>
        </w:trPr>
        <w:tc>
          <w:tcPr>
            <w:cnfStyle w:val="001000000000" w:firstRow="0" w:lastRow="0" w:firstColumn="1" w:lastColumn="0" w:oddVBand="0" w:evenVBand="0" w:oddHBand="0" w:evenHBand="0" w:firstRowFirstColumn="0" w:firstRowLastColumn="0" w:lastRowFirstColumn="0" w:lastRowLastColumn="0"/>
            <w:tcW w:w="5529" w:type="dxa"/>
            <w:tcBorders>
              <w:top w:val="nil"/>
              <w:bottom w:val="nil"/>
            </w:tcBorders>
            <w:shd w:val="clear" w:color="auto" w:fill="auto"/>
          </w:tcPr>
          <w:p w14:paraId="26BFCE19" w14:textId="77777777" w:rsidR="00495334" w:rsidRPr="00A8093E" w:rsidRDefault="00495334" w:rsidP="00495334">
            <w:pPr>
              <w:pStyle w:val="Tabletext"/>
              <w:rPr>
                <w:b w:val="0"/>
              </w:rPr>
            </w:pPr>
            <w:r w:rsidRPr="00A8093E">
              <w:rPr>
                <w:b w:val="0"/>
              </w:rPr>
              <w:t>Weed seeds</w:t>
            </w:r>
          </w:p>
          <w:p w14:paraId="1DA22158" w14:textId="27525419" w:rsidR="00495334" w:rsidRPr="00A8093E" w:rsidRDefault="00495334" w:rsidP="00495334">
            <w:pPr>
              <w:pStyle w:val="Tabletext"/>
              <w:keepNext/>
              <w:widowControl w:val="0"/>
              <w:rPr>
                <w:b w:val="0"/>
              </w:rPr>
            </w:pPr>
            <w:r w:rsidRPr="00A8093E">
              <w:rPr>
                <w:b w:val="0"/>
              </w:rPr>
              <w:t>Seed-borne plant pathogens</w:t>
            </w:r>
          </w:p>
        </w:tc>
        <w:tc>
          <w:tcPr>
            <w:tcW w:w="3543" w:type="dxa"/>
            <w:tcBorders>
              <w:top w:val="nil"/>
              <w:bottom w:val="nil"/>
            </w:tcBorders>
            <w:shd w:val="clear" w:color="auto" w:fill="auto"/>
          </w:tcPr>
          <w:p w14:paraId="1C7113B5" w14:textId="77777777" w:rsidR="00495334" w:rsidRPr="00A81D6D" w:rsidRDefault="00495334" w:rsidP="00495334">
            <w:pPr>
              <w:pStyle w:val="Tabletext"/>
              <w:cnfStyle w:val="000000000000" w:firstRow="0" w:lastRow="0" w:firstColumn="0" w:lastColumn="0" w:oddVBand="0" w:evenVBand="0" w:oddHBand="0" w:evenHBand="0" w:firstRowFirstColumn="0" w:firstRowLastColumn="0" w:lastRowFirstColumn="0" w:lastRowLastColumn="0"/>
            </w:pPr>
            <w:r w:rsidRPr="00A81D6D">
              <w:t>Underside of sea containers</w:t>
            </w:r>
          </w:p>
          <w:p w14:paraId="6FE5F4AC" w14:textId="390DCB50" w:rsidR="00495334" w:rsidRDefault="00495334" w:rsidP="00495334">
            <w:pPr>
              <w:pStyle w:val="Tabletext"/>
              <w:keepNext/>
              <w:widowControl w:val="0"/>
              <w:cnfStyle w:val="000000000000" w:firstRow="0" w:lastRow="0" w:firstColumn="0" w:lastColumn="0" w:oddVBand="0" w:evenVBand="0" w:oddHBand="0" w:evenHBand="0" w:firstRowFirstColumn="0" w:firstRowLastColumn="0" w:lastRowFirstColumn="0" w:lastRowLastColumn="0"/>
            </w:pPr>
            <w:r w:rsidRPr="00A81D6D">
              <w:t>External surfaces of new cars and machinery</w:t>
            </w:r>
          </w:p>
        </w:tc>
      </w:tr>
      <w:tr w:rsidR="00495334" w14:paraId="22C21D08" w14:textId="77777777" w:rsidTr="00A8093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529" w:type="dxa"/>
            <w:tcBorders>
              <w:top w:val="nil"/>
              <w:bottom w:val="nil"/>
            </w:tcBorders>
            <w:shd w:val="clear" w:color="auto" w:fill="auto"/>
          </w:tcPr>
          <w:p w14:paraId="613D9D9E" w14:textId="77777777" w:rsidR="00495334" w:rsidRPr="00A8093E" w:rsidRDefault="00495334" w:rsidP="00495334">
            <w:pPr>
              <w:pStyle w:val="Tabletext"/>
              <w:rPr>
                <w:b w:val="0"/>
              </w:rPr>
            </w:pPr>
            <w:r w:rsidRPr="00A8093E">
              <w:rPr>
                <w:b w:val="0"/>
              </w:rPr>
              <w:t>Soil—Exotic invasive ants</w:t>
            </w:r>
          </w:p>
          <w:p w14:paraId="6D318F65" w14:textId="13D4A346" w:rsidR="00495334" w:rsidRPr="00A8093E" w:rsidRDefault="00495334" w:rsidP="00495334">
            <w:pPr>
              <w:pStyle w:val="Tabletext"/>
              <w:keepNext/>
              <w:widowControl w:val="0"/>
              <w:rPr>
                <w:b w:val="0"/>
              </w:rPr>
            </w:pPr>
            <w:r w:rsidRPr="00A8093E">
              <w:rPr>
                <w:b w:val="0"/>
              </w:rPr>
              <w:t>Soil—Fungi and nematodes</w:t>
            </w:r>
          </w:p>
        </w:tc>
        <w:tc>
          <w:tcPr>
            <w:tcW w:w="3543" w:type="dxa"/>
            <w:tcBorders>
              <w:top w:val="nil"/>
              <w:bottom w:val="nil"/>
            </w:tcBorders>
            <w:shd w:val="clear" w:color="auto" w:fill="auto"/>
          </w:tcPr>
          <w:p w14:paraId="5F8864FB" w14:textId="77777777" w:rsidR="00495334" w:rsidRDefault="00495334" w:rsidP="00495334">
            <w:pPr>
              <w:pStyle w:val="Tabletext"/>
              <w:cnfStyle w:val="000000100000" w:firstRow="0" w:lastRow="0" w:firstColumn="0" w:lastColumn="0" w:oddVBand="0" w:evenVBand="0" w:oddHBand="1" w:evenHBand="0" w:firstRowFirstColumn="0" w:firstRowLastColumn="0" w:lastRowFirstColumn="0" w:lastRowLastColumn="0"/>
            </w:pPr>
            <w:r>
              <w:t>Underside of sea containers</w:t>
            </w:r>
          </w:p>
          <w:p w14:paraId="2157075C" w14:textId="0E96E600" w:rsidR="00495334" w:rsidRDefault="00495334" w:rsidP="00495334">
            <w:pPr>
              <w:pStyle w:val="Tabletext"/>
              <w:keepNext/>
              <w:widowControl w:val="0"/>
              <w:cnfStyle w:val="000000100000" w:firstRow="0" w:lastRow="0" w:firstColumn="0" w:lastColumn="0" w:oddVBand="0" w:evenVBand="0" w:oddHBand="1" w:evenHBand="0" w:firstRowFirstColumn="0" w:firstRowLastColumn="0" w:lastRowFirstColumn="0" w:lastRowLastColumn="0"/>
            </w:pPr>
            <w:r>
              <w:t>External surfaces of new cars and machinery</w:t>
            </w:r>
          </w:p>
        </w:tc>
      </w:tr>
      <w:tr w:rsidR="00495334" w14:paraId="0DC3E08E" w14:textId="77777777" w:rsidTr="00A8093E">
        <w:trPr>
          <w:trHeight w:val="346"/>
        </w:trPr>
        <w:tc>
          <w:tcPr>
            <w:cnfStyle w:val="001000000000" w:firstRow="0" w:lastRow="0" w:firstColumn="1" w:lastColumn="0" w:oddVBand="0" w:evenVBand="0" w:oddHBand="0" w:evenHBand="0" w:firstRowFirstColumn="0" w:firstRowLastColumn="0" w:lastRowFirstColumn="0" w:lastRowLastColumn="0"/>
            <w:tcW w:w="5529" w:type="dxa"/>
            <w:tcBorders>
              <w:top w:val="nil"/>
              <w:bottom w:val="nil"/>
            </w:tcBorders>
            <w:shd w:val="clear" w:color="auto" w:fill="auto"/>
          </w:tcPr>
          <w:p w14:paraId="06C56C47" w14:textId="4E02484B" w:rsidR="00495334" w:rsidRPr="00A8093E" w:rsidRDefault="00495334" w:rsidP="00495334">
            <w:pPr>
              <w:pStyle w:val="Tabletext"/>
              <w:keepNext/>
              <w:widowControl w:val="0"/>
              <w:rPr>
                <w:b w:val="0"/>
              </w:rPr>
            </w:pPr>
            <w:r w:rsidRPr="00A8093E">
              <w:rPr>
                <w:b w:val="0"/>
              </w:rPr>
              <w:t>Food and organic residues as a food source for pests such as insects, rodents</w:t>
            </w:r>
          </w:p>
        </w:tc>
        <w:tc>
          <w:tcPr>
            <w:tcW w:w="3543" w:type="dxa"/>
            <w:tcBorders>
              <w:top w:val="nil"/>
              <w:bottom w:val="nil"/>
            </w:tcBorders>
            <w:shd w:val="clear" w:color="auto" w:fill="auto"/>
          </w:tcPr>
          <w:p w14:paraId="5ED78987" w14:textId="489C4B39" w:rsidR="00495334" w:rsidRDefault="00495334" w:rsidP="00495334">
            <w:pPr>
              <w:pStyle w:val="Tabletext"/>
              <w:keepNext/>
              <w:widowControl w:val="0"/>
              <w:cnfStyle w:val="000000000000" w:firstRow="0" w:lastRow="0" w:firstColumn="0" w:lastColumn="0" w:oddVBand="0" w:evenVBand="0" w:oddHBand="0" w:evenHBand="0" w:firstRowFirstColumn="0" w:firstRowLastColumn="0" w:lastRowFirstColumn="0" w:lastRowLastColumn="0"/>
            </w:pPr>
            <w:r>
              <w:t>Inside air container</w:t>
            </w:r>
          </w:p>
        </w:tc>
      </w:tr>
      <w:tr w:rsidR="00495334" w14:paraId="14D7E5E8" w14:textId="77777777" w:rsidTr="00A8093E">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529" w:type="dxa"/>
            <w:tcBorders>
              <w:top w:val="nil"/>
              <w:bottom w:val="nil"/>
            </w:tcBorders>
            <w:shd w:val="clear" w:color="auto" w:fill="auto"/>
          </w:tcPr>
          <w:p w14:paraId="7006EF0F" w14:textId="2EFEABB7" w:rsidR="00495334" w:rsidRPr="00A8093E" w:rsidRDefault="00495334" w:rsidP="00495334">
            <w:pPr>
              <w:pStyle w:val="Tabletext"/>
              <w:keepNext/>
              <w:widowControl w:val="0"/>
              <w:rPr>
                <w:b w:val="0"/>
              </w:rPr>
            </w:pPr>
            <w:r w:rsidRPr="00A8093E">
              <w:rPr>
                <w:b w:val="0"/>
              </w:rPr>
              <w:t>Plant and animal material as a source of plant or animal diseases</w:t>
            </w:r>
          </w:p>
        </w:tc>
        <w:tc>
          <w:tcPr>
            <w:tcW w:w="3543" w:type="dxa"/>
            <w:tcBorders>
              <w:top w:val="nil"/>
              <w:bottom w:val="nil"/>
            </w:tcBorders>
            <w:shd w:val="clear" w:color="auto" w:fill="auto"/>
          </w:tcPr>
          <w:p w14:paraId="550DFE0C" w14:textId="7B0E556E" w:rsidR="00495334" w:rsidRDefault="00495334" w:rsidP="00495334">
            <w:pPr>
              <w:pStyle w:val="Tabletext"/>
              <w:keepNext/>
              <w:widowControl w:val="0"/>
              <w:cnfStyle w:val="000000100000" w:firstRow="0" w:lastRow="0" w:firstColumn="0" w:lastColumn="0" w:oddVBand="0" w:evenVBand="0" w:oddHBand="1" w:evenHBand="0" w:firstRowFirstColumn="0" w:firstRowLastColumn="0" w:lastRowFirstColumn="0" w:lastRowLastColumn="0"/>
            </w:pPr>
            <w:r>
              <w:t>Inside sea container</w:t>
            </w:r>
          </w:p>
        </w:tc>
      </w:tr>
      <w:tr w:rsidR="00495334" w14:paraId="76D32026" w14:textId="77777777" w:rsidTr="00A8093E">
        <w:trPr>
          <w:trHeight w:val="346"/>
        </w:trPr>
        <w:tc>
          <w:tcPr>
            <w:cnfStyle w:val="001000000000" w:firstRow="0" w:lastRow="0" w:firstColumn="1" w:lastColumn="0" w:oddVBand="0" w:evenVBand="0" w:oddHBand="0" w:evenHBand="0" w:firstRowFirstColumn="0" w:firstRowLastColumn="0" w:lastRowFirstColumn="0" w:lastRowLastColumn="0"/>
            <w:tcW w:w="5529" w:type="dxa"/>
            <w:tcBorders>
              <w:top w:val="nil"/>
              <w:bottom w:val="single" w:sz="4" w:space="0" w:color="auto"/>
            </w:tcBorders>
            <w:shd w:val="clear" w:color="auto" w:fill="auto"/>
          </w:tcPr>
          <w:p w14:paraId="6BEB5F90" w14:textId="6FF067E0" w:rsidR="00495334" w:rsidRPr="00A8093E" w:rsidRDefault="00495334" w:rsidP="00495334">
            <w:pPr>
              <w:pStyle w:val="Tabletext"/>
              <w:keepNext/>
              <w:widowControl w:val="0"/>
              <w:rPr>
                <w:b w:val="0"/>
              </w:rPr>
            </w:pPr>
            <w:r w:rsidRPr="00A8093E">
              <w:rPr>
                <w:b w:val="0"/>
              </w:rPr>
              <w:t>Invasive mosquito breeding spot</w:t>
            </w:r>
          </w:p>
        </w:tc>
        <w:tc>
          <w:tcPr>
            <w:tcW w:w="3543" w:type="dxa"/>
            <w:tcBorders>
              <w:top w:val="nil"/>
              <w:bottom w:val="single" w:sz="4" w:space="0" w:color="auto"/>
            </w:tcBorders>
            <w:shd w:val="clear" w:color="auto" w:fill="auto"/>
          </w:tcPr>
          <w:p w14:paraId="3FBDFE57" w14:textId="74CDF395" w:rsidR="00495334" w:rsidRDefault="00495334" w:rsidP="00495334">
            <w:pPr>
              <w:pStyle w:val="Tabletext"/>
              <w:keepNext/>
              <w:widowControl w:val="0"/>
              <w:cnfStyle w:val="000000000000" w:firstRow="0" w:lastRow="0" w:firstColumn="0" w:lastColumn="0" w:oddVBand="0" w:evenVBand="0" w:oddHBand="0" w:evenHBand="0" w:firstRowFirstColumn="0" w:firstRowLastColumn="0" w:lastRowFirstColumn="0" w:lastRowLastColumn="0"/>
            </w:pPr>
            <w:r>
              <w:t>Vessel decks, break-bulk cargo, especially tyres</w:t>
            </w:r>
          </w:p>
        </w:tc>
      </w:tr>
    </w:tbl>
    <w:p w14:paraId="6B4BC27F" w14:textId="2AE73A8E" w:rsidR="00A8093E" w:rsidRDefault="00A8093E" w:rsidP="00A8093E">
      <w:pPr>
        <w:pStyle w:val="FigureTableNoteSource"/>
      </w:pPr>
      <w:r>
        <w:t>Source: Department of Agriculture and Water Resources</w:t>
      </w:r>
    </w:p>
    <w:p w14:paraId="4AC22CBB" w14:textId="77777777" w:rsidR="001F7008" w:rsidRDefault="001F7008">
      <w:pPr>
        <w:tabs>
          <w:tab w:val="clear" w:pos="567"/>
        </w:tabs>
        <w:spacing w:before="0" w:after="0"/>
      </w:pPr>
      <w:r>
        <w:br w:type="page"/>
      </w:r>
    </w:p>
    <w:p w14:paraId="7776E84A" w14:textId="3DA053F8" w:rsidR="00AB0E44" w:rsidRDefault="00DF0927" w:rsidP="001D4D0B">
      <w:pPr>
        <w:spacing w:before="240"/>
      </w:pPr>
      <w:r>
        <w:t>The distribution of pests and diseases is strongly influenced by t</w:t>
      </w:r>
      <w:r w:rsidR="00361FA3">
        <w:t xml:space="preserve">rends in trade and transport. Historically, the rise in global exploration and the industrial revolution caused significant introductions of invasive pests and exotic diseases. Since the mid-20th century, increased </w:t>
      </w:r>
      <w:r w:rsidR="00361FA3" w:rsidRPr="00DF0927">
        <w:t>income growth due to globalisation has strongly correlated with increasing richness of</w:t>
      </w:r>
      <w:r w:rsidR="00361FA3">
        <w:t xml:space="preserve"> invasive species in both island and continental countries (</w:t>
      </w:r>
      <w:proofErr w:type="spellStart"/>
      <w:r w:rsidR="00361FA3">
        <w:t>Hulme</w:t>
      </w:r>
      <w:proofErr w:type="spellEnd"/>
      <w:r w:rsidR="00361FA3">
        <w:t xml:space="preserve"> 2009). </w:t>
      </w:r>
      <w:r w:rsidR="00A4711E">
        <w:t>Also</w:t>
      </w:r>
      <w:r w:rsidR="00361FA3">
        <w:t>, advances in supply chain efficiency</w:t>
      </w:r>
      <w:r w:rsidR="009C791B">
        <w:t>,</w:t>
      </w:r>
      <w:r w:rsidR="00361FA3">
        <w:t xml:space="preserve"> </w:t>
      </w:r>
      <w:r w:rsidR="009C791B">
        <w:t xml:space="preserve">along </w:t>
      </w:r>
      <w:r w:rsidR="00361FA3">
        <w:t xml:space="preserve">with growing commodity and transport demand, have increased </w:t>
      </w:r>
      <w:r w:rsidR="00361FA3" w:rsidRPr="00DF0927">
        <w:t xml:space="preserve">the rate </w:t>
      </w:r>
      <w:r w:rsidRPr="00DF0927">
        <w:t>at which goods can be moved</w:t>
      </w:r>
      <w:r w:rsidR="00361FA3" w:rsidRPr="00DF0927">
        <w:t xml:space="preserve">, thus increasing the risk </w:t>
      </w:r>
      <w:r w:rsidRPr="007B15E0">
        <w:t xml:space="preserve">that </w:t>
      </w:r>
      <w:r w:rsidR="00361FA3" w:rsidRPr="00DF0927">
        <w:t>hitchhiker</w:t>
      </w:r>
      <w:r w:rsidR="00877ECB">
        <w:t xml:space="preserve"> pests</w:t>
      </w:r>
      <w:r w:rsidR="00361FA3" w:rsidRPr="00DF0927">
        <w:t xml:space="preserve"> and contaminants </w:t>
      </w:r>
      <w:r w:rsidRPr="007B15E0">
        <w:t xml:space="preserve">will </w:t>
      </w:r>
      <w:r w:rsidR="00361FA3" w:rsidRPr="00DF0927">
        <w:t>break through biosecurity lines</w:t>
      </w:r>
      <w:r w:rsidR="00361FA3">
        <w:t xml:space="preserve">. Risks to agriculture and the environment are exacerbated if the goods go to or through rural areas. </w:t>
      </w:r>
      <w:r>
        <w:t>Therefore, the m</w:t>
      </w:r>
      <w:r w:rsidR="00361FA3">
        <w:t xml:space="preserve">easures </w:t>
      </w:r>
      <w:r>
        <w:t xml:space="preserve">we use </w:t>
      </w:r>
      <w:r w:rsidR="00361FA3">
        <w:t xml:space="preserve">to manage these increasing </w:t>
      </w:r>
      <w:r w:rsidR="00361FA3" w:rsidRPr="00DF0927">
        <w:t xml:space="preserve">risks need </w:t>
      </w:r>
      <w:r w:rsidR="00877ECB">
        <w:t xml:space="preserve">to be regularly </w:t>
      </w:r>
      <w:r w:rsidR="00361FA3" w:rsidRPr="00DF0927">
        <w:t>review</w:t>
      </w:r>
      <w:r w:rsidR="00877ECB">
        <w:t>ed</w:t>
      </w:r>
      <w:r w:rsidR="00361FA3" w:rsidRPr="00DF0927">
        <w:t xml:space="preserve"> and adap</w:t>
      </w:r>
      <w:r w:rsidR="00877ECB">
        <w:t>ted</w:t>
      </w:r>
      <w:r w:rsidR="00361FA3" w:rsidRPr="00DF0927">
        <w:t>.</w:t>
      </w:r>
    </w:p>
    <w:p w14:paraId="27BA59EB" w14:textId="77777777" w:rsidR="00AB0E44" w:rsidRDefault="00361FA3">
      <w:pPr>
        <w:pStyle w:val="Heading3"/>
        <w:rPr>
          <w:rStyle w:val="Heading3Char"/>
          <w:rFonts w:eastAsia="Calibri"/>
          <w:b/>
          <w:bCs/>
        </w:rPr>
      </w:pPr>
      <w:bookmarkStart w:id="17" w:name="_Toc505846210"/>
      <w:bookmarkStart w:id="18" w:name="_Toc521069532"/>
      <w:r>
        <w:t>Terrestrial hitchhiker</w:t>
      </w:r>
      <w:bookmarkEnd w:id="17"/>
      <w:r>
        <w:t xml:space="preserve"> pests and contaminants</w:t>
      </w:r>
      <w:bookmarkEnd w:id="18"/>
    </w:p>
    <w:p w14:paraId="331849BD" w14:textId="77777777" w:rsidR="00AB0E44" w:rsidRDefault="00361FA3">
      <w:pPr>
        <w:pStyle w:val="Heading4"/>
        <w:ind w:left="993" w:hanging="993"/>
      </w:pPr>
      <w:r>
        <w:t>Hitchhiker pests</w:t>
      </w:r>
    </w:p>
    <w:p w14:paraId="45D1A86F" w14:textId="5104A801" w:rsidR="00AB0E44" w:rsidRDefault="00361FA3">
      <w:pPr>
        <w:spacing w:before="240"/>
      </w:pPr>
      <w:r>
        <w:t xml:space="preserve">A hitchhiker pest is a live insect </w:t>
      </w:r>
      <w:r w:rsidRPr="007E7A9D">
        <w:t>or other animal</w:t>
      </w:r>
      <w:r w:rsidR="007E7A9D" w:rsidRPr="00B75E10">
        <w:t xml:space="preserve"> that has an </w:t>
      </w:r>
      <w:r w:rsidRPr="00B75E10">
        <w:t>opportunistic</w:t>
      </w:r>
      <w:r w:rsidRPr="00A110D0">
        <w:t xml:space="preserve"> associat</w:t>
      </w:r>
      <w:r w:rsidR="007E7A9D" w:rsidRPr="007B15E0">
        <w:t>ion</w:t>
      </w:r>
      <w:r w:rsidRPr="00B75E10">
        <w:t xml:space="preserve"> with a commodity or item with which it has no biological host relationship. Successful hitchhiker</w:t>
      </w:r>
      <w:r w:rsidR="000D3BA7" w:rsidRPr="00B75E10">
        <w:t xml:space="preserve"> pests</w:t>
      </w:r>
      <w:r w:rsidRPr="00600887">
        <w:t xml:space="preserve"> may</w:t>
      </w:r>
      <w:r w:rsidRPr="00A81D6D">
        <w:t>:</w:t>
      </w:r>
    </w:p>
    <w:p w14:paraId="17377CD3" w14:textId="3AAE1F95" w:rsidR="00AB0E44" w:rsidRDefault="000D3BA7">
      <w:pPr>
        <w:pStyle w:val="ListBullet"/>
        <w:spacing w:before="60" w:after="60"/>
      </w:pPr>
      <w:r>
        <w:t xml:space="preserve">be attracted </w:t>
      </w:r>
      <w:r w:rsidR="00361FA3">
        <w:t>to habitats modified by humans</w:t>
      </w:r>
    </w:p>
    <w:p w14:paraId="46BC5D9A" w14:textId="44FE5C36" w:rsidR="00AB0E44" w:rsidRDefault="000D3BA7">
      <w:pPr>
        <w:pStyle w:val="ListBullet"/>
        <w:spacing w:before="60" w:after="60"/>
      </w:pPr>
      <w:r>
        <w:t xml:space="preserve">be able </w:t>
      </w:r>
      <w:r w:rsidR="00361FA3">
        <w:t xml:space="preserve">to complete their </w:t>
      </w:r>
      <w:r w:rsidR="00361FA3" w:rsidRPr="00956730">
        <w:t>life</w:t>
      </w:r>
      <w:r w:rsidR="00956730">
        <w:t xml:space="preserve"> </w:t>
      </w:r>
      <w:r w:rsidR="00361FA3" w:rsidRPr="00956730">
        <w:t>cycle in</w:t>
      </w:r>
      <w:r w:rsidR="00361FA3">
        <w:t xml:space="preserve"> human environments or highly disturbed habitats</w:t>
      </w:r>
    </w:p>
    <w:p w14:paraId="435FCA91" w14:textId="29D9C3E1" w:rsidR="00AB0E44" w:rsidRDefault="000D3BA7">
      <w:pPr>
        <w:pStyle w:val="ListBullet"/>
        <w:spacing w:before="60" w:after="60"/>
      </w:pPr>
      <w:r>
        <w:t xml:space="preserve">have </w:t>
      </w:r>
      <w:r w:rsidR="00361FA3">
        <w:t xml:space="preserve">life stages that </w:t>
      </w:r>
      <w:r>
        <w:t xml:space="preserve">require </w:t>
      </w:r>
      <w:r w:rsidR="00361FA3">
        <w:t>sheltered areas to avoid extreme conditions or to escape detection</w:t>
      </w:r>
    </w:p>
    <w:p w14:paraId="4CEAEC8D" w14:textId="223C6848" w:rsidR="00AB0E44" w:rsidRDefault="000D3BA7">
      <w:pPr>
        <w:pStyle w:val="ListBullet"/>
        <w:spacing w:before="60" w:after="60"/>
      </w:pPr>
      <w:r>
        <w:t xml:space="preserve">have </w:t>
      </w:r>
      <w:r w:rsidR="00361FA3">
        <w:t xml:space="preserve">life stages </w:t>
      </w:r>
      <w:r>
        <w:t xml:space="preserve">involving </w:t>
      </w:r>
      <w:r w:rsidR="00361FA3">
        <w:t>dormancy, allowing them to survive extended periods in transit, and/or</w:t>
      </w:r>
    </w:p>
    <w:p w14:paraId="6B81A8D3" w14:textId="2DFC7AEA" w:rsidR="00AB0E44" w:rsidRDefault="000D3BA7">
      <w:pPr>
        <w:pStyle w:val="ListBullet"/>
        <w:spacing w:before="60" w:after="60"/>
      </w:pPr>
      <w:proofErr w:type="gramStart"/>
      <w:r>
        <w:t>have</w:t>
      </w:r>
      <w:proofErr w:type="gramEnd"/>
      <w:r>
        <w:t xml:space="preserve"> </w:t>
      </w:r>
      <w:r w:rsidR="00361FA3">
        <w:t>links with common contaminants like soil or plant material (Toy &amp; Newfield 2010).</w:t>
      </w:r>
    </w:p>
    <w:p w14:paraId="68368B0E" w14:textId="168DEF64" w:rsidR="00AB0E44" w:rsidRDefault="000D3BA7">
      <w:pPr>
        <w:tabs>
          <w:tab w:val="clear" w:pos="567"/>
        </w:tabs>
        <w:spacing w:after="0"/>
        <w:rPr>
          <w:lang w:eastAsia="ja-JP"/>
        </w:rPr>
      </w:pPr>
      <w:r>
        <w:rPr>
          <w:lang w:eastAsia="ja-JP"/>
        </w:rPr>
        <w:t xml:space="preserve">Many </w:t>
      </w:r>
      <w:r w:rsidR="00361FA3" w:rsidRPr="000D3BA7">
        <w:rPr>
          <w:lang w:eastAsia="ja-JP"/>
        </w:rPr>
        <w:t xml:space="preserve">key hitchhiker pests </w:t>
      </w:r>
      <w:r>
        <w:rPr>
          <w:lang w:eastAsia="ja-JP"/>
        </w:rPr>
        <w:t xml:space="preserve">can potentially have </w:t>
      </w:r>
      <w:r w:rsidR="00361FA3" w:rsidRPr="000D3BA7">
        <w:rPr>
          <w:lang w:eastAsia="ja-JP"/>
        </w:rPr>
        <w:t xml:space="preserve">very </w:t>
      </w:r>
      <w:r>
        <w:rPr>
          <w:lang w:eastAsia="ja-JP"/>
        </w:rPr>
        <w:t xml:space="preserve">strong </w:t>
      </w:r>
      <w:r w:rsidR="00361FA3" w:rsidRPr="000D3BA7">
        <w:rPr>
          <w:lang w:eastAsia="ja-JP"/>
        </w:rPr>
        <w:t>invasive impact</w:t>
      </w:r>
      <w:r>
        <w:rPr>
          <w:lang w:eastAsia="ja-JP"/>
        </w:rPr>
        <w:t>.</w:t>
      </w:r>
      <w:r w:rsidR="00361FA3" w:rsidRPr="000D3BA7">
        <w:rPr>
          <w:lang w:eastAsia="ja-JP"/>
        </w:rPr>
        <w:t xml:space="preserve"> </w:t>
      </w:r>
      <w:r>
        <w:rPr>
          <w:lang w:eastAsia="ja-JP"/>
        </w:rPr>
        <w:t xml:space="preserve">Therefore, </w:t>
      </w:r>
      <w:r w:rsidR="00361FA3" w:rsidRPr="000D3BA7">
        <w:rPr>
          <w:lang w:eastAsia="ja-JP"/>
        </w:rPr>
        <w:t>special programs have been devised</w:t>
      </w:r>
      <w:r>
        <w:rPr>
          <w:lang w:eastAsia="ja-JP"/>
        </w:rPr>
        <w:t xml:space="preserve"> to combat them</w:t>
      </w:r>
      <w:r w:rsidR="00361FA3" w:rsidRPr="000D3BA7">
        <w:rPr>
          <w:lang w:eastAsia="ja-JP"/>
        </w:rPr>
        <w:t>, both internationally and in Australia</w:t>
      </w:r>
      <w:r w:rsidR="00956730">
        <w:rPr>
          <w:lang w:eastAsia="ja-JP"/>
        </w:rPr>
        <w:t>. These pests</w:t>
      </w:r>
      <w:r w:rsidR="00361FA3" w:rsidRPr="000D3BA7">
        <w:rPr>
          <w:lang w:eastAsia="ja-JP"/>
        </w:rPr>
        <w:t xml:space="preserve"> include:</w:t>
      </w:r>
    </w:p>
    <w:p w14:paraId="0F818137" w14:textId="5E257BD6" w:rsidR="00AB0E44" w:rsidRDefault="00361FA3">
      <w:pPr>
        <w:pStyle w:val="ListBullet"/>
        <w:spacing w:before="60" w:after="60"/>
        <w:rPr>
          <w:lang w:eastAsia="ja-JP"/>
        </w:rPr>
      </w:pPr>
      <w:r>
        <w:rPr>
          <w:b/>
          <w:lang w:eastAsia="ja-JP"/>
        </w:rPr>
        <w:t>giant African snails</w:t>
      </w:r>
      <w:r w:rsidR="00A4711E">
        <w:rPr>
          <w:b/>
          <w:lang w:eastAsia="ja-JP"/>
        </w:rPr>
        <w:t xml:space="preserve"> </w:t>
      </w:r>
      <w:r w:rsidR="00A4711E" w:rsidRPr="007B15E0">
        <w:rPr>
          <w:lang w:eastAsia="ja-JP"/>
        </w:rPr>
        <w:t>(</w:t>
      </w:r>
      <w:proofErr w:type="spellStart"/>
      <w:r w:rsidR="00A4711E" w:rsidRPr="007B15E0">
        <w:rPr>
          <w:i/>
          <w:lang w:eastAsia="ja-JP"/>
        </w:rPr>
        <w:t>Achatina</w:t>
      </w:r>
      <w:proofErr w:type="spellEnd"/>
      <w:r w:rsidR="00A4711E" w:rsidRPr="007B15E0">
        <w:rPr>
          <w:i/>
          <w:lang w:eastAsia="ja-JP"/>
        </w:rPr>
        <w:t xml:space="preserve"> </w:t>
      </w:r>
      <w:proofErr w:type="spellStart"/>
      <w:r w:rsidR="00A4711E" w:rsidRPr="007B15E0">
        <w:rPr>
          <w:i/>
          <w:lang w:eastAsia="ja-JP"/>
        </w:rPr>
        <w:t>fulica</w:t>
      </w:r>
      <w:proofErr w:type="spellEnd"/>
      <w:r w:rsidR="00A4711E" w:rsidRPr="007B15E0">
        <w:rPr>
          <w:lang w:eastAsia="ja-JP"/>
        </w:rPr>
        <w:t>)</w:t>
      </w:r>
      <w:r>
        <w:rPr>
          <w:lang w:eastAsia="ja-JP"/>
        </w:rPr>
        <w:t xml:space="preserve">, which feed </w:t>
      </w:r>
      <w:r>
        <w:t>voraciously</w:t>
      </w:r>
      <w:r>
        <w:rPr>
          <w:lang w:eastAsia="ja-JP"/>
        </w:rPr>
        <w:t xml:space="preserve"> on over 500 species of plants, including vegetables, fruits, ornamentals and eucalypts</w:t>
      </w:r>
    </w:p>
    <w:p w14:paraId="7646C862" w14:textId="00F7DECA" w:rsidR="00AB0E44" w:rsidRDefault="00361FA3">
      <w:pPr>
        <w:pStyle w:val="ListBullet"/>
        <w:spacing w:before="60" w:after="60"/>
        <w:rPr>
          <w:lang w:eastAsia="ja-JP"/>
        </w:rPr>
      </w:pPr>
      <w:r>
        <w:rPr>
          <w:b/>
          <w:lang w:eastAsia="ja-JP"/>
        </w:rPr>
        <w:t xml:space="preserve">exotic invasive ants </w:t>
      </w:r>
      <w:r>
        <w:rPr>
          <w:lang w:eastAsia="ja-JP"/>
        </w:rPr>
        <w:t xml:space="preserve">such as the </w:t>
      </w:r>
      <w:r w:rsidRPr="00A4711E">
        <w:rPr>
          <w:lang w:eastAsia="ja-JP"/>
        </w:rPr>
        <w:t>red imported fire ant</w:t>
      </w:r>
      <w:r w:rsidR="00A4711E">
        <w:rPr>
          <w:lang w:eastAsia="ja-JP"/>
        </w:rPr>
        <w:t xml:space="preserve"> </w:t>
      </w:r>
      <w:r w:rsidR="00A4711E" w:rsidRPr="00A4711E">
        <w:rPr>
          <w:lang w:eastAsia="ja-JP"/>
        </w:rPr>
        <w:t>(</w:t>
      </w:r>
      <w:proofErr w:type="spellStart"/>
      <w:r w:rsidR="00A4711E" w:rsidRPr="007B15E0">
        <w:rPr>
          <w:i/>
          <w:lang w:eastAsia="ja-JP"/>
        </w:rPr>
        <w:t>Solenopsis</w:t>
      </w:r>
      <w:proofErr w:type="spellEnd"/>
      <w:r w:rsidR="00A4711E" w:rsidRPr="007B15E0">
        <w:rPr>
          <w:i/>
          <w:lang w:eastAsia="ja-JP"/>
        </w:rPr>
        <w:t xml:space="preserve"> </w:t>
      </w:r>
      <w:proofErr w:type="spellStart"/>
      <w:r w:rsidR="00A4711E" w:rsidRPr="007B15E0">
        <w:rPr>
          <w:i/>
          <w:lang w:eastAsia="ja-JP"/>
        </w:rPr>
        <w:t>invicta</w:t>
      </w:r>
      <w:proofErr w:type="spellEnd"/>
      <w:r w:rsidR="00A4711E" w:rsidRPr="00A4711E">
        <w:rPr>
          <w:lang w:eastAsia="ja-JP"/>
        </w:rPr>
        <w:t>)</w:t>
      </w:r>
      <w:r w:rsidRPr="00A4711E">
        <w:rPr>
          <w:lang w:eastAsia="ja-JP"/>
        </w:rPr>
        <w:t>, against</w:t>
      </w:r>
      <w:r>
        <w:rPr>
          <w:lang w:eastAsia="ja-JP"/>
        </w:rPr>
        <w:t xml:space="preserve"> which a $411.4 million national eradication program is currently operating</w:t>
      </w:r>
    </w:p>
    <w:p w14:paraId="14825AA7" w14:textId="18D5DB99" w:rsidR="00AB0E44" w:rsidRDefault="00361FA3">
      <w:pPr>
        <w:pStyle w:val="ListBullet"/>
        <w:spacing w:before="60" w:after="60"/>
        <w:rPr>
          <w:lang w:eastAsia="ja-JP"/>
        </w:rPr>
      </w:pPr>
      <w:proofErr w:type="gramStart"/>
      <w:r>
        <w:rPr>
          <w:b/>
          <w:lang w:eastAsia="ja-JP"/>
        </w:rPr>
        <w:t>exotic</w:t>
      </w:r>
      <w:proofErr w:type="gramEnd"/>
      <w:r>
        <w:rPr>
          <w:b/>
          <w:lang w:eastAsia="ja-JP"/>
        </w:rPr>
        <w:t xml:space="preserve"> bees</w:t>
      </w:r>
      <w:r>
        <w:rPr>
          <w:lang w:eastAsia="ja-JP"/>
        </w:rPr>
        <w:t xml:space="preserve">, such as the </w:t>
      </w:r>
      <w:r>
        <w:t>Africanised</w:t>
      </w:r>
      <w:r>
        <w:rPr>
          <w:lang w:eastAsia="ja-JP"/>
        </w:rPr>
        <w:t xml:space="preserve"> honey bee (</w:t>
      </w:r>
      <w:proofErr w:type="spellStart"/>
      <w:r>
        <w:rPr>
          <w:i/>
          <w:lang w:eastAsia="ja-JP"/>
        </w:rPr>
        <w:t>Apis</w:t>
      </w:r>
      <w:proofErr w:type="spellEnd"/>
      <w:r>
        <w:rPr>
          <w:i/>
          <w:lang w:eastAsia="ja-JP"/>
        </w:rPr>
        <w:t xml:space="preserve"> </w:t>
      </w:r>
      <w:proofErr w:type="spellStart"/>
      <w:r>
        <w:rPr>
          <w:i/>
          <w:lang w:eastAsia="ja-JP"/>
        </w:rPr>
        <w:t>mellifera</w:t>
      </w:r>
      <w:proofErr w:type="spellEnd"/>
      <w:r>
        <w:rPr>
          <w:lang w:eastAsia="ja-JP"/>
        </w:rPr>
        <w:t>) and</w:t>
      </w:r>
      <w:r>
        <w:rPr>
          <w:b/>
          <w:lang w:eastAsia="ja-JP"/>
        </w:rPr>
        <w:t xml:space="preserve"> </w:t>
      </w:r>
      <w:r w:rsidRPr="007B15E0">
        <w:rPr>
          <w:b/>
          <w:lang w:eastAsia="ja-JP"/>
        </w:rPr>
        <w:t>bee pests</w:t>
      </w:r>
      <w:r>
        <w:rPr>
          <w:b/>
          <w:lang w:eastAsia="ja-JP"/>
        </w:rPr>
        <w:t xml:space="preserve"> </w:t>
      </w:r>
      <w:r>
        <w:rPr>
          <w:lang w:eastAsia="ja-JP"/>
        </w:rPr>
        <w:t xml:space="preserve">such as the </w:t>
      </w:r>
      <w:proofErr w:type="spellStart"/>
      <w:r w:rsidRPr="007B15E0">
        <w:rPr>
          <w:i/>
          <w:lang w:eastAsia="ja-JP"/>
        </w:rPr>
        <w:t>Varroa</w:t>
      </w:r>
      <w:proofErr w:type="spellEnd"/>
      <w:r w:rsidRPr="007B15E0">
        <w:rPr>
          <w:i/>
          <w:lang w:eastAsia="ja-JP"/>
        </w:rPr>
        <w:t xml:space="preserve"> destructor</w:t>
      </w:r>
      <w:r>
        <w:rPr>
          <w:lang w:eastAsia="ja-JP"/>
        </w:rPr>
        <w:t xml:space="preserve"> mite, which could imperil Australia’s honey</w:t>
      </w:r>
      <w:r w:rsidR="00A4711E">
        <w:rPr>
          <w:lang w:eastAsia="ja-JP"/>
        </w:rPr>
        <w:t xml:space="preserve"> </w:t>
      </w:r>
      <w:r>
        <w:rPr>
          <w:lang w:eastAsia="ja-JP"/>
        </w:rPr>
        <w:t>bee populations and the pollination and production of many crops.</w:t>
      </w:r>
    </w:p>
    <w:p w14:paraId="67DC86AB" w14:textId="3CE6BD90" w:rsidR="00AB0E44" w:rsidRDefault="000D3BA7">
      <w:pPr>
        <w:tabs>
          <w:tab w:val="clear" w:pos="567"/>
        </w:tabs>
        <w:spacing w:after="0"/>
        <w:rPr>
          <w:lang w:eastAsia="ja-JP"/>
        </w:rPr>
      </w:pPr>
      <w:r w:rsidRPr="007B15E0">
        <w:rPr>
          <w:lang w:eastAsia="ja-JP"/>
        </w:rPr>
        <w:t>In addition, many s</w:t>
      </w:r>
      <w:r w:rsidR="00361FA3" w:rsidRPr="00956730">
        <w:rPr>
          <w:lang w:eastAsia="ja-JP"/>
        </w:rPr>
        <w:t>easonal pests</w:t>
      </w:r>
      <w:r w:rsidR="00956730" w:rsidRPr="007B15E0">
        <w:rPr>
          <w:lang w:eastAsia="ja-JP"/>
        </w:rPr>
        <w:t xml:space="preserve"> </w:t>
      </w:r>
      <w:r w:rsidRPr="007B15E0">
        <w:rPr>
          <w:lang w:eastAsia="ja-JP"/>
        </w:rPr>
        <w:t xml:space="preserve">require </w:t>
      </w:r>
      <w:r w:rsidR="00361FA3" w:rsidRPr="00956730">
        <w:rPr>
          <w:lang w:eastAsia="ja-JP"/>
        </w:rPr>
        <w:t>targeted surveillance and control measures in Australia</w:t>
      </w:r>
      <w:r w:rsidRPr="00956730">
        <w:rPr>
          <w:lang w:eastAsia="ja-JP"/>
        </w:rPr>
        <w:t>. They</w:t>
      </w:r>
      <w:r w:rsidR="00361FA3" w:rsidRPr="00956730">
        <w:rPr>
          <w:lang w:eastAsia="ja-JP"/>
        </w:rPr>
        <w:t xml:space="preserve"> include:</w:t>
      </w:r>
    </w:p>
    <w:p w14:paraId="12272B56" w14:textId="7B0312E1" w:rsidR="00AB0E44" w:rsidRDefault="00361FA3">
      <w:pPr>
        <w:pStyle w:val="ListBullet"/>
        <w:spacing w:before="60" w:after="60"/>
        <w:rPr>
          <w:lang w:eastAsia="ja-JP"/>
        </w:rPr>
      </w:pPr>
      <w:r>
        <w:rPr>
          <w:b/>
          <w:lang w:eastAsia="ja-JP"/>
        </w:rPr>
        <w:t>brown marmorated stink bugs</w:t>
      </w:r>
      <w:r w:rsidR="000D3BA7">
        <w:rPr>
          <w:lang w:eastAsia="ja-JP"/>
        </w:rPr>
        <w:t xml:space="preserve"> </w:t>
      </w:r>
      <w:r w:rsidR="00A4711E" w:rsidRPr="00A4711E">
        <w:rPr>
          <w:lang w:eastAsia="ja-JP"/>
        </w:rPr>
        <w:t>(</w:t>
      </w:r>
      <w:proofErr w:type="spellStart"/>
      <w:r w:rsidR="00A4711E" w:rsidRPr="007B15E0">
        <w:rPr>
          <w:i/>
          <w:lang w:eastAsia="ja-JP"/>
        </w:rPr>
        <w:t>Halyomorpha</w:t>
      </w:r>
      <w:proofErr w:type="spellEnd"/>
      <w:r w:rsidR="00A4711E" w:rsidRPr="007B15E0">
        <w:rPr>
          <w:i/>
          <w:lang w:eastAsia="ja-JP"/>
        </w:rPr>
        <w:t xml:space="preserve"> </w:t>
      </w:r>
      <w:proofErr w:type="spellStart"/>
      <w:r w:rsidR="00A4711E" w:rsidRPr="007B15E0">
        <w:rPr>
          <w:i/>
          <w:lang w:eastAsia="ja-JP"/>
        </w:rPr>
        <w:t>halys</w:t>
      </w:r>
      <w:proofErr w:type="spellEnd"/>
      <w:r w:rsidR="00A4711E" w:rsidRPr="00A4711E">
        <w:rPr>
          <w:lang w:eastAsia="ja-JP"/>
        </w:rPr>
        <w:t>)</w:t>
      </w:r>
      <w:r w:rsidR="00A4711E">
        <w:rPr>
          <w:lang w:eastAsia="ja-JP"/>
        </w:rPr>
        <w:t xml:space="preserve">, </w:t>
      </w:r>
      <w:r w:rsidR="000D3BA7">
        <w:rPr>
          <w:lang w:eastAsia="ja-JP"/>
        </w:rPr>
        <w:t xml:space="preserve">which are </w:t>
      </w:r>
      <w:r>
        <w:rPr>
          <w:lang w:eastAsia="ja-JP"/>
        </w:rPr>
        <w:t xml:space="preserve">a </w:t>
      </w:r>
      <w:r>
        <w:t>major</w:t>
      </w:r>
      <w:r>
        <w:rPr>
          <w:lang w:eastAsia="ja-JP"/>
        </w:rPr>
        <w:t xml:space="preserve"> horticultural, environmental and household pest</w:t>
      </w:r>
    </w:p>
    <w:p w14:paraId="03B63439" w14:textId="1D82BAD2" w:rsidR="00AB0E44" w:rsidRDefault="00361FA3">
      <w:pPr>
        <w:pStyle w:val="ListBullet"/>
        <w:spacing w:before="60" w:after="60"/>
        <w:rPr>
          <w:lang w:eastAsia="ja-JP"/>
        </w:rPr>
      </w:pPr>
      <w:r>
        <w:rPr>
          <w:b/>
          <w:lang w:eastAsia="ja-JP"/>
        </w:rPr>
        <w:t>Asian gypsy moths</w:t>
      </w:r>
      <w:r w:rsidR="000D3BA7">
        <w:rPr>
          <w:lang w:eastAsia="ja-JP"/>
        </w:rPr>
        <w:t xml:space="preserve"> </w:t>
      </w:r>
      <w:r w:rsidR="00A4711E" w:rsidRPr="00A4711E">
        <w:rPr>
          <w:lang w:eastAsia="ja-JP"/>
        </w:rPr>
        <w:t>(</w:t>
      </w:r>
      <w:proofErr w:type="spellStart"/>
      <w:r w:rsidR="00A4711E" w:rsidRPr="007B15E0">
        <w:rPr>
          <w:i/>
          <w:lang w:eastAsia="ja-JP"/>
        </w:rPr>
        <w:t>Lymantria</w:t>
      </w:r>
      <w:proofErr w:type="spellEnd"/>
      <w:r w:rsidR="00A4711E" w:rsidRPr="007B15E0">
        <w:rPr>
          <w:i/>
          <w:lang w:eastAsia="ja-JP"/>
        </w:rPr>
        <w:t xml:space="preserve"> </w:t>
      </w:r>
      <w:proofErr w:type="spellStart"/>
      <w:r w:rsidR="00A4711E" w:rsidRPr="007B15E0">
        <w:rPr>
          <w:i/>
          <w:lang w:eastAsia="ja-JP"/>
        </w:rPr>
        <w:t>dispar</w:t>
      </w:r>
      <w:proofErr w:type="spellEnd"/>
      <w:r w:rsidR="00A4711E" w:rsidRPr="00A4711E">
        <w:rPr>
          <w:lang w:eastAsia="ja-JP"/>
        </w:rPr>
        <w:t>)</w:t>
      </w:r>
      <w:r w:rsidR="00A4711E">
        <w:rPr>
          <w:lang w:eastAsia="ja-JP"/>
        </w:rPr>
        <w:t>,</w:t>
      </w:r>
      <w:r w:rsidR="000D3BA7">
        <w:rPr>
          <w:lang w:eastAsia="ja-JP"/>
        </w:rPr>
        <w:t xml:space="preserve"> </w:t>
      </w:r>
      <w:r>
        <w:rPr>
          <w:lang w:eastAsia="ja-JP"/>
        </w:rPr>
        <w:t>a destructive pest of over 650 species of trees</w:t>
      </w:r>
    </w:p>
    <w:p w14:paraId="7FFE2819" w14:textId="547D2BAD" w:rsidR="00AB0E44" w:rsidRDefault="00361FA3">
      <w:pPr>
        <w:pStyle w:val="ListBullet"/>
        <w:spacing w:before="60" w:after="60"/>
        <w:rPr>
          <w:lang w:eastAsia="ja-JP"/>
        </w:rPr>
      </w:pPr>
      <w:proofErr w:type="gramStart"/>
      <w:r>
        <w:rPr>
          <w:b/>
          <w:lang w:eastAsia="ja-JP"/>
        </w:rPr>
        <w:t>burnt</w:t>
      </w:r>
      <w:proofErr w:type="gramEnd"/>
      <w:r>
        <w:rPr>
          <w:b/>
          <w:lang w:eastAsia="ja-JP"/>
        </w:rPr>
        <w:t xml:space="preserve"> pine longicorn beetles</w:t>
      </w:r>
      <w:r>
        <w:rPr>
          <w:lang w:eastAsia="ja-JP"/>
        </w:rPr>
        <w:t xml:space="preserve"> </w:t>
      </w:r>
      <w:r w:rsidR="00A4711E" w:rsidRPr="00A4711E">
        <w:rPr>
          <w:lang w:eastAsia="ja-JP"/>
        </w:rPr>
        <w:t>(</w:t>
      </w:r>
      <w:proofErr w:type="spellStart"/>
      <w:r w:rsidR="00A4711E" w:rsidRPr="007B15E0">
        <w:rPr>
          <w:i/>
          <w:lang w:eastAsia="ja-JP"/>
        </w:rPr>
        <w:t>Arhopalus</w:t>
      </w:r>
      <w:proofErr w:type="spellEnd"/>
      <w:r w:rsidR="00A4711E" w:rsidRPr="007B15E0">
        <w:rPr>
          <w:i/>
          <w:lang w:eastAsia="ja-JP"/>
        </w:rPr>
        <w:t xml:space="preserve"> </w:t>
      </w:r>
      <w:proofErr w:type="spellStart"/>
      <w:r w:rsidR="00A4711E" w:rsidRPr="007B15E0">
        <w:rPr>
          <w:i/>
          <w:lang w:eastAsia="ja-JP"/>
        </w:rPr>
        <w:t>ferus</w:t>
      </w:r>
      <w:proofErr w:type="spellEnd"/>
      <w:r w:rsidR="00A4711E" w:rsidRPr="00A4711E">
        <w:rPr>
          <w:lang w:eastAsia="ja-JP"/>
        </w:rPr>
        <w:t>)</w:t>
      </w:r>
      <w:r w:rsidR="00A4711E">
        <w:rPr>
          <w:lang w:eastAsia="ja-JP"/>
        </w:rPr>
        <w:t xml:space="preserve">, </w:t>
      </w:r>
      <w:r>
        <w:rPr>
          <w:lang w:eastAsia="ja-JP"/>
        </w:rPr>
        <w:t xml:space="preserve">which </w:t>
      </w:r>
      <w:r>
        <w:t>attack</w:t>
      </w:r>
      <w:r>
        <w:rPr>
          <w:lang w:eastAsia="ja-JP"/>
        </w:rPr>
        <w:t xml:space="preserve"> burnt or harvested pine timber, threatening forestry and construction industries.</w:t>
      </w:r>
    </w:p>
    <w:p w14:paraId="54554C87" w14:textId="61015C65" w:rsidR="00AB0E44" w:rsidRDefault="00361FA3">
      <w:pPr>
        <w:tabs>
          <w:tab w:val="clear" w:pos="567"/>
        </w:tabs>
        <w:spacing w:after="0"/>
        <w:rPr>
          <w:lang w:eastAsia="ja-JP"/>
        </w:rPr>
      </w:pPr>
      <w:r>
        <w:rPr>
          <w:lang w:eastAsia="ja-JP"/>
        </w:rPr>
        <w:t>Other hitchhiker</w:t>
      </w:r>
      <w:r w:rsidR="000D3BA7">
        <w:rPr>
          <w:lang w:eastAsia="ja-JP"/>
        </w:rPr>
        <w:t xml:space="preserve"> pests</w:t>
      </w:r>
      <w:r>
        <w:rPr>
          <w:lang w:eastAsia="ja-JP"/>
        </w:rPr>
        <w:t xml:space="preserve"> </w:t>
      </w:r>
      <w:r w:rsidR="000D3BA7">
        <w:rPr>
          <w:lang w:eastAsia="ja-JP"/>
        </w:rPr>
        <w:t xml:space="preserve">are </w:t>
      </w:r>
      <w:r>
        <w:rPr>
          <w:lang w:eastAsia="ja-JP"/>
        </w:rPr>
        <w:t>managed through ongoing specific and/or general programs</w:t>
      </w:r>
      <w:r w:rsidR="000D3BA7">
        <w:rPr>
          <w:lang w:eastAsia="ja-JP"/>
        </w:rPr>
        <w:t>. They</w:t>
      </w:r>
      <w:r>
        <w:rPr>
          <w:lang w:eastAsia="ja-JP"/>
        </w:rPr>
        <w:t xml:space="preserve"> include:</w:t>
      </w:r>
    </w:p>
    <w:p w14:paraId="6765C436" w14:textId="797E5D8B" w:rsidR="00AB0E44" w:rsidRDefault="00361FA3">
      <w:pPr>
        <w:pStyle w:val="ListBullet"/>
        <w:spacing w:before="60" w:after="60"/>
        <w:rPr>
          <w:lang w:eastAsia="ja-JP"/>
        </w:rPr>
      </w:pPr>
      <w:r>
        <w:rPr>
          <w:b/>
          <w:lang w:eastAsia="ja-JP"/>
        </w:rPr>
        <w:t>invasive vector mosquitoes</w:t>
      </w:r>
      <w:r>
        <w:rPr>
          <w:lang w:eastAsia="ja-JP"/>
        </w:rPr>
        <w:t xml:space="preserve">, </w:t>
      </w:r>
      <w:r>
        <w:t>which</w:t>
      </w:r>
      <w:r>
        <w:rPr>
          <w:lang w:eastAsia="ja-JP"/>
        </w:rPr>
        <w:t xml:space="preserve"> can carry yellow fever, dengue and </w:t>
      </w:r>
      <w:proofErr w:type="spellStart"/>
      <w:r>
        <w:rPr>
          <w:lang w:eastAsia="ja-JP"/>
        </w:rPr>
        <w:t>Zika</w:t>
      </w:r>
      <w:proofErr w:type="spellEnd"/>
      <w:r>
        <w:rPr>
          <w:lang w:eastAsia="ja-JP"/>
        </w:rPr>
        <w:t xml:space="preserve"> virus</w:t>
      </w:r>
      <w:r w:rsidR="006E45C2">
        <w:rPr>
          <w:lang w:eastAsia="ja-JP"/>
        </w:rPr>
        <w:t>es</w:t>
      </w:r>
    </w:p>
    <w:p w14:paraId="46253E68" w14:textId="6C35099E" w:rsidR="00AB0E44" w:rsidRDefault="00361FA3">
      <w:pPr>
        <w:pStyle w:val="ListBullet"/>
        <w:spacing w:before="60" w:after="60"/>
        <w:rPr>
          <w:lang w:eastAsia="ja-JP"/>
        </w:rPr>
      </w:pPr>
      <w:r>
        <w:rPr>
          <w:b/>
          <w:lang w:eastAsia="ja-JP"/>
        </w:rPr>
        <w:t>rats</w:t>
      </w:r>
      <w:r w:rsidRPr="007B15E0">
        <w:rPr>
          <w:lang w:eastAsia="ja-JP"/>
        </w:rPr>
        <w:t>,</w:t>
      </w:r>
      <w:r>
        <w:rPr>
          <w:lang w:eastAsia="ja-JP"/>
        </w:rPr>
        <w:t xml:space="preserve"> which may carry plague and </w:t>
      </w:r>
      <w:r>
        <w:t>other</w:t>
      </w:r>
      <w:r>
        <w:rPr>
          <w:lang w:eastAsia="ja-JP"/>
        </w:rPr>
        <w:t xml:space="preserve"> serious diseases</w:t>
      </w:r>
    </w:p>
    <w:p w14:paraId="1DD8001D" w14:textId="3A79D1A1" w:rsidR="00AB0E44" w:rsidRDefault="00361FA3">
      <w:pPr>
        <w:pStyle w:val="ListBullet"/>
        <w:spacing w:before="60" w:after="60"/>
        <w:rPr>
          <w:lang w:eastAsia="ja-JP"/>
        </w:rPr>
      </w:pPr>
      <w:r>
        <w:rPr>
          <w:b/>
          <w:lang w:eastAsia="ja-JP"/>
        </w:rPr>
        <w:t>toads</w:t>
      </w:r>
      <w:r w:rsidR="000D3BA7">
        <w:rPr>
          <w:lang w:eastAsia="ja-JP"/>
        </w:rPr>
        <w:t xml:space="preserve">, such as </w:t>
      </w:r>
      <w:r>
        <w:rPr>
          <w:lang w:eastAsia="ja-JP"/>
        </w:rPr>
        <w:t>the Asian black-spined toad</w:t>
      </w:r>
      <w:r w:rsidR="00A4711E">
        <w:rPr>
          <w:lang w:eastAsia="ja-JP"/>
        </w:rPr>
        <w:t xml:space="preserve"> </w:t>
      </w:r>
      <w:r w:rsidR="00A4711E" w:rsidRPr="00A4711E">
        <w:rPr>
          <w:lang w:eastAsia="ja-JP"/>
        </w:rPr>
        <w:t>(</w:t>
      </w:r>
      <w:r w:rsidR="00A4711E" w:rsidRPr="007B15E0">
        <w:rPr>
          <w:i/>
          <w:lang w:eastAsia="ja-JP"/>
        </w:rPr>
        <w:t xml:space="preserve">Bufo </w:t>
      </w:r>
      <w:proofErr w:type="spellStart"/>
      <w:r w:rsidR="00A4711E" w:rsidRPr="007B15E0">
        <w:rPr>
          <w:i/>
          <w:lang w:eastAsia="ja-JP"/>
        </w:rPr>
        <w:t>melanostictus</w:t>
      </w:r>
      <w:proofErr w:type="spellEnd"/>
      <w:r w:rsidR="00A4711E" w:rsidRPr="00A4711E">
        <w:rPr>
          <w:lang w:eastAsia="ja-JP"/>
        </w:rPr>
        <w:t>)</w:t>
      </w:r>
      <w:r w:rsidR="000D3BA7">
        <w:rPr>
          <w:lang w:eastAsia="ja-JP"/>
        </w:rPr>
        <w:t>, which</w:t>
      </w:r>
      <w:r>
        <w:rPr>
          <w:lang w:eastAsia="ja-JP"/>
        </w:rPr>
        <w:t xml:space="preserve"> could become as great a pest as the cane toad</w:t>
      </w:r>
    </w:p>
    <w:p w14:paraId="02891455" w14:textId="6E6BF08A" w:rsidR="00AB0E44" w:rsidRDefault="00361FA3">
      <w:pPr>
        <w:pStyle w:val="ListBullet"/>
        <w:spacing w:before="60" w:after="60"/>
        <w:rPr>
          <w:lang w:eastAsia="ja-JP"/>
        </w:rPr>
      </w:pPr>
      <w:r>
        <w:rPr>
          <w:b/>
          <w:lang w:eastAsia="ja-JP"/>
        </w:rPr>
        <w:t>reptiles</w:t>
      </w:r>
      <w:r>
        <w:rPr>
          <w:lang w:eastAsia="ja-JP"/>
        </w:rPr>
        <w:t>, which could colonise some ecosystems or carry exotic reptile diseases</w:t>
      </w:r>
    </w:p>
    <w:p w14:paraId="5FDDB268" w14:textId="7E9C0DB7" w:rsidR="00AB0E44" w:rsidRDefault="00361FA3">
      <w:pPr>
        <w:pStyle w:val="ListBullet"/>
        <w:spacing w:before="60" w:after="60"/>
        <w:rPr>
          <w:lang w:eastAsia="ja-JP"/>
        </w:rPr>
      </w:pPr>
      <w:proofErr w:type="gramStart"/>
      <w:r>
        <w:rPr>
          <w:b/>
          <w:lang w:eastAsia="ja-JP"/>
        </w:rPr>
        <w:t>marine</w:t>
      </w:r>
      <w:proofErr w:type="gramEnd"/>
      <w:r>
        <w:rPr>
          <w:b/>
          <w:lang w:eastAsia="ja-JP"/>
        </w:rPr>
        <w:t xml:space="preserve"> pests</w:t>
      </w:r>
      <w:r w:rsidRPr="007C46AD">
        <w:rPr>
          <w:lang w:eastAsia="ja-JP"/>
        </w:rPr>
        <w:t>,</w:t>
      </w:r>
      <w:r>
        <w:rPr>
          <w:b/>
          <w:lang w:eastAsia="ja-JP"/>
        </w:rPr>
        <w:t xml:space="preserve"> </w:t>
      </w:r>
      <w:r>
        <w:rPr>
          <w:lang w:eastAsia="ja-JP"/>
        </w:rPr>
        <w:t>especially molluscs,</w:t>
      </w:r>
      <w:r w:rsidR="000D3BA7">
        <w:rPr>
          <w:lang w:eastAsia="ja-JP"/>
        </w:rPr>
        <w:t xml:space="preserve"> </w:t>
      </w:r>
      <w:r>
        <w:rPr>
          <w:lang w:eastAsia="ja-JP"/>
        </w:rPr>
        <w:t>travel</w:t>
      </w:r>
      <w:r w:rsidR="006E45C2">
        <w:rPr>
          <w:lang w:eastAsia="ja-JP"/>
        </w:rPr>
        <w:t>ling</w:t>
      </w:r>
      <w:r>
        <w:rPr>
          <w:lang w:eastAsia="ja-JP"/>
        </w:rPr>
        <w:t xml:space="preserve"> on ships’ hulls (biofouling) or in ballast water.</w:t>
      </w:r>
    </w:p>
    <w:p w14:paraId="57121C18" w14:textId="30A9438B" w:rsidR="00AB0E44" w:rsidRDefault="00CE2812">
      <w:pPr>
        <w:tabs>
          <w:tab w:val="clear" w:pos="567"/>
        </w:tabs>
        <w:spacing w:after="0"/>
      </w:pPr>
      <w:r>
        <w:t>R</w:t>
      </w:r>
      <w:r w:rsidR="00361FA3">
        <w:t>ecent</w:t>
      </w:r>
      <w:r>
        <w:t>ly, there have been several</w:t>
      </w:r>
      <w:r w:rsidR="00361FA3">
        <w:t xml:space="preserve"> high</w:t>
      </w:r>
      <w:r w:rsidR="009C791B">
        <w:t>-</w:t>
      </w:r>
      <w:r w:rsidR="00361FA3">
        <w:t>profile examples of hitchhiker</w:t>
      </w:r>
      <w:r w:rsidR="000D3BA7">
        <w:t xml:space="preserve"> pests</w:t>
      </w:r>
      <w:r w:rsidR="00361FA3">
        <w:t xml:space="preserve"> entering Australia:</w:t>
      </w:r>
    </w:p>
    <w:p w14:paraId="6CCCAD2B" w14:textId="4AA9565B" w:rsidR="00AB0E44" w:rsidRDefault="000D3BA7">
      <w:pPr>
        <w:pStyle w:val="ListBullet"/>
        <w:spacing w:before="60" w:after="60"/>
      </w:pPr>
      <w:r>
        <w:t xml:space="preserve">In early 2018 </w:t>
      </w:r>
      <w:r w:rsidR="00361FA3">
        <w:t xml:space="preserve">a major </w:t>
      </w:r>
      <w:r>
        <w:t xml:space="preserve">increase in the number </w:t>
      </w:r>
      <w:r w:rsidR="00361FA3">
        <w:t xml:space="preserve">of brown marmorated stink bugs in a </w:t>
      </w:r>
      <w:r w:rsidR="00361FA3">
        <w:rPr>
          <w:lang w:eastAsia="ja-JP"/>
        </w:rPr>
        <w:t>wide</w:t>
      </w:r>
      <w:r w:rsidR="00361FA3">
        <w:t xml:space="preserve"> variety of sea cargo, particularly from Italy</w:t>
      </w:r>
      <w:r w:rsidR="006E45C2">
        <w:t xml:space="preserve">, </w:t>
      </w:r>
      <w:r w:rsidR="00361FA3">
        <w:t>caus</w:t>
      </w:r>
      <w:r>
        <w:t>ed</w:t>
      </w:r>
      <w:r w:rsidR="00361FA3">
        <w:t xml:space="preserve"> considerable disruption to cargo entry into Australia and incursions into New South Wales, Queensland and Western Australia</w:t>
      </w:r>
      <w:r>
        <w:t>.</w:t>
      </w:r>
    </w:p>
    <w:p w14:paraId="031C2C68" w14:textId="1B1774A7" w:rsidR="00AB0E44" w:rsidRDefault="000D3BA7">
      <w:pPr>
        <w:pStyle w:val="ListBullet"/>
        <w:spacing w:before="60" w:after="60"/>
      </w:pPr>
      <w:r>
        <w:t xml:space="preserve">In 2016 </w:t>
      </w:r>
      <w:proofErr w:type="spellStart"/>
      <w:r w:rsidR="00361FA3">
        <w:t>khapra</w:t>
      </w:r>
      <w:proofErr w:type="spellEnd"/>
      <w:r w:rsidR="00361FA3">
        <w:t xml:space="preserve"> beetles </w:t>
      </w:r>
      <w:r w:rsidR="00361FA3" w:rsidRPr="00A4711E">
        <w:t>(</w:t>
      </w:r>
      <w:proofErr w:type="spellStart"/>
      <w:r w:rsidR="00361FA3" w:rsidRPr="00A4711E">
        <w:rPr>
          <w:rStyle w:val="pest-scientific-name2"/>
          <w:b w:val="0"/>
        </w:rPr>
        <w:t>Trogoderma</w:t>
      </w:r>
      <w:proofErr w:type="spellEnd"/>
      <w:r w:rsidR="00361FA3" w:rsidRPr="00A4711E">
        <w:rPr>
          <w:rStyle w:val="pest-scientific-name2"/>
          <w:b w:val="0"/>
        </w:rPr>
        <w:t xml:space="preserve"> </w:t>
      </w:r>
      <w:proofErr w:type="spellStart"/>
      <w:r w:rsidR="00361FA3" w:rsidRPr="00A4711E">
        <w:rPr>
          <w:rStyle w:val="pest-scientific-name2"/>
          <w:b w:val="0"/>
        </w:rPr>
        <w:t>granarium</w:t>
      </w:r>
      <w:proofErr w:type="spellEnd"/>
      <w:r w:rsidR="00361FA3" w:rsidRPr="00A4711E">
        <w:t>)</w:t>
      </w:r>
      <w:r w:rsidR="00361FA3">
        <w:t xml:space="preserve"> </w:t>
      </w:r>
      <w:r>
        <w:t xml:space="preserve">were discovered </w:t>
      </w:r>
      <w:r w:rsidR="00361FA3">
        <w:t>in a container-load of empty plastic food containers (Day &amp; White 2016)</w:t>
      </w:r>
      <w:r>
        <w:t>.</w:t>
      </w:r>
    </w:p>
    <w:p w14:paraId="6AE046E7" w14:textId="34BE741D" w:rsidR="00AB0E44" w:rsidRPr="00A4711E" w:rsidRDefault="000D3BA7">
      <w:pPr>
        <w:pStyle w:val="ListBullet"/>
        <w:spacing w:before="60" w:after="60"/>
      </w:pPr>
      <w:r>
        <w:t xml:space="preserve">In June 2016 </w:t>
      </w:r>
      <w:r w:rsidR="00361FA3">
        <w:t>Asian honey</w:t>
      </w:r>
      <w:r w:rsidR="00A4711E">
        <w:t xml:space="preserve"> </w:t>
      </w:r>
      <w:r w:rsidR="00361FA3">
        <w:t>bees (</w:t>
      </w:r>
      <w:proofErr w:type="spellStart"/>
      <w:r w:rsidR="00361FA3" w:rsidRPr="007B15E0">
        <w:rPr>
          <w:i/>
        </w:rPr>
        <w:t>Apis</w:t>
      </w:r>
      <w:proofErr w:type="spellEnd"/>
      <w:r w:rsidR="00361FA3" w:rsidRPr="007B15E0">
        <w:rPr>
          <w:i/>
        </w:rPr>
        <w:t xml:space="preserve"> </w:t>
      </w:r>
      <w:proofErr w:type="spellStart"/>
      <w:r w:rsidR="00361FA3" w:rsidRPr="007B15E0">
        <w:rPr>
          <w:i/>
        </w:rPr>
        <w:t>cerana</w:t>
      </w:r>
      <w:proofErr w:type="spellEnd"/>
      <w:r w:rsidR="00361FA3">
        <w:t xml:space="preserve">) infested with </w:t>
      </w:r>
      <w:proofErr w:type="spellStart"/>
      <w:r w:rsidR="00361FA3">
        <w:rPr>
          <w:i/>
        </w:rPr>
        <w:t>Varroa</w:t>
      </w:r>
      <w:proofErr w:type="spellEnd"/>
      <w:r w:rsidR="00361FA3">
        <w:rPr>
          <w:i/>
        </w:rPr>
        <w:t xml:space="preserve"> </w:t>
      </w:r>
      <w:proofErr w:type="spellStart"/>
      <w:r w:rsidR="00361FA3">
        <w:rPr>
          <w:i/>
        </w:rPr>
        <w:t>jacobsoni</w:t>
      </w:r>
      <w:proofErr w:type="spellEnd"/>
      <w:r w:rsidR="00361FA3">
        <w:t xml:space="preserve"> </w:t>
      </w:r>
      <w:r w:rsidR="00361FA3" w:rsidRPr="00A4711E">
        <w:t>mites enter</w:t>
      </w:r>
      <w:r w:rsidRPr="007B15E0">
        <w:t>ed</w:t>
      </w:r>
      <w:r w:rsidR="00361FA3" w:rsidRPr="00A4711E">
        <w:t xml:space="preserve"> </w:t>
      </w:r>
      <w:r w:rsidR="00361FA3" w:rsidRPr="00A4711E">
        <w:rPr>
          <w:lang w:eastAsia="ja-JP"/>
        </w:rPr>
        <w:t>Townsville</w:t>
      </w:r>
      <w:r w:rsidR="00361FA3" w:rsidRPr="00A4711E">
        <w:t xml:space="preserve"> (QDAF 2017).</w:t>
      </w:r>
    </w:p>
    <w:p w14:paraId="390D03CE" w14:textId="77777777" w:rsidR="00AB0E44" w:rsidRDefault="00361FA3">
      <w:pPr>
        <w:pStyle w:val="Heading4"/>
        <w:ind w:left="993" w:hanging="993"/>
      </w:pPr>
      <w:r>
        <w:t>Contaminants</w:t>
      </w:r>
    </w:p>
    <w:p w14:paraId="4357D85E" w14:textId="4F5A826D" w:rsidR="00AB0E44" w:rsidRDefault="00361FA3">
      <w:r>
        <w:t xml:space="preserve">Contaminants, also known as ‘biosecurity risk material’ (BRM), </w:t>
      </w:r>
      <w:r w:rsidR="00B75E10">
        <w:t>include</w:t>
      </w:r>
      <w:r w:rsidRPr="00B75E10">
        <w:t xml:space="preserve"> soil, seeds, other plant material, food residues, faeces or animal remains</w:t>
      </w:r>
      <w:r w:rsidR="006E45C2">
        <w:t xml:space="preserve"> that</w:t>
      </w:r>
      <w:r w:rsidR="00B75E10">
        <w:t xml:space="preserve"> </w:t>
      </w:r>
      <w:r w:rsidRPr="00B75E10">
        <w:t>are opportunistically associated with a commodity or item.</w:t>
      </w:r>
    </w:p>
    <w:p w14:paraId="1C146285" w14:textId="3987C36B" w:rsidR="00AB0E44" w:rsidRDefault="00B75E10">
      <w:r>
        <w:t>S</w:t>
      </w:r>
      <w:r w:rsidR="00361FA3">
        <w:t>mall invertebrate pests such as ants or slugs, as well as exotic nematode, fungal, bacterial or viral pathogens of both plants and animals</w:t>
      </w:r>
      <w:r>
        <w:t xml:space="preserve">, can be imported through soil contamination of sea and air containers, vehicles, tyres or </w:t>
      </w:r>
      <w:r w:rsidRPr="00B75E10">
        <w:t>machinery</w:t>
      </w:r>
      <w:r>
        <w:t>.</w:t>
      </w:r>
      <w:r w:rsidRPr="00B75E10">
        <w:t xml:space="preserve"> </w:t>
      </w:r>
      <w:r>
        <w:t>N</w:t>
      </w:r>
      <w:r w:rsidR="00361FA3">
        <w:t>ew weed species, or seed-borne pathogens that may affect both native and introduced plant species</w:t>
      </w:r>
      <w:r>
        <w:t>, can be imported through seed contamination of commodities or items</w:t>
      </w:r>
      <w:r w:rsidR="00361FA3">
        <w:t>.</w:t>
      </w:r>
    </w:p>
    <w:p w14:paraId="074EC981" w14:textId="40D7B84E" w:rsidR="00AB0E44" w:rsidRDefault="00361FA3">
      <w:r>
        <w:t xml:space="preserve">Almost any object can become contaminated as it moves through the import pathway, but there are some common patterns. Soil </w:t>
      </w:r>
      <w:r>
        <w:rPr>
          <w:lang w:eastAsia="ja-JP"/>
        </w:rPr>
        <w:t>from storage and transport prior to shipping</w:t>
      </w:r>
      <w:r>
        <w:t xml:space="preserve"> will stick to container undersides</w:t>
      </w:r>
      <w:r w:rsidR="00B75E10">
        <w:t>.</w:t>
      </w:r>
      <w:r>
        <w:t xml:space="preserve"> </w:t>
      </w:r>
      <w:r w:rsidR="00B75E10">
        <w:t xml:space="preserve">It </w:t>
      </w:r>
      <w:r>
        <w:t xml:space="preserve">is often found on </w:t>
      </w:r>
      <w:r>
        <w:rPr>
          <w:lang w:eastAsia="ja-JP"/>
        </w:rPr>
        <w:t>used earthmoving and agricultural machinery</w:t>
      </w:r>
      <w:r w:rsidR="00B75E10">
        <w:rPr>
          <w:lang w:eastAsia="ja-JP"/>
        </w:rPr>
        <w:t>.</w:t>
      </w:r>
      <w:r>
        <w:t xml:space="preserve"> </w:t>
      </w:r>
      <w:r w:rsidR="00B75E10">
        <w:t>F</w:t>
      </w:r>
      <w:r>
        <w:t>ood residues are more common inside sea and air containers. Light, wind-dispersed seeds may stick to rough, sticky or statically-charged parts of vehicles and machinery.</w:t>
      </w:r>
      <w:r w:rsidR="006E45C2">
        <w:t xml:space="preserve"> </w:t>
      </w:r>
      <w:r>
        <w:rPr>
          <w:lang w:eastAsia="ja-JP"/>
        </w:rPr>
        <w:t>New cars may become contaminated during extended periods on wharves or transport during storm events. S</w:t>
      </w:r>
      <w:r>
        <w:t xml:space="preserve">tudies have found </w:t>
      </w:r>
      <w:r w:rsidR="00956730">
        <w:t xml:space="preserve">that </w:t>
      </w:r>
      <w:r>
        <w:t>the diversity of seed carried by cars is very high, indicating vehicles can be an important mechanism for seed dispersal (</w:t>
      </w:r>
      <w:proofErr w:type="spellStart"/>
      <w:r>
        <w:t>Zwaenepoel</w:t>
      </w:r>
      <w:proofErr w:type="spellEnd"/>
      <w:r>
        <w:t xml:space="preserve"> et al. 2006). A study </w:t>
      </w:r>
      <w:r w:rsidR="009D328F">
        <w:t>i</w:t>
      </w:r>
      <w:r>
        <w:t>n 2005 recorded seeds from over 230 taxa, including 23 noxious weeds, on a range of vehicles in south-eastern Australia (</w:t>
      </w:r>
      <w:proofErr w:type="spellStart"/>
      <w:r>
        <w:t>Moerkerk</w:t>
      </w:r>
      <w:proofErr w:type="spellEnd"/>
      <w:r>
        <w:t xml:space="preserve"> 2006).</w:t>
      </w:r>
      <w:bookmarkStart w:id="19" w:name="_Toc504657523"/>
      <w:bookmarkStart w:id="20" w:name="_Toc505846229"/>
    </w:p>
    <w:p w14:paraId="74950CBD" w14:textId="619F389E" w:rsidR="00AB0E44" w:rsidRDefault="00361FA3">
      <w:pPr>
        <w:pStyle w:val="Heading4"/>
        <w:ind w:left="993" w:hanging="993"/>
        <w:rPr>
          <w:rStyle w:val="Heading3Char"/>
          <w:rFonts w:eastAsia="Calibri"/>
          <w:b/>
          <w:bCs/>
          <w:color w:val="auto"/>
          <w:sz w:val="28"/>
          <w:szCs w:val="22"/>
        </w:rPr>
      </w:pPr>
      <w:r>
        <w:t>Impacts</w:t>
      </w:r>
      <w:r>
        <w:rPr>
          <w:rStyle w:val="Heading3Char"/>
          <w:rFonts w:eastAsia="Calibri"/>
          <w:b/>
          <w:bCs/>
          <w:color w:val="auto"/>
          <w:sz w:val="28"/>
          <w:szCs w:val="22"/>
        </w:rPr>
        <w:t xml:space="preserve"> of hitchhiker and contaminant entry</w:t>
      </w:r>
    </w:p>
    <w:p w14:paraId="10EA01E9" w14:textId="494B8120" w:rsidR="000F7A1D" w:rsidRDefault="006D1BE0" w:rsidP="000F7A1D">
      <w:pPr>
        <w:spacing w:after="0"/>
      </w:pPr>
      <w:r>
        <w:fldChar w:fldCharType="begin"/>
      </w:r>
      <w:r>
        <w:instrText xml:space="preserve"> REF _Ref515621102 \h </w:instrText>
      </w:r>
      <w:r>
        <w:fldChar w:fldCharType="separate"/>
      </w:r>
      <w:r w:rsidR="007F78D8">
        <w:t xml:space="preserve">Table </w:t>
      </w:r>
      <w:r w:rsidR="007F78D8">
        <w:rPr>
          <w:noProof/>
        </w:rPr>
        <w:t>2</w:t>
      </w:r>
      <w:r>
        <w:fldChar w:fldCharType="end"/>
      </w:r>
      <w:r>
        <w:t xml:space="preserve"> </w:t>
      </w:r>
      <w:r w:rsidR="00361FA3">
        <w:t>shows estimates of long</w:t>
      </w:r>
      <w:r w:rsidR="009D328F">
        <w:t>-</w:t>
      </w:r>
      <w:r w:rsidR="00361FA3">
        <w:t>term economic losses to agriculture resulting from one occurrence of the entry, establishment and spread of key organisms of terrestrial biosecurity concern which could enter on or in containers (Hafi &amp; Addai 201</w:t>
      </w:r>
      <w:r w:rsidR="009668D4">
        <w:t>4</w:t>
      </w:r>
      <w:r w:rsidR="00361FA3">
        <w:t xml:space="preserve">). </w:t>
      </w:r>
      <w:r w:rsidR="006E45C2">
        <w:t>P</w:t>
      </w:r>
      <w:r w:rsidR="00361FA3">
        <w:t xml:space="preserve">otential impacts on </w:t>
      </w:r>
      <w:r w:rsidR="006E45C2">
        <w:t>pet</w:t>
      </w:r>
      <w:r w:rsidR="00361FA3">
        <w:t xml:space="preserve">s, the environment, infrastructure, human health and social amenity could also be significant </w:t>
      </w:r>
      <w:r w:rsidR="00361FA3">
        <w:fldChar w:fldCharType="begin"/>
      </w:r>
      <w:r w:rsidR="00361FA3">
        <w:instrText xml:space="preserve"> ADDIN EN.CITE &lt;EndNote&gt;&lt;Cite&gt;&lt;Author&gt;Parsons&lt;/Author&gt;&lt;Year&gt;2014&lt;/Year&gt;&lt;RecNum&gt;299&lt;/RecNum&gt;&lt;DisplayText&gt;(Parsons and Arrowsmith, 2014)&lt;/DisplayText&gt;&lt;record&gt;&lt;rec-number&gt;299&lt;/rec-number&gt;&lt;foreign-keys&gt;&lt;key app="EN" db-id="ftr5d9td4rtpv3e5druxxdvwevzf9x0artp5" timestamp="0"&gt;299&lt;/key&gt;&lt;/foreign-keys&gt;&lt;ref-type name="Report"&gt;27&lt;/ref-type&gt;&lt;contributors&gt;&lt;authors&gt;&lt;author&gt;Parsons, Sandra &lt;/author&gt;&lt;author&gt;Arrowsmith, Lucy&lt;/author&gt;&lt;/authors&gt;&lt;/contributors&gt;&lt;titles&gt;&lt;title&gt;Non-portfolio consequences of exotic organisms spreading in Australia and multiple incursion factor. Description of processes used to obtain estimates&lt;/title&gt;&lt;/titles&gt;&lt;dates&gt;&lt;year&gt;2014&lt;/year&gt;&lt;pub-dates&gt;&lt;date&gt;2014&lt;/date&gt;&lt;/pub-dates&gt;&lt;/dates&gt;&lt;pub-location&gt;Canberra&lt;/pub-location&gt;&lt;publisher&gt;ABARES&lt;/publisher&gt;&lt;urls&gt;&lt;/urls&gt;&lt;/record&gt;&lt;/Cite&gt;&lt;/EndNote&gt;</w:instrText>
      </w:r>
      <w:r w:rsidR="00361FA3">
        <w:fldChar w:fldCharType="separate"/>
      </w:r>
      <w:r w:rsidR="00361FA3">
        <w:rPr>
          <w:noProof/>
        </w:rPr>
        <w:t>(Parsons &amp; Arrowsmith 2014)</w:t>
      </w:r>
      <w:r w:rsidR="00361FA3">
        <w:fldChar w:fldCharType="end"/>
      </w:r>
      <w:r w:rsidR="00361FA3">
        <w:t xml:space="preserve"> but </w:t>
      </w:r>
      <w:r w:rsidR="00D104EA">
        <w:t>we</w:t>
      </w:r>
      <w:r w:rsidR="00361FA3">
        <w:t>re not included in these calculations</w:t>
      </w:r>
      <w:r w:rsidR="00106C89">
        <w:t xml:space="preserve"> (RRRA 2016)</w:t>
      </w:r>
      <w:r w:rsidR="00361FA3">
        <w:t>.</w:t>
      </w:r>
    </w:p>
    <w:p w14:paraId="1E6AF236" w14:textId="631E9F44" w:rsidR="00AB0E44" w:rsidRDefault="006D1BE0" w:rsidP="006D1BE0">
      <w:pPr>
        <w:pStyle w:val="Caption"/>
      </w:pPr>
      <w:bookmarkStart w:id="21" w:name="_Ref515621102"/>
      <w:bookmarkStart w:id="22" w:name="_Toc521069593"/>
      <w:r>
        <w:t xml:space="preserve">Table </w:t>
      </w:r>
      <w:r w:rsidR="000F1D5A">
        <w:rPr>
          <w:noProof/>
        </w:rPr>
        <w:fldChar w:fldCharType="begin"/>
      </w:r>
      <w:r w:rsidR="000F1D5A">
        <w:rPr>
          <w:noProof/>
        </w:rPr>
        <w:instrText xml:space="preserve"> SEQ Table \* ARABIC </w:instrText>
      </w:r>
      <w:r w:rsidR="000F1D5A">
        <w:rPr>
          <w:noProof/>
        </w:rPr>
        <w:fldChar w:fldCharType="separate"/>
      </w:r>
      <w:r w:rsidR="007F78D8">
        <w:rPr>
          <w:noProof/>
        </w:rPr>
        <w:t>2</w:t>
      </w:r>
      <w:r w:rsidR="000F1D5A">
        <w:rPr>
          <w:noProof/>
        </w:rPr>
        <w:fldChar w:fldCharType="end"/>
      </w:r>
      <w:bookmarkEnd w:id="21"/>
      <w:r>
        <w:rPr>
          <w:noProof/>
        </w:rPr>
        <w:t xml:space="preserve"> </w:t>
      </w:r>
      <w:r w:rsidRPr="00B157DD">
        <w:rPr>
          <w:noProof/>
        </w:rPr>
        <w:t>Potential cost to agriculture of pest incursions, 2010–15</w:t>
      </w:r>
      <w:bookmarkEnd w:id="22"/>
    </w:p>
    <w:tbl>
      <w:tblPr>
        <w:tblStyle w:val="TableGrid"/>
        <w:tblW w:w="0" w:type="auto"/>
        <w:tblLook w:val="04A0" w:firstRow="1" w:lastRow="0" w:firstColumn="1" w:lastColumn="0" w:noHBand="0" w:noVBand="1"/>
      </w:tblPr>
      <w:tblGrid>
        <w:gridCol w:w="2268"/>
        <w:gridCol w:w="426"/>
        <w:gridCol w:w="2409"/>
      </w:tblGrid>
      <w:tr w:rsidR="00AB0E44" w14:paraId="2CADBBB4" w14:textId="77777777" w:rsidTr="000F7A1D">
        <w:tc>
          <w:tcPr>
            <w:tcW w:w="2694" w:type="dxa"/>
            <w:gridSpan w:val="2"/>
            <w:tcBorders>
              <w:left w:val="nil"/>
              <w:bottom w:val="nil"/>
              <w:right w:val="nil"/>
            </w:tcBorders>
          </w:tcPr>
          <w:p w14:paraId="07DAB46C" w14:textId="5C33A582" w:rsidR="00AB0E44" w:rsidRDefault="00D104EA">
            <w:pPr>
              <w:pStyle w:val="Tabletext"/>
              <w:spacing w:before="0"/>
              <w:rPr>
                <w:b/>
              </w:rPr>
            </w:pPr>
            <w:r>
              <w:rPr>
                <w:b/>
              </w:rPr>
              <w:t>O</w:t>
            </w:r>
            <w:r w:rsidR="00361FA3">
              <w:rPr>
                <w:b/>
              </w:rPr>
              <w:t>rganism</w:t>
            </w:r>
            <w:r w:rsidR="006E45C2">
              <w:rPr>
                <w:b/>
              </w:rPr>
              <w:t xml:space="preserve"> of concern</w:t>
            </w:r>
          </w:p>
        </w:tc>
        <w:tc>
          <w:tcPr>
            <w:tcW w:w="2409" w:type="dxa"/>
            <w:tcBorders>
              <w:left w:val="nil"/>
              <w:bottom w:val="nil"/>
              <w:right w:val="nil"/>
            </w:tcBorders>
          </w:tcPr>
          <w:p w14:paraId="6C484C8D" w14:textId="0583E8C2" w:rsidR="00AB0E44" w:rsidRDefault="00361FA3">
            <w:pPr>
              <w:pStyle w:val="Tabletext"/>
              <w:spacing w:before="0"/>
              <w:jc w:val="right"/>
              <w:rPr>
                <w:b/>
              </w:rPr>
            </w:pPr>
            <w:r>
              <w:rPr>
                <w:b/>
              </w:rPr>
              <w:t>Co</w:t>
            </w:r>
            <w:r w:rsidR="006E45C2">
              <w:rPr>
                <w:b/>
              </w:rPr>
              <w:t>st to agriculture</w:t>
            </w:r>
            <w:r>
              <w:rPr>
                <w:b/>
              </w:rPr>
              <w:t xml:space="preserve"> ($ million)</w:t>
            </w:r>
          </w:p>
        </w:tc>
      </w:tr>
      <w:tr w:rsidR="00AB0E44" w14:paraId="628AE210" w14:textId="77777777" w:rsidTr="000F7A1D">
        <w:tc>
          <w:tcPr>
            <w:tcW w:w="2268" w:type="dxa"/>
            <w:tcBorders>
              <w:top w:val="nil"/>
              <w:left w:val="nil"/>
              <w:bottom w:val="nil"/>
              <w:right w:val="nil"/>
            </w:tcBorders>
            <w:vAlign w:val="bottom"/>
          </w:tcPr>
          <w:p w14:paraId="2006B33F" w14:textId="1F2131C4" w:rsidR="00AB0E44" w:rsidRDefault="00361FA3">
            <w:pPr>
              <w:pStyle w:val="Tabletext"/>
              <w:spacing w:before="0"/>
            </w:pPr>
            <w:r>
              <w:t>Asian gypsy moth</w:t>
            </w:r>
          </w:p>
        </w:tc>
        <w:tc>
          <w:tcPr>
            <w:tcW w:w="2835" w:type="dxa"/>
            <w:gridSpan w:val="2"/>
            <w:tcBorders>
              <w:top w:val="nil"/>
              <w:left w:val="nil"/>
              <w:bottom w:val="nil"/>
              <w:right w:val="nil"/>
            </w:tcBorders>
            <w:vAlign w:val="center"/>
          </w:tcPr>
          <w:p w14:paraId="3C173CF9" w14:textId="77777777" w:rsidR="00AB0E44" w:rsidRDefault="00361FA3">
            <w:pPr>
              <w:pStyle w:val="Tabletext"/>
              <w:spacing w:before="0"/>
              <w:jc w:val="right"/>
            </w:pPr>
            <w:r>
              <w:t>1,700</w:t>
            </w:r>
          </w:p>
        </w:tc>
      </w:tr>
      <w:tr w:rsidR="00AB0E44" w14:paraId="6976D456" w14:textId="77777777" w:rsidTr="000F7A1D">
        <w:tc>
          <w:tcPr>
            <w:tcW w:w="2268" w:type="dxa"/>
            <w:tcBorders>
              <w:top w:val="nil"/>
              <w:left w:val="nil"/>
              <w:bottom w:val="nil"/>
              <w:right w:val="nil"/>
            </w:tcBorders>
            <w:vAlign w:val="bottom"/>
          </w:tcPr>
          <w:p w14:paraId="050F7634" w14:textId="77777777" w:rsidR="00AB0E44" w:rsidRDefault="00361FA3">
            <w:pPr>
              <w:pStyle w:val="Tabletext"/>
              <w:spacing w:before="0"/>
            </w:pPr>
            <w:proofErr w:type="spellStart"/>
            <w:r>
              <w:t>Broadacre</w:t>
            </w:r>
            <w:proofErr w:type="spellEnd"/>
            <w:r>
              <w:t xml:space="preserve"> fungus</w:t>
            </w:r>
          </w:p>
        </w:tc>
        <w:tc>
          <w:tcPr>
            <w:tcW w:w="2835" w:type="dxa"/>
            <w:gridSpan w:val="2"/>
            <w:tcBorders>
              <w:top w:val="nil"/>
              <w:left w:val="nil"/>
              <w:bottom w:val="nil"/>
              <w:right w:val="nil"/>
            </w:tcBorders>
            <w:vAlign w:val="center"/>
          </w:tcPr>
          <w:p w14:paraId="3D365C11" w14:textId="77777777" w:rsidR="00AB0E44" w:rsidRDefault="00361FA3">
            <w:pPr>
              <w:pStyle w:val="Tabletext"/>
              <w:spacing w:before="0"/>
              <w:jc w:val="right"/>
            </w:pPr>
            <w:r>
              <w:t>600</w:t>
            </w:r>
          </w:p>
        </w:tc>
      </w:tr>
      <w:tr w:rsidR="00AB0E44" w14:paraId="691C2BF6" w14:textId="77777777" w:rsidTr="000F7A1D">
        <w:tc>
          <w:tcPr>
            <w:tcW w:w="2268" w:type="dxa"/>
            <w:tcBorders>
              <w:top w:val="nil"/>
              <w:left w:val="nil"/>
              <w:bottom w:val="nil"/>
              <w:right w:val="nil"/>
            </w:tcBorders>
            <w:vAlign w:val="bottom"/>
          </w:tcPr>
          <w:p w14:paraId="0EBCD11F" w14:textId="77777777" w:rsidR="00AB0E44" w:rsidRDefault="00361FA3">
            <w:pPr>
              <w:pStyle w:val="Tabletext"/>
              <w:spacing w:before="0"/>
            </w:pPr>
            <w:proofErr w:type="spellStart"/>
            <w:r>
              <w:t>Broadacre</w:t>
            </w:r>
            <w:proofErr w:type="spellEnd"/>
            <w:r>
              <w:t xml:space="preserve"> mollusc</w:t>
            </w:r>
          </w:p>
        </w:tc>
        <w:tc>
          <w:tcPr>
            <w:tcW w:w="2835" w:type="dxa"/>
            <w:gridSpan w:val="2"/>
            <w:tcBorders>
              <w:top w:val="nil"/>
              <w:left w:val="nil"/>
              <w:bottom w:val="nil"/>
              <w:right w:val="nil"/>
            </w:tcBorders>
            <w:vAlign w:val="center"/>
          </w:tcPr>
          <w:p w14:paraId="7CAF389F" w14:textId="77777777" w:rsidR="00AB0E44" w:rsidRDefault="00361FA3">
            <w:pPr>
              <w:pStyle w:val="Tabletext"/>
              <w:spacing w:before="0"/>
              <w:jc w:val="right"/>
            </w:pPr>
            <w:r>
              <w:t>500</w:t>
            </w:r>
          </w:p>
        </w:tc>
      </w:tr>
      <w:tr w:rsidR="00AB0E44" w14:paraId="24EE7978" w14:textId="77777777" w:rsidTr="000F7A1D">
        <w:tc>
          <w:tcPr>
            <w:tcW w:w="2268" w:type="dxa"/>
            <w:tcBorders>
              <w:top w:val="nil"/>
              <w:left w:val="nil"/>
              <w:bottom w:val="nil"/>
              <w:right w:val="nil"/>
            </w:tcBorders>
            <w:vAlign w:val="bottom"/>
          </w:tcPr>
          <w:p w14:paraId="78CF7479" w14:textId="77777777" w:rsidR="00AB0E44" w:rsidRDefault="00361FA3">
            <w:pPr>
              <w:pStyle w:val="Tabletext"/>
              <w:spacing w:before="0"/>
            </w:pPr>
            <w:proofErr w:type="spellStart"/>
            <w:r>
              <w:t>Broadacre</w:t>
            </w:r>
            <w:proofErr w:type="spellEnd"/>
            <w:r>
              <w:t xml:space="preserve"> virus</w:t>
            </w:r>
          </w:p>
        </w:tc>
        <w:tc>
          <w:tcPr>
            <w:tcW w:w="2835" w:type="dxa"/>
            <w:gridSpan w:val="2"/>
            <w:tcBorders>
              <w:top w:val="nil"/>
              <w:left w:val="nil"/>
              <w:bottom w:val="nil"/>
              <w:right w:val="nil"/>
            </w:tcBorders>
            <w:vAlign w:val="center"/>
          </w:tcPr>
          <w:p w14:paraId="49B44CAE" w14:textId="77777777" w:rsidR="00AB0E44" w:rsidRDefault="00361FA3">
            <w:pPr>
              <w:pStyle w:val="Tabletext"/>
              <w:spacing w:before="0"/>
              <w:jc w:val="right"/>
            </w:pPr>
            <w:r>
              <w:t>600</w:t>
            </w:r>
          </w:p>
        </w:tc>
      </w:tr>
      <w:tr w:rsidR="00AB0E44" w14:paraId="4D9DE6C1" w14:textId="77777777" w:rsidTr="000F7A1D">
        <w:tc>
          <w:tcPr>
            <w:tcW w:w="2268" w:type="dxa"/>
            <w:tcBorders>
              <w:top w:val="nil"/>
              <w:left w:val="nil"/>
              <w:bottom w:val="nil"/>
              <w:right w:val="nil"/>
            </w:tcBorders>
            <w:vAlign w:val="bottom"/>
          </w:tcPr>
          <w:p w14:paraId="6BB6A44B" w14:textId="77777777" w:rsidR="00AB0E44" w:rsidRDefault="00361FA3">
            <w:pPr>
              <w:pStyle w:val="Tabletext"/>
              <w:spacing w:before="0"/>
            </w:pPr>
            <w:proofErr w:type="spellStart"/>
            <w:r>
              <w:t>Broadacre</w:t>
            </w:r>
            <w:proofErr w:type="spellEnd"/>
            <w:r>
              <w:t xml:space="preserve"> weed</w:t>
            </w:r>
          </w:p>
        </w:tc>
        <w:tc>
          <w:tcPr>
            <w:tcW w:w="2835" w:type="dxa"/>
            <w:gridSpan w:val="2"/>
            <w:tcBorders>
              <w:top w:val="nil"/>
              <w:left w:val="nil"/>
              <w:bottom w:val="nil"/>
              <w:right w:val="nil"/>
            </w:tcBorders>
            <w:vAlign w:val="center"/>
          </w:tcPr>
          <w:p w14:paraId="58C9B7D2" w14:textId="77777777" w:rsidR="00AB0E44" w:rsidRDefault="00361FA3">
            <w:pPr>
              <w:pStyle w:val="Tabletext"/>
              <w:spacing w:before="0"/>
              <w:jc w:val="right"/>
            </w:pPr>
            <w:r>
              <w:t>1,600</w:t>
            </w:r>
          </w:p>
        </w:tc>
      </w:tr>
      <w:tr w:rsidR="00AB0E44" w14:paraId="28AA2A98" w14:textId="77777777" w:rsidTr="000F7A1D">
        <w:tc>
          <w:tcPr>
            <w:tcW w:w="2268" w:type="dxa"/>
            <w:tcBorders>
              <w:top w:val="nil"/>
              <w:left w:val="nil"/>
              <w:bottom w:val="nil"/>
              <w:right w:val="nil"/>
            </w:tcBorders>
            <w:vAlign w:val="bottom"/>
          </w:tcPr>
          <w:p w14:paraId="3DAA506E" w14:textId="77777777" w:rsidR="00AB0E44" w:rsidRDefault="00361FA3">
            <w:pPr>
              <w:pStyle w:val="Tabletext"/>
              <w:spacing w:before="0"/>
            </w:pPr>
            <w:r>
              <w:t>Giant African snail</w:t>
            </w:r>
          </w:p>
        </w:tc>
        <w:tc>
          <w:tcPr>
            <w:tcW w:w="2835" w:type="dxa"/>
            <w:gridSpan w:val="2"/>
            <w:tcBorders>
              <w:top w:val="nil"/>
              <w:left w:val="nil"/>
              <w:bottom w:val="nil"/>
              <w:right w:val="nil"/>
            </w:tcBorders>
            <w:vAlign w:val="center"/>
          </w:tcPr>
          <w:p w14:paraId="49DC6F64" w14:textId="77777777" w:rsidR="00AB0E44" w:rsidRDefault="00361FA3">
            <w:pPr>
              <w:pStyle w:val="Tabletext"/>
              <w:spacing w:before="0"/>
              <w:jc w:val="right"/>
            </w:pPr>
            <w:r>
              <w:t>1,500</w:t>
            </w:r>
          </w:p>
        </w:tc>
      </w:tr>
      <w:tr w:rsidR="00AB0E44" w14:paraId="42C4954B" w14:textId="77777777" w:rsidTr="000F7A1D">
        <w:tc>
          <w:tcPr>
            <w:tcW w:w="2268" w:type="dxa"/>
            <w:tcBorders>
              <w:top w:val="nil"/>
              <w:left w:val="nil"/>
              <w:bottom w:val="nil"/>
              <w:right w:val="nil"/>
            </w:tcBorders>
            <w:vAlign w:val="bottom"/>
          </w:tcPr>
          <w:p w14:paraId="2330C5D6" w14:textId="77777777" w:rsidR="00AB0E44" w:rsidRDefault="00361FA3">
            <w:pPr>
              <w:pStyle w:val="Tabletext"/>
              <w:spacing w:before="0"/>
            </w:pPr>
            <w:r>
              <w:t>Horticulture fungus</w:t>
            </w:r>
          </w:p>
        </w:tc>
        <w:tc>
          <w:tcPr>
            <w:tcW w:w="2835" w:type="dxa"/>
            <w:gridSpan w:val="2"/>
            <w:tcBorders>
              <w:top w:val="nil"/>
              <w:left w:val="nil"/>
              <w:bottom w:val="nil"/>
              <w:right w:val="nil"/>
            </w:tcBorders>
            <w:vAlign w:val="center"/>
          </w:tcPr>
          <w:p w14:paraId="21227A8F" w14:textId="77777777" w:rsidR="00AB0E44" w:rsidRDefault="00361FA3">
            <w:pPr>
              <w:pStyle w:val="Tabletext"/>
              <w:spacing w:before="0"/>
              <w:jc w:val="right"/>
            </w:pPr>
            <w:r>
              <w:t>700</w:t>
            </w:r>
          </w:p>
        </w:tc>
      </w:tr>
      <w:tr w:rsidR="00AB0E44" w14:paraId="2FC54061" w14:textId="77777777" w:rsidTr="000F7A1D">
        <w:tc>
          <w:tcPr>
            <w:tcW w:w="2268" w:type="dxa"/>
            <w:tcBorders>
              <w:top w:val="nil"/>
              <w:left w:val="nil"/>
              <w:bottom w:val="nil"/>
              <w:right w:val="nil"/>
            </w:tcBorders>
            <w:vAlign w:val="bottom"/>
          </w:tcPr>
          <w:p w14:paraId="0AA033D1" w14:textId="77777777" w:rsidR="00AB0E44" w:rsidRDefault="00361FA3">
            <w:pPr>
              <w:pStyle w:val="Tabletext"/>
              <w:spacing w:before="0"/>
            </w:pPr>
            <w:r>
              <w:t>Horticulture mollusc</w:t>
            </w:r>
          </w:p>
        </w:tc>
        <w:tc>
          <w:tcPr>
            <w:tcW w:w="2835" w:type="dxa"/>
            <w:gridSpan w:val="2"/>
            <w:tcBorders>
              <w:top w:val="nil"/>
              <w:left w:val="nil"/>
              <w:bottom w:val="nil"/>
              <w:right w:val="nil"/>
            </w:tcBorders>
            <w:vAlign w:val="center"/>
          </w:tcPr>
          <w:p w14:paraId="3EF09D09" w14:textId="77777777" w:rsidR="00AB0E44" w:rsidRDefault="00361FA3">
            <w:pPr>
              <w:pStyle w:val="Tabletext"/>
              <w:spacing w:before="0"/>
              <w:jc w:val="right"/>
            </w:pPr>
            <w:r>
              <w:t>500</w:t>
            </w:r>
          </w:p>
        </w:tc>
      </w:tr>
      <w:tr w:rsidR="00AB0E44" w14:paraId="730F23B4" w14:textId="77777777" w:rsidTr="000F7A1D">
        <w:tc>
          <w:tcPr>
            <w:tcW w:w="2268" w:type="dxa"/>
            <w:tcBorders>
              <w:top w:val="nil"/>
              <w:left w:val="nil"/>
              <w:bottom w:val="nil"/>
              <w:right w:val="nil"/>
            </w:tcBorders>
            <w:vAlign w:val="bottom"/>
          </w:tcPr>
          <w:p w14:paraId="3D43A879" w14:textId="77777777" w:rsidR="00AB0E44" w:rsidRDefault="00361FA3">
            <w:pPr>
              <w:pStyle w:val="Tabletext"/>
              <w:spacing w:before="0"/>
            </w:pPr>
            <w:r>
              <w:t>Horticulture virus</w:t>
            </w:r>
          </w:p>
        </w:tc>
        <w:tc>
          <w:tcPr>
            <w:tcW w:w="2835" w:type="dxa"/>
            <w:gridSpan w:val="2"/>
            <w:tcBorders>
              <w:top w:val="nil"/>
              <w:left w:val="nil"/>
              <w:bottom w:val="nil"/>
              <w:right w:val="nil"/>
            </w:tcBorders>
            <w:vAlign w:val="center"/>
          </w:tcPr>
          <w:p w14:paraId="67A2FEA0" w14:textId="77777777" w:rsidR="00AB0E44" w:rsidRDefault="00361FA3">
            <w:pPr>
              <w:pStyle w:val="Tabletext"/>
              <w:spacing w:before="0"/>
              <w:jc w:val="right"/>
            </w:pPr>
            <w:r>
              <w:t>700</w:t>
            </w:r>
          </w:p>
        </w:tc>
      </w:tr>
      <w:tr w:rsidR="00AB0E44" w14:paraId="09176FCA" w14:textId="77777777" w:rsidTr="000F7A1D">
        <w:tc>
          <w:tcPr>
            <w:tcW w:w="2268" w:type="dxa"/>
            <w:tcBorders>
              <w:top w:val="nil"/>
              <w:left w:val="nil"/>
              <w:bottom w:val="nil"/>
              <w:right w:val="nil"/>
            </w:tcBorders>
            <w:vAlign w:val="bottom"/>
          </w:tcPr>
          <w:p w14:paraId="26D99998" w14:textId="77777777" w:rsidR="00AB0E44" w:rsidRDefault="00361FA3">
            <w:pPr>
              <w:pStyle w:val="Tabletext"/>
              <w:spacing w:before="0"/>
            </w:pPr>
            <w:r>
              <w:t>Horticulture weed</w:t>
            </w:r>
          </w:p>
        </w:tc>
        <w:tc>
          <w:tcPr>
            <w:tcW w:w="2835" w:type="dxa"/>
            <w:gridSpan w:val="2"/>
            <w:tcBorders>
              <w:top w:val="nil"/>
              <w:left w:val="nil"/>
              <w:bottom w:val="nil"/>
              <w:right w:val="nil"/>
            </w:tcBorders>
            <w:vAlign w:val="center"/>
          </w:tcPr>
          <w:p w14:paraId="04E61099" w14:textId="77777777" w:rsidR="00AB0E44" w:rsidRDefault="00361FA3">
            <w:pPr>
              <w:pStyle w:val="Tabletext"/>
              <w:spacing w:before="0"/>
              <w:jc w:val="right"/>
            </w:pPr>
            <w:r>
              <w:t>1,000</w:t>
            </w:r>
          </w:p>
        </w:tc>
      </w:tr>
      <w:tr w:rsidR="00AB0E44" w14:paraId="7F41D571" w14:textId="77777777" w:rsidTr="000F7A1D">
        <w:tc>
          <w:tcPr>
            <w:tcW w:w="2268" w:type="dxa"/>
            <w:tcBorders>
              <w:top w:val="nil"/>
              <w:left w:val="nil"/>
              <w:bottom w:val="nil"/>
              <w:right w:val="nil"/>
            </w:tcBorders>
            <w:vAlign w:val="bottom"/>
          </w:tcPr>
          <w:p w14:paraId="63284051" w14:textId="77777777" w:rsidR="00AB0E44" w:rsidRDefault="00361FA3">
            <w:pPr>
              <w:pStyle w:val="Tabletext"/>
              <w:spacing w:before="0"/>
            </w:pPr>
            <w:proofErr w:type="spellStart"/>
            <w:r>
              <w:t>Khapra</w:t>
            </w:r>
            <w:proofErr w:type="spellEnd"/>
            <w:r>
              <w:t xml:space="preserve"> beetle</w:t>
            </w:r>
          </w:p>
        </w:tc>
        <w:tc>
          <w:tcPr>
            <w:tcW w:w="2835" w:type="dxa"/>
            <w:gridSpan w:val="2"/>
            <w:tcBorders>
              <w:top w:val="nil"/>
              <w:left w:val="nil"/>
              <w:bottom w:val="nil"/>
              <w:right w:val="nil"/>
            </w:tcBorders>
            <w:vAlign w:val="center"/>
          </w:tcPr>
          <w:p w14:paraId="1A385C83" w14:textId="77777777" w:rsidR="00AB0E44" w:rsidRDefault="00361FA3">
            <w:pPr>
              <w:pStyle w:val="Tabletext"/>
              <w:spacing w:before="0"/>
              <w:jc w:val="right"/>
            </w:pPr>
            <w:r>
              <w:t>15,500</w:t>
            </w:r>
          </w:p>
        </w:tc>
      </w:tr>
      <w:tr w:rsidR="00AB0E44" w14:paraId="1F693FD4" w14:textId="77777777" w:rsidTr="000F7A1D">
        <w:tc>
          <w:tcPr>
            <w:tcW w:w="2268" w:type="dxa"/>
            <w:tcBorders>
              <w:top w:val="nil"/>
              <w:left w:val="nil"/>
              <w:bottom w:val="nil"/>
              <w:right w:val="nil"/>
            </w:tcBorders>
            <w:vAlign w:val="bottom"/>
          </w:tcPr>
          <w:p w14:paraId="1BA657AC" w14:textId="77777777" w:rsidR="00AB0E44" w:rsidRDefault="00361FA3">
            <w:pPr>
              <w:pStyle w:val="Tabletext"/>
              <w:spacing w:before="0"/>
            </w:pPr>
            <w:r>
              <w:t>Livestock bug thrips mite</w:t>
            </w:r>
          </w:p>
        </w:tc>
        <w:tc>
          <w:tcPr>
            <w:tcW w:w="2835" w:type="dxa"/>
            <w:gridSpan w:val="2"/>
            <w:tcBorders>
              <w:top w:val="nil"/>
              <w:left w:val="nil"/>
              <w:bottom w:val="nil"/>
              <w:right w:val="nil"/>
            </w:tcBorders>
            <w:vAlign w:val="center"/>
          </w:tcPr>
          <w:p w14:paraId="577E32A1" w14:textId="77777777" w:rsidR="00AB0E44" w:rsidRDefault="00361FA3">
            <w:pPr>
              <w:pStyle w:val="Tabletext"/>
              <w:spacing w:before="0"/>
              <w:jc w:val="right"/>
            </w:pPr>
            <w:r>
              <w:t>1,600</w:t>
            </w:r>
          </w:p>
        </w:tc>
      </w:tr>
      <w:tr w:rsidR="00AB0E44" w14:paraId="333F8BA8" w14:textId="77777777" w:rsidTr="000F7A1D">
        <w:tc>
          <w:tcPr>
            <w:tcW w:w="2268" w:type="dxa"/>
            <w:tcBorders>
              <w:top w:val="nil"/>
              <w:left w:val="nil"/>
              <w:bottom w:val="nil"/>
              <w:right w:val="nil"/>
            </w:tcBorders>
            <w:vAlign w:val="bottom"/>
          </w:tcPr>
          <w:p w14:paraId="23C26CBA" w14:textId="77777777" w:rsidR="00AB0E44" w:rsidRDefault="00361FA3">
            <w:pPr>
              <w:pStyle w:val="Tabletext"/>
              <w:spacing w:before="0"/>
            </w:pPr>
            <w:r>
              <w:t>Non-agricultural bee wasp</w:t>
            </w:r>
          </w:p>
        </w:tc>
        <w:tc>
          <w:tcPr>
            <w:tcW w:w="2835" w:type="dxa"/>
            <w:gridSpan w:val="2"/>
            <w:tcBorders>
              <w:top w:val="nil"/>
              <w:left w:val="nil"/>
              <w:bottom w:val="nil"/>
              <w:right w:val="nil"/>
            </w:tcBorders>
            <w:vAlign w:val="center"/>
          </w:tcPr>
          <w:p w14:paraId="74D1E4B3" w14:textId="77777777" w:rsidR="00AB0E44" w:rsidRDefault="00361FA3">
            <w:pPr>
              <w:pStyle w:val="Tabletext"/>
              <w:spacing w:before="0"/>
              <w:jc w:val="right"/>
            </w:pPr>
            <w:r>
              <w:t>70</w:t>
            </w:r>
          </w:p>
        </w:tc>
      </w:tr>
      <w:tr w:rsidR="00AB0E44" w14:paraId="5B45B706" w14:textId="77777777" w:rsidTr="000F7A1D">
        <w:tc>
          <w:tcPr>
            <w:tcW w:w="2268" w:type="dxa"/>
            <w:tcBorders>
              <w:top w:val="nil"/>
              <w:left w:val="nil"/>
              <w:bottom w:val="nil"/>
              <w:right w:val="nil"/>
            </w:tcBorders>
            <w:vAlign w:val="bottom"/>
          </w:tcPr>
          <w:p w14:paraId="27DD83C6" w14:textId="77777777" w:rsidR="00AB0E44" w:rsidRDefault="00361FA3">
            <w:pPr>
              <w:pStyle w:val="Tabletext"/>
              <w:spacing w:before="0"/>
            </w:pPr>
            <w:r>
              <w:t>Non-agricultural weed</w:t>
            </w:r>
          </w:p>
        </w:tc>
        <w:tc>
          <w:tcPr>
            <w:tcW w:w="2835" w:type="dxa"/>
            <w:gridSpan w:val="2"/>
            <w:tcBorders>
              <w:top w:val="nil"/>
              <w:left w:val="nil"/>
              <w:bottom w:val="nil"/>
              <w:right w:val="nil"/>
            </w:tcBorders>
            <w:vAlign w:val="center"/>
          </w:tcPr>
          <w:p w14:paraId="7815114D" w14:textId="77777777" w:rsidR="00AB0E44" w:rsidRDefault="00361FA3">
            <w:pPr>
              <w:pStyle w:val="Tabletext"/>
              <w:spacing w:before="0"/>
              <w:jc w:val="right"/>
            </w:pPr>
            <w:r>
              <w:t>70</w:t>
            </w:r>
          </w:p>
        </w:tc>
      </w:tr>
      <w:tr w:rsidR="00AB0E44" w14:paraId="1369C0F8" w14:textId="77777777" w:rsidTr="000F7A1D">
        <w:tc>
          <w:tcPr>
            <w:tcW w:w="2268" w:type="dxa"/>
            <w:tcBorders>
              <w:top w:val="nil"/>
              <w:left w:val="nil"/>
              <w:right w:val="nil"/>
            </w:tcBorders>
            <w:vAlign w:val="bottom"/>
          </w:tcPr>
          <w:p w14:paraId="1C8B4B5B" w14:textId="77777777" w:rsidR="00AB0E44" w:rsidRDefault="00361FA3">
            <w:pPr>
              <w:pStyle w:val="Tabletext"/>
              <w:spacing w:before="0"/>
            </w:pPr>
            <w:r>
              <w:t>Exotic invasive ant</w:t>
            </w:r>
          </w:p>
        </w:tc>
        <w:tc>
          <w:tcPr>
            <w:tcW w:w="2835" w:type="dxa"/>
            <w:gridSpan w:val="2"/>
            <w:tcBorders>
              <w:top w:val="nil"/>
              <w:left w:val="nil"/>
              <w:right w:val="nil"/>
            </w:tcBorders>
            <w:vAlign w:val="center"/>
          </w:tcPr>
          <w:p w14:paraId="26D6A44C" w14:textId="77777777" w:rsidR="00AB0E44" w:rsidRDefault="00361FA3">
            <w:pPr>
              <w:pStyle w:val="Tabletext"/>
              <w:spacing w:before="0"/>
              <w:jc w:val="right"/>
            </w:pPr>
            <w:r>
              <w:t>850</w:t>
            </w:r>
          </w:p>
        </w:tc>
      </w:tr>
    </w:tbl>
    <w:p w14:paraId="72D5E738" w14:textId="34E5BFB7" w:rsidR="00AB0E44" w:rsidRDefault="00361FA3">
      <w:pPr>
        <w:pStyle w:val="FigureTableNoteSource"/>
        <w:rPr>
          <w:lang w:eastAsia="ja-JP"/>
        </w:rPr>
      </w:pPr>
      <w:r>
        <w:t>Source</w:t>
      </w:r>
      <w:r>
        <w:rPr>
          <w:lang w:eastAsia="ja-JP"/>
        </w:rPr>
        <w:t xml:space="preserve">: Department of Agriculture and Water Resources </w:t>
      </w:r>
    </w:p>
    <w:p w14:paraId="13143E3E" w14:textId="56BB02DD" w:rsidR="00AB0E44" w:rsidRDefault="00361FA3">
      <w:pPr>
        <w:pStyle w:val="Heading3"/>
        <w:rPr>
          <w:rStyle w:val="Heading3Char"/>
          <w:b/>
          <w:bCs/>
          <w:lang w:eastAsia="ja-JP"/>
        </w:rPr>
      </w:pPr>
      <w:bookmarkStart w:id="23" w:name="_Toc521069533"/>
      <w:r>
        <w:rPr>
          <w:rStyle w:val="Heading3Char"/>
          <w:rFonts w:eastAsia="Calibri"/>
          <w:b/>
        </w:rPr>
        <w:t>Marine hitchhiker and contaminant risks</w:t>
      </w:r>
      <w:bookmarkEnd w:id="23"/>
    </w:p>
    <w:bookmarkEnd w:id="19"/>
    <w:bookmarkEnd w:id="20"/>
    <w:p w14:paraId="636BD10D" w14:textId="2CBD8DA0" w:rsidR="00AB0E44" w:rsidRDefault="00361FA3">
      <w:r>
        <w:t>Marine pests and pathogens can spread internationally through ballast water or biofouling.</w:t>
      </w:r>
      <w:r w:rsidR="006E45C2">
        <w:t xml:space="preserve"> </w:t>
      </w:r>
      <w:r w:rsidR="00B75E10">
        <w:t>S</w:t>
      </w:r>
      <w:r>
        <w:t xml:space="preserve">hips </w:t>
      </w:r>
      <w:r w:rsidR="00B75E10">
        <w:t xml:space="preserve">take on ballast water </w:t>
      </w:r>
      <w:r>
        <w:t xml:space="preserve">to maintain stability and navigate safely. Water volumes </w:t>
      </w:r>
      <w:r w:rsidR="009D328F">
        <w:t xml:space="preserve">can range </w:t>
      </w:r>
      <w:r>
        <w:t>from a few hundred litres up to more than 10 million litres per ship</w:t>
      </w:r>
      <w:r w:rsidR="006E45C2">
        <w:t>, transporting</w:t>
      </w:r>
      <w:r w:rsidR="009D328F">
        <w:t xml:space="preserve"> </w:t>
      </w:r>
      <w:r>
        <w:t>thousands of aquatic microbes, plants and animals a</w:t>
      </w:r>
      <w:r w:rsidR="006E45C2">
        <w:t>round</w:t>
      </w:r>
      <w:r>
        <w:t xml:space="preserve"> the globe. Over 7,000 marine species travel daily, and around 10 billion tonnes of ballast water are transported annually. </w:t>
      </w:r>
      <w:r w:rsidR="006E45C2">
        <w:t>U</w:t>
      </w:r>
      <w:r>
        <w:t>nmanaged ballast water released in Australian ports</w:t>
      </w:r>
      <w:r w:rsidR="006E45C2">
        <w:t xml:space="preserve"> could introduce exotic </w:t>
      </w:r>
      <w:r>
        <w:t>invasive marine species</w:t>
      </w:r>
      <w:r w:rsidR="006E45C2">
        <w:t>.</w:t>
      </w:r>
    </w:p>
    <w:p w14:paraId="3A3FCA7F" w14:textId="7EAC7437" w:rsidR="00AB0E44" w:rsidRDefault="001765C4">
      <w:r>
        <w:t>Biofouling (or hull fouling</w:t>
      </w:r>
      <w:r w:rsidR="00361FA3">
        <w:t>) is the accumulation of aquatic organisms—microorganisms, plants and animals—on surfaces and structures</w:t>
      </w:r>
      <w:r w:rsidR="00B75E10">
        <w:t>, such as ships’ hulls,</w:t>
      </w:r>
      <w:r w:rsidR="00361FA3">
        <w:t xml:space="preserve"> </w:t>
      </w:r>
      <w:r w:rsidR="009D328F">
        <w:t xml:space="preserve">that are </w:t>
      </w:r>
      <w:r w:rsidR="00361FA3">
        <w:t xml:space="preserve">immersed in or exposed to the aquatic environment. </w:t>
      </w:r>
      <w:r w:rsidR="00B75E10">
        <w:t xml:space="preserve">Biofouling </w:t>
      </w:r>
      <w:r w:rsidR="00361FA3">
        <w:t>occurs on all types of vessels, from large ships to small recreational vessels</w:t>
      </w:r>
      <w:r w:rsidR="001F43F0">
        <w:t xml:space="preserve"> (</w:t>
      </w:r>
      <w:r w:rsidR="001F43F0">
        <w:fldChar w:fldCharType="begin"/>
      </w:r>
      <w:r w:rsidR="001F43F0">
        <w:instrText xml:space="preserve"> REF _Ref515874903 \h </w:instrText>
      </w:r>
      <w:r w:rsidR="001F43F0">
        <w:fldChar w:fldCharType="separate"/>
      </w:r>
      <w:r w:rsidR="007F78D8">
        <w:t xml:space="preserve">Box </w:t>
      </w:r>
      <w:r w:rsidR="007F78D8">
        <w:rPr>
          <w:noProof/>
        </w:rPr>
        <w:t>1</w:t>
      </w:r>
      <w:r w:rsidR="001F43F0">
        <w:fldChar w:fldCharType="end"/>
      </w:r>
      <w:r w:rsidR="001F43F0">
        <w:t>)</w:t>
      </w:r>
      <w:r w:rsidR="00B75E10">
        <w:t>.</w:t>
      </w:r>
      <w:r w:rsidR="00361FA3">
        <w:t xml:space="preserve"> </w:t>
      </w:r>
      <w:r w:rsidR="00B75E10">
        <w:t xml:space="preserve">It </w:t>
      </w:r>
      <w:r w:rsidR="00361FA3">
        <w:t xml:space="preserve">can </w:t>
      </w:r>
      <w:r w:rsidR="006E45C2">
        <w:t xml:space="preserve">also </w:t>
      </w:r>
      <w:r w:rsidR="00361FA3">
        <w:t>spread exotic marine pests and diseases</w:t>
      </w:r>
      <w:r w:rsidR="00B75E10">
        <w:t xml:space="preserve"> that </w:t>
      </w:r>
      <w:r w:rsidR="00361FA3">
        <w:t>harm fisheries, threaten healthy fish habitats and have adverse economic and health effects.</w:t>
      </w:r>
    </w:p>
    <w:p w14:paraId="3C483DC2" w14:textId="77777777" w:rsidR="00AB0E44" w:rsidRDefault="00361FA3">
      <w:pPr>
        <w:pStyle w:val="Caption"/>
        <w:rPr>
          <w:noProof/>
        </w:rPr>
      </w:pPr>
      <w:bookmarkStart w:id="24" w:name="_Ref515874903"/>
      <w:r>
        <w:t xml:space="preserve">Box </w:t>
      </w:r>
      <w:r w:rsidR="00F21B3D">
        <w:rPr>
          <w:noProof/>
        </w:rPr>
        <w:fldChar w:fldCharType="begin"/>
      </w:r>
      <w:r w:rsidR="00F21B3D">
        <w:rPr>
          <w:noProof/>
        </w:rPr>
        <w:instrText xml:space="preserve"> SEQ Box \* ARABIC </w:instrText>
      </w:r>
      <w:r w:rsidR="00F21B3D">
        <w:rPr>
          <w:noProof/>
        </w:rPr>
        <w:fldChar w:fldCharType="separate"/>
      </w:r>
      <w:r w:rsidR="007F78D8">
        <w:rPr>
          <w:noProof/>
        </w:rPr>
        <w:t>1</w:t>
      </w:r>
      <w:r w:rsidR="00F21B3D">
        <w:rPr>
          <w:noProof/>
        </w:rPr>
        <w:fldChar w:fldCharType="end"/>
      </w:r>
      <w:bookmarkEnd w:id="24"/>
      <w:r>
        <w:rPr>
          <w:noProof/>
        </w:rPr>
        <w:t xml:space="preserve"> Mussels, ballast water and biofouling: an unsavoury mix</w:t>
      </w:r>
    </w:p>
    <w:p w14:paraId="486F5E3C" w14:textId="6AF8036D" w:rsidR="009D328F" w:rsidRDefault="00361FA3">
      <w:pPr>
        <w:pStyle w:val="BoxText"/>
      </w:pPr>
      <w:r w:rsidRPr="0035166F">
        <w:rPr>
          <w:b/>
        </w:rPr>
        <w:t>Zebra mussels (</w:t>
      </w:r>
      <w:proofErr w:type="spellStart"/>
      <w:r w:rsidRPr="0035166F">
        <w:rPr>
          <w:rStyle w:val="Emphasis"/>
          <w:b/>
        </w:rPr>
        <w:t>Dreissena</w:t>
      </w:r>
      <w:proofErr w:type="spellEnd"/>
      <w:r w:rsidRPr="0035166F">
        <w:rPr>
          <w:rStyle w:val="Emphasis"/>
          <w:b/>
        </w:rPr>
        <w:t xml:space="preserve"> </w:t>
      </w:r>
      <w:proofErr w:type="spellStart"/>
      <w:r w:rsidRPr="0035166F">
        <w:rPr>
          <w:rStyle w:val="Emphasis"/>
          <w:b/>
        </w:rPr>
        <w:t>polymorpha</w:t>
      </w:r>
      <w:proofErr w:type="spellEnd"/>
      <w:r w:rsidRPr="0035166F">
        <w:rPr>
          <w:b/>
        </w:rPr>
        <w:t>)</w:t>
      </w:r>
      <w:r w:rsidRPr="00713613">
        <w:t xml:space="preserve"> </w:t>
      </w:r>
      <w:r w:rsidR="00B75E10" w:rsidRPr="0051252F">
        <w:t xml:space="preserve">are </w:t>
      </w:r>
      <w:r w:rsidRPr="00713613">
        <w:t>prolific underwater colonis</w:t>
      </w:r>
      <w:r w:rsidR="00B75E10" w:rsidRPr="0051252F">
        <w:t>ers.</w:t>
      </w:r>
      <w:r w:rsidRPr="00713613">
        <w:t xml:space="preserve"> </w:t>
      </w:r>
      <w:r w:rsidR="00B75E10" w:rsidRPr="00713613">
        <w:t>They</w:t>
      </w:r>
      <w:r w:rsidR="00B75E10">
        <w:t xml:space="preserve"> </w:t>
      </w:r>
      <w:r>
        <w:t>damage water treatment and power plants, ships, harbours and waterways and displace native aquatic species.</w:t>
      </w:r>
    </w:p>
    <w:p w14:paraId="3A760A3A" w14:textId="70A5799F" w:rsidR="00AB0E44" w:rsidRDefault="00713613" w:rsidP="001F43F0">
      <w:pPr>
        <w:pStyle w:val="BoxText"/>
      </w:pPr>
      <w:r>
        <w:t xml:space="preserve">Zebra mussels are native to the lakes of southern Russia and Ukraine. However, they </w:t>
      </w:r>
      <w:r w:rsidR="00B75E10">
        <w:t xml:space="preserve">have now invaded North America and Europe. They </w:t>
      </w:r>
      <w:r w:rsidR="00361FA3">
        <w:t>were found in the Canadian Great Lakes in 1980</w:t>
      </w:r>
      <w:r w:rsidR="009D328F">
        <w:t>.</w:t>
      </w:r>
      <w:r w:rsidR="00361FA3">
        <w:t xml:space="preserve"> </w:t>
      </w:r>
      <w:r>
        <w:t xml:space="preserve">The infestation was shown to have </w:t>
      </w:r>
      <w:r w:rsidRPr="00713613">
        <w:t xml:space="preserve">come </w:t>
      </w:r>
      <w:r w:rsidRPr="00550F23">
        <w:t xml:space="preserve">in </w:t>
      </w:r>
      <w:r>
        <w:t xml:space="preserve">with </w:t>
      </w:r>
      <w:r w:rsidRPr="00550F23">
        <w:t>ballast water</w:t>
      </w:r>
      <w:r>
        <w:t xml:space="preserve">. </w:t>
      </w:r>
      <w:r w:rsidR="009D328F">
        <w:t>B</w:t>
      </w:r>
      <w:r w:rsidR="00361FA3">
        <w:t xml:space="preserve">y 1993 </w:t>
      </w:r>
      <w:r w:rsidR="009D328F">
        <w:t xml:space="preserve">they had </w:t>
      </w:r>
      <w:r w:rsidR="00361FA3">
        <w:t xml:space="preserve">spread from Quebec to Louisiana. By 1996 zebra mussel management in the Great Lakes </w:t>
      </w:r>
      <w:r w:rsidR="009D328F">
        <w:t xml:space="preserve">was </w:t>
      </w:r>
      <w:r w:rsidR="00361FA3">
        <w:t>cost</w:t>
      </w:r>
      <w:r w:rsidR="009D328F">
        <w:t>ing</w:t>
      </w:r>
      <w:r w:rsidR="00361FA3">
        <w:t xml:space="preserve"> </w:t>
      </w:r>
      <w:r w:rsidR="009D328F">
        <w:t xml:space="preserve">between </w:t>
      </w:r>
      <w:r w:rsidR="00361FA3">
        <w:t>US$100</w:t>
      </w:r>
      <w:r w:rsidR="009D328F">
        <w:t xml:space="preserve"> million and $</w:t>
      </w:r>
      <w:r w:rsidR="00361FA3">
        <w:t>400 million annually (NRC 1996).</w:t>
      </w:r>
    </w:p>
    <w:p w14:paraId="5D73293D" w14:textId="1737B02A" w:rsidR="00AB0E44" w:rsidRDefault="00361FA3" w:rsidP="001F43F0">
      <w:pPr>
        <w:pStyle w:val="BoxText"/>
      </w:pPr>
      <w:r>
        <w:t xml:space="preserve">In 1999 </w:t>
      </w:r>
      <w:r w:rsidR="009D328F" w:rsidRPr="0035166F">
        <w:rPr>
          <w:b/>
        </w:rPr>
        <w:t>b</w:t>
      </w:r>
      <w:r w:rsidRPr="0035166F">
        <w:rPr>
          <w:b/>
        </w:rPr>
        <w:t>lack striped mussels (</w:t>
      </w:r>
      <w:proofErr w:type="spellStart"/>
      <w:r w:rsidRPr="0035166F">
        <w:rPr>
          <w:rStyle w:val="Emphasis"/>
          <w:b/>
        </w:rPr>
        <w:t>Mytilopsis</w:t>
      </w:r>
      <w:proofErr w:type="spellEnd"/>
      <w:r w:rsidRPr="0035166F">
        <w:rPr>
          <w:rStyle w:val="Emphasis"/>
          <w:b/>
        </w:rPr>
        <w:t xml:space="preserve"> </w:t>
      </w:r>
      <w:proofErr w:type="spellStart"/>
      <w:r w:rsidRPr="0035166F">
        <w:rPr>
          <w:rStyle w:val="Emphasis"/>
          <w:b/>
        </w:rPr>
        <w:t>sallei</w:t>
      </w:r>
      <w:proofErr w:type="spellEnd"/>
      <w:r>
        <w:t xml:space="preserve">) were </w:t>
      </w:r>
      <w:r w:rsidRPr="00713613">
        <w:t>detected in Darwin Harbour</w:t>
      </w:r>
      <w:r w:rsidR="00713613" w:rsidRPr="00713613">
        <w:t xml:space="preserve"> in Australia</w:t>
      </w:r>
      <w:r w:rsidR="009D328F" w:rsidRPr="00713613">
        <w:t>.</w:t>
      </w:r>
      <w:r w:rsidRPr="00713613">
        <w:t xml:space="preserve"> </w:t>
      </w:r>
      <w:r w:rsidR="009D328F" w:rsidRPr="0028001A">
        <w:t xml:space="preserve">They probably </w:t>
      </w:r>
      <w:r w:rsidRPr="0028001A">
        <w:t>arrived by biofouling. The</w:t>
      </w:r>
      <w:r w:rsidR="009D328F" w:rsidRPr="0028001A">
        <w:t>y</w:t>
      </w:r>
      <w:r w:rsidRPr="0028001A">
        <w:t xml:space="preserve"> </w:t>
      </w:r>
      <w:r w:rsidR="009D328F" w:rsidRPr="0028001A">
        <w:t xml:space="preserve">were </w:t>
      </w:r>
      <w:r w:rsidRPr="00A110D0">
        <w:t>successful</w:t>
      </w:r>
      <w:r w:rsidR="009D328F" w:rsidRPr="00600887">
        <w:t>ly</w:t>
      </w:r>
      <w:r w:rsidRPr="00A81D6D">
        <w:t xml:space="preserve"> eradicat</w:t>
      </w:r>
      <w:r w:rsidR="009D328F" w:rsidRPr="00A81D6D">
        <w:t>ed</w:t>
      </w:r>
      <w:r w:rsidRPr="00A81D6D">
        <w:t xml:space="preserve"> </w:t>
      </w:r>
      <w:r w:rsidR="009D328F" w:rsidRPr="00A81D6D">
        <w:t>with</w:t>
      </w:r>
      <w:r w:rsidRPr="00A81D6D">
        <w:t>in a month</w:t>
      </w:r>
      <w:r w:rsidR="0035166F">
        <w:t xml:space="preserve"> of detection</w:t>
      </w:r>
      <w:r w:rsidR="009D328F" w:rsidRPr="00A81D6D">
        <w:t xml:space="preserve">, but </w:t>
      </w:r>
      <w:r w:rsidRPr="00A81D6D">
        <w:t>160</w:t>
      </w:r>
      <w:r>
        <w:t xml:space="preserve">,000 litres of chlorine and 6,000 tonnes of copper sulphate </w:t>
      </w:r>
      <w:r w:rsidR="009D328F">
        <w:t xml:space="preserve">had to be </w:t>
      </w:r>
      <w:r>
        <w:t>applied to the infested marina and ships</w:t>
      </w:r>
      <w:r w:rsidR="009D328F">
        <w:t>.</w:t>
      </w:r>
      <w:r>
        <w:t xml:space="preserve"> </w:t>
      </w:r>
      <w:r w:rsidR="009D328F">
        <w:t xml:space="preserve">The eradication </w:t>
      </w:r>
      <w:r>
        <w:t>cost $2.2 million (DEH 2000).</w:t>
      </w:r>
    </w:p>
    <w:p w14:paraId="2601DEA8" w14:textId="77777777" w:rsidR="00AB0E44" w:rsidRDefault="00361FA3">
      <w:pPr>
        <w:pStyle w:val="Heading2"/>
        <w:rPr>
          <w:lang w:eastAsia="ja-JP"/>
        </w:rPr>
      </w:pPr>
      <w:bookmarkStart w:id="25" w:name="_Toc367702821"/>
      <w:bookmarkStart w:id="26" w:name="_Toc367706534"/>
      <w:bookmarkStart w:id="27" w:name="_Toc367707114"/>
      <w:bookmarkStart w:id="28" w:name="_Toc367707295"/>
      <w:bookmarkStart w:id="29" w:name="_Toc367708177"/>
      <w:bookmarkStart w:id="30" w:name="_Toc391449706"/>
      <w:bookmarkStart w:id="31" w:name="_Toc521069534"/>
      <w:r>
        <w:rPr>
          <w:lang w:eastAsia="ja-JP"/>
        </w:rPr>
        <w:t xml:space="preserve">Hitchhiker pest and contaminant risk </w:t>
      </w:r>
      <w:r>
        <w:t>management</w:t>
      </w:r>
      <w:bookmarkEnd w:id="31"/>
    </w:p>
    <w:p w14:paraId="30C7902D" w14:textId="77777777" w:rsidR="00AB0E44" w:rsidRDefault="00361FA3">
      <w:pPr>
        <w:pStyle w:val="Heading3"/>
      </w:pPr>
      <w:bookmarkStart w:id="32" w:name="_Toc521069535"/>
      <w:r>
        <w:t>International measures</w:t>
      </w:r>
      <w:bookmarkEnd w:id="32"/>
    </w:p>
    <w:p w14:paraId="72F2CA36" w14:textId="77777777" w:rsidR="00AB0E44" w:rsidRDefault="00361FA3">
      <w:pPr>
        <w:rPr>
          <w:lang w:eastAsia="ja-JP"/>
        </w:rPr>
      </w:pPr>
      <w:r w:rsidRPr="00713613">
        <w:rPr>
          <w:lang w:eastAsia="ja-JP"/>
        </w:rPr>
        <w:t>International measures to manage key hitchhiker pest and contaminant risks have been successfully implemented for many years.</w:t>
      </w:r>
    </w:p>
    <w:p w14:paraId="67447ED6" w14:textId="6F7BC16E" w:rsidR="00AB0E44" w:rsidRPr="005456C8" w:rsidRDefault="009D328F">
      <w:pPr>
        <w:rPr>
          <w:lang w:eastAsia="ja-JP"/>
        </w:rPr>
      </w:pPr>
      <w:r w:rsidRPr="005456C8">
        <w:rPr>
          <w:lang w:eastAsia="ja-JP"/>
        </w:rPr>
        <w:t xml:space="preserve">The </w:t>
      </w:r>
      <w:r w:rsidRPr="005C6AC1">
        <w:rPr>
          <w:lang w:eastAsia="ja-JP"/>
        </w:rPr>
        <w:t>World Health Organization (WHO)</w:t>
      </w:r>
      <w:r w:rsidRPr="005456C8">
        <w:rPr>
          <w:lang w:eastAsia="ja-JP"/>
        </w:rPr>
        <w:t xml:space="preserve"> has applied l</w:t>
      </w:r>
      <w:r w:rsidR="00361FA3" w:rsidRPr="005456C8">
        <w:rPr>
          <w:lang w:eastAsia="ja-JP"/>
        </w:rPr>
        <w:t xml:space="preserve">ongstanding measures to manage </w:t>
      </w:r>
      <w:r w:rsidRPr="005456C8">
        <w:rPr>
          <w:lang w:eastAsia="ja-JP"/>
        </w:rPr>
        <w:t xml:space="preserve">pests and contaminants that </w:t>
      </w:r>
      <w:r w:rsidR="00361FA3" w:rsidRPr="005456C8">
        <w:rPr>
          <w:lang w:eastAsia="ja-JP"/>
        </w:rPr>
        <w:t>threaten human health (WHO 2011), notably rats (Ship Sanitation Certification Scheme) and invasive vector mosquitoes (Aircraft Disinsection).</w:t>
      </w:r>
    </w:p>
    <w:p w14:paraId="627675B4" w14:textId="3D394D1A" w:rsidR="002F73CB" w:rsidRPr="005456C8" w:rsidRDefault="00361FA3">
      <w:pPr>
        <w:rPr>
          <w:lang w:eastAsia="ja-JP"/>
        </w:rPr>
      </w:pPr>
      <w:r w:rsidRPr="005456C8">
        <w:rPr>
          <w:lang w:eastAsia="ja-JP"/>
        </w:rPr>
        <w:t xml:space="preserve">The </w:t>
      </w:r>
      <w:r w:rsidRPr="005C6AC1">
        <w:rPr>
          <w:lang w:eastAsia="ja-JP"/>
        </w:rPr>
        <w:t>International Plant Protection Convention (IPPC)</w:t>
      </w:r>
      <w:r w:rsidRPr="005456C8">
        <w:rPr>
          <w:lang w:eastAsia="ja-JP"/>
        </w:rPr>
        <w:t xml:space="preserve"> has developed International Standards for Phytosanitary Measures (ISPMs)</w:t>
      </w:r>
      <w:r w:rsidR="00713613" w:rsidRPr="005456C8">
        <w:rPr>
          <w:lang w:eastAsia="ja-JP"/>
        </w:rPr>
        <w:t>, such as ISPM15 for timber packaging,</w:t>
      </w:r>
      <w:r w:rsidRPr="005456C8">
        <w:rPr>
          <w:lang w:eastAsia="ja-JP"/>
        </w:rPr>
        <w:t xml:space="preserve"> for a wide range of plant pest management processes and entry pathways, including some for serious hitchhiker pests.</w:t>
      </w:r>
      <w:r w:rsidR="005C6AC1">
        <w:rPr>
          <w:lang w:eastAsia="ja-JP"/>
        </w:rPr>
        <w:t xml:space="preserve"> </w:t>
      </w:r>
      <w:r w:rsidR="009D328F" w:rsidRPr="005456C8">
        <w:rPr>
          <w:lang w:eastAsia="ja-JP"/>
        </w:rPr>
        <w:t xml:space="preserve">Some standards—for example, a standard for </w:t>
      </w:r>
      <w:r w:rsidR="009D328F" w:rsidRPr="005C6AC1">
        <w:rPr>
          <w:lang w:eastAsia="ja-JP"/>
        </w:rPr>
        <w:t>s</w:t>
      </w:r>
      <w:r w:rsidRPr="005C6AC1">
        <w:rPr>
          <w:lang w:eastAsia="ja-JP"/>
        </w:rPr>
        <w:t xml:space="preserve">ea </w:t>
      </w:r>
      <w:r w:rsidR="009D328F" w:rsidRPr="005C6AC1">
        <w:rPr>
          <w:lang w:eastAsia="ja-JP"/>
        </w:rPr>
        <w:t>c</w:t>
      </w:r>
      <w:r w:rsidRPr="005C6AC1">
        <w:rPr>
          <w:lang w:eastAsia="ja-JP"/>
        </w:rPr>
        <w:t xml:space="preserve">ontainer </w:t>
      </w:r>
      <w:r w:rsidR="009D328F" w:rsidRPr="005C6AC1">
        <w:rPr>
          <w:lang w:eastAsia="ja-JP"/>
        </w:rPr>
        <w:t>c</w:t>
      </w:r>
      <w:r w:rsidRPr="005C6AC1">
        <w:rPr>
          <w:lang w:eastAsia="ja-JP"/>
        </w:rPr>
        <w:t>leanliness</w:t>
      </w:r>
      <w:r w:rsidR="009D328F" w:rsidRPr="005456C8">
        <w:rPr>
          <w:lang w:eastAsia="ja-JP"/>
        </w:rPr>
        <w:t xml:space="preserve">—are </w:t>
      </w:r>
      <w:r w:rsidRPr="005456C8">
        <w:rPr>
          <w:lang w:eastAsia="ja-JP"/>
        </w:rPr>
        <w:t xml:space="preserve">still </w:t>
      </w:r>
      <w:r w:rsidR="009D328F" w:rsidRPr="005456C8">
        <w:rPr>
          <w:lang w:eastAsia="ja-JP"/>
        </w:rPr>
        <w:t>being negotiated</w:t>
      </w:r>
      <w:r w:rsidRPr="005456C8">
        <w:rPr>
          <w:lang w:eastAsia="ja-JP"/>
        </w:rPr>
        <w:t>.</w:t>
      </w:r>
    </w:p>
    <w:p w14:paraId="6EA67B17" w14:textId="65604983" w:rsidR="00713613" w:rsidRDefault="00713613" w:rsidP="00713613">
      <w:pPr>
        <w:rPr>
          <w:rFonts w:eastAsia="Arial Narrow" w:cstheme="minorBidi"/>
          <w:szCs w:val="24"/>
          <w:lang w:val="en-US"/>
        </w:rPr>
      </w:pPr>
      <w:r w:rsidRPr="005456C8">
        <w:rPr>
          <w:rFonts w:eastAsia="Arial Narrow" w:cstheme="minorBidi"/>
          <w:szCs w:val="24"/>
          <w:lang w:val="en-US"/>
        </w:rPr>
        <w:t xml:space="preserve">The </w:t>
      </w:r>
      <w:r w:rsidRPr="005C6AC1">
        <w:rPr>
          <w:rFonts w:eastAsia="Arial Narrow" w:cstheme="minorBidi"/>
          <w:szCs w:val="24"/>
          <w:lang w:val="en-US"/>
        </w:rPr>
        <w:t>International Maritime Organization</w:t>
      </w:r>
      <w:r w:rsidR="0060177D" w:rsidRPr="005C6AC1">
        <w:rPr>
          <w:rFonts w:eastAsia="Arial Narrow" w:cstheme="minorBidi"/>
          <w:szCs w:val="24"/>
          <w:lang w:val="en-US"/>
        </w:rPr>
        <w:t xml:space="preserve"> (IMO)</w:t>
      </w:r>
      <w:r w:rsidRPr="005456C8">
        <w:rPr>
          <w:rFonts w:eastAsia="Arial Narrow" w:cstheme="minorBidi"/>
          <w:szCs w:val="24"/>
          <w:lang w:val="en-US"/>
        </w:rPr>
        <w:t xml:space="preserve">, International </w:t>
      </w:r>
      <w:proofErr w:type="spellStart"/>
      <w:r w:rsidRPr="005456C8">
        <w:rPr>
          <w:rFonts w:eastAsia="Arial Narrow" w:cstheme="minorBidi"/>
          <w:szCs w:val="24"/>
          <w:lang w:val="en-US"/>
        </w:rPr>
        <w:t>Labour</w:t>
      </w:r>
      <w:proofErr w:type="spellEnd"/>
      <w:r w:rsidRPr="005456C8">
        <w:rPr>
          <w:rFonts w:eastAsia="Arial Narrow" w:cstheme="minorBidi"/>
          <w:szCs w:val="24"/>
          <w:lang w:val="en-US"/>
        </w:rPr>
        <w:t xml:space="preserve"> Organization and United Nations Economic Commission for Europe </w:t>
      </w:r>
      <w:r w:rsidR="00634AC3" w:rsidRPr="005456C8">
        <w:rPr>
          <w:rFonts w:eastAsia="Arial Narrow" w:cstheme="minorBidi"/>
          <w:szCs w:val="24"/>
          <w:lang w:val="en-US"/>
        </w:rPr>
        <w:t>have</w:t>
      </w:r>
      <w:r w:rsidR="00634AC3">
        <w:rPr>
          <w:rFonts w:eastAsia="Arial Narrow" w:cstheme="minorBidi"/>
          <w:szCs w:val="24"/>
          <w:lang w:val="en-US"/>
        </w:rPr>
        <w:t xml:space="preserve"> </w:t>
      </w:r>
      <w:r>
        <w:rPr>
          <w:rFonts w:eastAsia="Arial Narrow" w:cstheme="minorBidi"/>
          <w:szCs w:val="24"/>
          <w:lang w:val="en-US"/>
        </w:rPr>
        <w:t>developed the Code of Practice for Packing of Cargo Transport Units (</w:t>
      </w:r>
      <w:hyperlink r:id="rId21" w:history="1">
        <w:r>
          <w:rPr>
            <w:rFonts w:eastAsia="Arial Narrow" w:cstheme="minorBidi"/>
            <w:szCs w:val="24"/>
            <w:lang w:val="en-US"/>
          </w:rPr>
          <w:t>CTU Code</w:t>
        </w:r>
      </w:hyperlink>
      <w:r>
        <w:rPr>
          <w:rFonts w:eastAsia="Arial Narrow" w:cstheme="minorBidi"/>
          <w:szCs w:val="24"/>
          <w:lang w:val="en-US"/>
        </w:rPr>
        <w:t xml:space="preserve">). The CTU Code gives advice on the safe packing of </w:t>
      </w:r>
      <w:proofErr w:type="spellStart"/>
      <w:r>
        <w:rPr>
          <w:rFonts w:eastAsia="Arial Narrow" w:cstheme="minorBidi"/>
          <w:szCs w:val="24"/>
          <w:lang w:val="en-US"/>
        </w:rPr>
        <w:t>containerised</w:t>
      </w:r>
      <w:proofErr w:type="spellEnd"/>
      <w:r>
        <w:rPr>
          <w:rFonts w:eastAsia="Arial Narrow" w:cstheme="minorBidi"/>
          <w:szCs w:val="24"/>
          <w:lang w:val="en-US"/>
        </w:rPr>
        <w:t xml:space="preserve"> cargo and on how to help </w:t>
      </w:r>
      <w:proofErr w:type="spellStart"/>
      <w:r>
        <w:rPr>
          <w:rFonts w:eastAsia="Arial Narrow" w:cstheme="minorBidi"/>
          <w:szCs w:val="24"/>
          <w:lang w:val="en-US"/>
        </w:rPr>
        <w:t>minimise</w:t>
      </w:r>
      <w:proofErr w:type="spellEnd"/>
      <w:r>
        <w:rPr>
          <w:rFonts w:eastAsia="Arial Narrow" w:cstheme="minorBidi"/>
          <w:szCs w:val="24"/>
          <w:lang w:val="en-US"/>
        </w:rPr>
        <w:t xml:space="preserve"> the risks of phytosanitary contamination of containers during packing and movement along the supply chain.</w:t>
      </w:r>
    </w:p>
    <w:p w14:paraId="52A9B32C" w14:textId="28F9303A" w:rsidR="00AB0E44" w:rsidRDefault="00361FA3">
      <w:pPr>
        <w:rPr>
          <w:rFonts w:eastAsia="Arial Narrow" w:cstheme="minorBidi"/>
          <w:szCs w:val="24"/>
          <w:lang w:val="en-US"/>
        </w:rPr>
      </w:pPr>
      <w:r>
        <w:rPr>
          <w:rFonts w:eastAsia="Arial Narrow" w:cstheme="minorBidi"/>
          <w:szCs w:val="24"/>
          <w:lang w:val="en-US"/>
        </w:rPr>
        <w:t>In 2016 the IPPC Commission on Phytosanitary Measures endorsed a Sea Container Complementary Action Plan (SCCAP)</w:t>
      </w:r>
      <w:r>
        <w:rPr>
          <w:rFonts w:eastAsiaTheme="minorHAnsi" w:cstheme="minorBidi"/>
          <w:szCs w:val="24"/>
          <w:lang w:val="en-US"/>
        </w:rPr>
        <w:t xml:space="preserve"> to reduce the </w:t>
      </w:r>
      <w:r w:rsidRPr="00713613">
        <w:rPr>
          <w:rFonts w:eastAsiaTheme="minorHAnsi" w:cstheme="minorBidi"/>
          <w:szCs w:val="24"/>
          <w:lang w:val="en-US"/>
        </w:rPr>
        <w:t>pest risks associated with sea containers</w:t>
      </w:r>
      <w:r w:rsidRPr="00713613">
        <w:rPr>
          <w:rFonts w:eastAsia="Arial Narrow" w:cstheme="minorBidi"/>
          <w:szCs w:val="24"/>
          <w:lang w:val="en-US"/>
        </w:rPr>
        <w:t>.</w:t>
      </w:r>
      <w:r>
        <w:rPr>
          <w:rFonts w:eastAsia="Arial Narrow" w:cstheme="minorBidi"/>
          <w:szCs w:val="24"/>
          <w:lang w:val="en-US"/>
        </w:rPr>
        <w:t xml:space="preserve"> The department is a member of the Sea Container Task Force that is overseeing SCAAP implementation. SCCAP includes measures to increase pest risk awareness and monitor the uptake and impact of </w:t>
      </w:r>
      <w:r w:rsidR="00713613">
        <w:rPr>
          <w:rFonts w:eastAsia="Arial Narrow" w:cstheme="minorBidi"/>
          <w:szCs w:val="24"/>
          <w:lang w:val="en-US"/>
        </w:rPr>
        <w:t xml:space="preserve">the </w:t>
      </w:r>
      <w:r>
        <w:rPr>
          <w:rFonts w:eastAsia="Arial Narrow" w:cstheme="minorBidi"/>
          <w:szCs w:val="24"/>
          <w:lang w:val="en-US"/>
        </w:rPr>
        <w:t>CTU Code on container contamination.</w:t>
      </w:r>
    </w:p>
    <w:p w14:paraId="534B7E11" w14:textId="40DE6387" w:rsidR="00AB0E44" w:rsidRDefault="00361FA3">
      <w:pPr>
        <w:rPr>
          <w:szCs w:val="24"/>
          <w:lang w:eastAsia="ja-JP"/>
        </w:rPr>
      </w:pPr>
      <w:r w:rsidRPr="0028001A">
        <w:rPr>
          <w:rFonts w:eastAsia="Arial Narrow" w:cstheme="minorBidi"/>
          <w:szCs w:val="24"/>
          <w:lang w:val="en-US"/>
        </w:rPr>
        <w:t xml:space="preserve">Australia is preparing a guideline for a </w:t>
      </w:r>
      <w:r w:rsidR="002F73CB" w:rsidRPr="0028001A">
        <w:rPr>
          <w:rFonts w:eastAsia="Arial Narrow" w:cstheme="minorBidi"/>
          <w:szCs w:val="24"/>
          <w:lang w:val="en-US"/>
        </w:rPr>
        <w:t>s</w:t>
      </w:r>
      <w:r w:rsidRPr="0028001A">
        <w:rPr>
          <w:rFonts w:eastAsia="Arial Narrow" w:cstheme="minorBidi"/>
          <w:szCs w:val="24"/>
          <w:lang w:val="en-US"/>
        </w:rPr>
        <w:t xml:space="preserve">ea </w:t>
      </w:r>
      <w:r w:rsidR="002F73CB" w:rsidRPr="0028001A">
        <w:rPr>
          <w:rFonts w:eastAsia="Arial Narrow" w:cstheme="minorBidi"/>
          <w:szCs w:val="24"/>
          <w:lang w:val="en-US"/>
        </w:rPr>
        <w:t>c</w:t>
      </w:r>
      <w:r w:rsidRPr="0028001A">
        <w:rPr>
          <w:rFonts w:eastAsia="Arial Narrow" w:cstheme="minorBidi"/>
          <w:szCs w:val="24"/>
          <w:lang w:val="en-US"/>
        </w:rPr>
        <w:t xml:space="preserve">ontainer </w:t>
      </w:r>
      <w:r w:rsidR="002F73CB" w:rsidRPr="0028001A">
        <w:rPr>
          <w:rFonts w:eastAsia="Arial Narrow" w:cstheme="minorBidi"/>
          <w:szCs w:val="24"/>
          <w:lang w:val="en-US"/>
        </w:rPr>
        <w:t>c</w:t>
      </w:r>
      <w:r w:rsidRPr="0028001A">
        <w:rPr>
          <w:rFonts w:eastAsia="Arial Narrow" w:cstheme="minorBidi"/>
          <w:szCs w:val="24"/>
          <w:lang w:val="en-US"/>
        </w:rPr>
        <w:t>leanliness survey</w:t>
      </w:r>
      <w:r w:rsidR="00713613" w:rsidRPr="008117C8">
        <w:rPr>
          <w:rFonts w:eastAsia="Arial Narrow" w:cstheme="minorBidi"/>
          <w:szCs w:val="24"/>
          <w:lang w:val="en-US"/>
        </w:rPr>
        <w:t xml:space="preserve">, which will </w:t>
      </w:r>
      <w:r w:rsidRPr="00713613">
        <w:rPr>
          <w:rFonts w:eastAsia="Arial Narrow" w:cstheme="minorBidi"/>
          <w:szCs w:val="24"/>
          <w:lang w:val="en-US"/>
        </w:rPr>
        <w:t xml:space="preserve">be used to monitor the implementation of the CTU </w:t>
      </w:r>
      <w:r w:rsidR="002F73CB" w:rsidRPr="00713613">
        <w:rPr>
          <w:rFonts w:eastAsia="Arial Narrow" w:cstheme="minorBidi"/>
          <w:szCs w:val="24"/>
          <w:lang w:val="en-US"/>
        </w:rPr>
        <w:t>C</w:t>
      </w:r>
      <w:r w:rsidRPr="0028001A">
        <w:rPr>
          <w:rFonts w:eastAsia="Arial Narrow" w:cstheme="minorBidi"/>
          <w:szCs w:val="24"/>
          <w:lang w:val="en-US"/>
        </w:rPr>
        <w:t>ode.</w:t>
      </w:r>
      <w:r w:rsidR="00706079">
        <w:rPr>
          <w:rFonts w:eastAsia="Arial Narrow" w:cstheme="minorBidi"/>
          <w:szCs w:val="24"/>
          <w:lang w:val="en-US"/>
        </w:rPr>
        <w:t xml:space="preserve"> </w:t>
      </w:r>
      <w:r w:rsidRPr="0060177D">
        <w:t>An action from the draft national invasive ant plan is to ‘</w:t>
      </w:r>
      <w:r w:rsidRPr="0060177D">
        <w:rPr>
          <w:lang w:val="en-GB"/>
        </w:rPr>
        <w:t>Support development of an international shipping container standard’.</w:t>
      </w:r>
    </w:p>
    <w:p w14:paraId="5F3CE735" w14:textId="405900D1" w:rsidR="009D328F" w:rsidRDefault="00361FA3">
      <w:pPr>
        <w:rPr>
          <w:lang w:eastAsia="ja-JP"/>
        </w:rPr>
      </w:pPr>
      <w:r w:rsidRPr="0060177D">
        <w:rPr>
          <w:lang w:eastAsia="ja-JP"/>
        </w:rPr>
        <w:t xml:space="preserve">The </w:t>
      </w:r>
      <w:r w:rsidRPr="008117C8">
        <w:rPr>
          <w:lang w:eastAsia="ja-JP"/>
        </w:rPr>
        <w:t>IMO</w:t>
      </w:r>
      <w:r w:rsidRPr="0060177D">
        <w:rPr>
          <w:lang w:eastAsia="ja-JP"/>
        </w:rPr>
        <w:t xml:space="preserve"> has developed </w:t>
      </w:r>
      <w:r w:rsidR="0060177D" w:rsidRPr="008117C8">
        <w:rPr>
          <w:lang w:eastAsia="ja-JP"/>
        </w:rPr>
        <w:t xml:space="preserve">the </w:t>
      </w:r>
      <w:r w:rsidRPr="008117C8">
        <w:rPr>
          <w:i/>
          <w:lang w:eastAsia="ja-JP"/>
        </w:rPr>
        <w:t>Guidelines for the control and management of ships’ biofouling to minimise the transfer of invasive aquatic species</w:t>
      </w:r>
      <w:r w:rsidRPr="0060177D">
        <w:rPr>
          <w:lang w:eastAsia="ja-JP"/>
        </w:rPr>
        <w:t xml:space="preserve"> (</w:t>
      </w:r>
      <w:r w:rsidR="0087733F" w:rsidRPr="0087733F">
        <w:rPr>
          <w:lang w:val="en-US" w:eastAsia="ja-JP"/>
        </w:rPr>
        <w:t>International Maritime Organization 2012</w:t>
      </w:r>
      <w:r w:rsidRPr="0060177D">
        <w:rPr>
          <w:lang w:eastAsia="ja-JP"/>
        </w:rPr>
        <w:t>), as well as an International Convention for the Control and Management of Ships’ Ballast Water and Sediments (Ballast Water Convention)</w:t>
      </w:r>
      <w:r w:rsidR="009D328F" w:rsidRPr="0060177D">
        <w:rPr>
          <w:lang w:eastAsia="ja-JP"/>
        </w:rPr>
        <w:t>.</w:t>
      </w:r>
      <w:r w:rsidRPr="0060177D">
        <w:rPr>
          <w:lang w:eastAsia="ja-JP"/>
        </w:rPr>
        <w:t xml:space="preserve"> </w:t>
      </w:r>
      <w:r w:rsidR="009D328F" w:rsidRPr="0060177D">
        <w:rPr>
          <w:lang w:eastAsia="ja-JP"/>
        </w:rPr>
        <w:t xml:space="preserve">The Ballast Water Convention </w:t>
      </w:r>
      <w:r w:rsidRPr="0060177D">
        <w:rPr>
          <w:lang w:eastAsia="ja-JP"/>
        </w:rPr>
        <w:t>came into effect in September 2017.</w:t>
      </w:r>
    </w:p>
    <w:p w14:paraId="12303F46" w14:textId="3E7EBD49" w:rsidR="00AB0E44" w:rsidRDefault="00361FA3">
      <w:pPr>
        <w:rPr>
          <w:lang w:eastAsia="ja-JP"/>
        </w:rPr>
      </w:pPr>
      <w:r>
        <w:rPr>
          <w:lang w:eastAsia="ja-JP"/>
        </w:rPr>
        <w:t xml:space="preserve">The Biosecurity Amendment (Ballast Water and Other Measures) Bill 2016 amended the </w:t>
      </w:r>
      <w:r>
        <w:rPr>
          <w:i/>
          <w:lang w:eastAsia="ja-JP"/>
        </w:rPr>
        <w:t>Biosecurity Act 2015</w:t>
      </w:r>
      <w:r>
        <w:rPr>
          <w:lang w:eastAsia="ja-JP"/>
        </w:rPr>
        <w:t xml:space="preserve"> to make Australia fully compliant with the Ballast Water Convention management of ballast water and change the control and management of ships’ ballast water to reduce the risk of invasive marine pests and pathogens entering Australian waters.</w:t>
      </w:r>
    </w:p>
    <w:p w14:paraId="5FF825E3" w14:textId="62519DC6" w:rsidR="00AB0E44" w:rsidRDefault="00361FA3">
      <w:pPr>
        <w:pStyle w:val="Heading3"/>
      </w:pPr>
      <w:bookmarkStart w:id="33" w:name="_Toc521069536"/>
      <w:r>
        <w:t>National measures</w:t>
      </w:r>
      <w:bookmarkEnd w:id="33"/>
    </w:p>
    <w:p w14:paraId="4DD25DEA" w14:textId="77777777" w:rsidR="00AB0E44" w:rsidRDefault="00361FA3" w:rsidP="00244AB6">
      <w:pPr>
        <w:pStyle w:val="Heading4"/>
      </w:pPr>
      <w:r>
        <w:t>Overall management</w:t>
      </w:r>
    </w:p>
    <w:p w14:paraId="2CC86B67" w14:textId="77777777" w:rsidR="0074123D" w:rsidRDefault="0074123D" w:rsidP="0074123D">
      <w:pPr>
        <w:rPr>
          <w:lang w:eastAsia="ja-JP"/>
        </w:rPr>
      </w:pPr>
      <w:r w:rsidRPr="00D27AEE">
        <w:rPr>
          <w:lang w:eastAsia="ja-JP"/>
        </w:rPr>
        <w:t>Australia works cooperatively with its trading partners and neighbouring countries to implement these international conventions. It gives effect to them</w:t>
      </w:r>
      <w:r>
        <w:rPr>
          <w:lang w:eastAsia="ja-JP"/>
        </w:rPr>
        <w:t xml:space="preserve"> through programs mainly developed and implemented by the Australian Government Department of Agriculture and Water Resources (the department). Programs involving human health are managed jointly with the Department of Health. Those involving military biosecurity are managed jointly with the Department of Defence.</w:t>
      </w:r>
    </w:p>
    <w:p w14:paraId="65560FCB" w14:textId="77777777" w:rsidR="00AB0E44" w:rsidRDefault="00361FA3">
      <w:r>
        <w:t>Separate controls for some of the worst specific pests target their biology and known global distribution. Other general controls are also applied to reduce risks of many hitchhikers and contaminants entering the country, although absolute prevention is unattainable.</w:t>
      </w:r>
    </w:p>
    <w:p w14:paraId="471CBF42" w14:textId="21783BE0" w:rsidR="0028001A" w:rsidRDefault="00361FA3">
      <w:r>
        <w:t>External container and break</w:t>
      </w:r>
      <w:r w:rsidR="002F73CB">
        <w:t>-</w:t>
      </w:r>
      <w:r>
        <w:t>bulk contamination risk is managed by vessel, container and cargo inspections with subsequent treatment where needed</w:t>
      </w:r>
      <w:r w:rsidR="002F73CB">
        <w:t>. Vessels are selected for inspection</w:t>
      </w:r>
      <w:r>
        <w:t xml:space="preserve"> </w:t>
      </w:r>
      <w:r w:rsidRPr="0028001A">
        <w:t>based on the</w:t>
      </w:r>
      <w:r>
        <w:t xml:space="preserve"> risk profile of the vessel, container and cargo</w:t>
      </w:r>
      <w:r w:rsidR="002F73CB">
        <w:t>.</w:t>
      </w:r>
      <w:r>
        <w:t xml:space="preserve"> </w:t>
      </w:r>
      <w:r w:rsidR="002F73CB">
        <w:t xml:space="preserve">This </w:t>
      </w:r>
      <w:r>
        <w:t>in turn is often determined by the country or port of origin.</w:t>
      </w:r>
    </w:p>
    <w:p w14:paraId="31A8CFAA" w14:textId="071F133A" w:rsidR="00AB0E44" w:rsidRDefault="0028001A">
      <w:r>
        <w:t>Internal container contamination is managed by r</w:t>
      </w:r>
      <w:r w:rsidR="002F73CB">
        <w:t xml:space="preserve">isk-based container and cargo inspections. The risk is </w:t>
      </w:r>
      <w:r w:rsidR="00361FA3">
        <w:t>often determined by importer declarations and potential destinations of the goods.</w:t>
      </w:r>
    </w:p>
    <w:p w14:paraId="34337C55" w14:textId="77777777" w:rsidR="00AB0E44" w:rsidRDefault="00361FA3">
      <w:pPr>
        <w:rPr>
          <w:lang w:eastAsia="ja-JP"/>
        </w:rPr>
      </w:pPr>
      <w:r>
        <w:t>In both cases, biosecurity officers determine the presence and level of contamination before</w:t>
      </w:r>
      <w:r>
        <w:rPr>
          <w:lang w:eastAsia="ja-JP"/>
        </w:rPr>
        <w:t xml:space="preserve"> deciding on further cleaning or management procedures, unless they can verify that appropriate offshore risk management measures have been applied.</w:t>
      </w:r>
    </w:p>
    <w:p w14:paraId="36359EF9" w14:textId="4E3139DD" w:rsidR="00AB0E44" w:rsidRDefault="00361FA3">
      <w:pPr>
        <w:rPr>
          <w:lang w:eastAsia="ja-JP"/>
        </w:rPr>
      </w:pPr>
      <w:r>
        <w:rPr>
          <w:lang w:eastAsia="ja-JP"/>
        </w:rPr>
        <w:t xml:space="preserve">Specific programs manage hitchhiker </w:t>
      </w:r>
      <w:r w:rsidR="0028001A">
        <w:rPr>
          <w:lang w:eastAsia="ja-JP"/>
        </w:rPr>
        <w:t xml:space="preserve">pest </w:t>
      </w:r>
      <w:r>
        <w:rPr>
          <w:lang w:eastAsia="ja-JP"/>
        </w:rPr>
        <w:t xml:space="preserve">and contaminant biosecurity risks pathway by pathway and pest by pest. These programs comply or harmonise with international measures where available. </w:t>
      </w:r>
      <w:r w:rsidR="0028001A">
        <w:rPr>
          <w:lang w:eastAsia="ja-JP"/>
        </w:rPr>
        <w:t xml:space="preserve">Australia </w:t>
      </w:r>
      <w:r>
        <w:rPr>
          <w:lang w:eastAsia="ja-JP"/>
        </w:rPr>
        <w:t xml:space="preserve">also </w:t>
      </w:r>
      <w:r w:rsidR="0028001A">
        <w:rPr>
          <w:lang w:eastAsia="ja-JP"/>
        </w:rPr>
        <w:t xml:space="preserve">has </w:t>
      </w:r>
      <w:r>
        <w:rPr>
          <w:lang w:eastAsia="ja-JP"/>
        </w:rPr>
        <w:t xml:space="preserve">a range of bilateral or multilateral arrangements to manage specific risks from specific countries. In particular, the department works very closely with New Zealand to manage a number of common hitchhiker </w:t>
      </w:r>
      <w:r w:rsidR="0028001A">
        <w:rPr>
          <w:lang w:eastAsia="ja-JP"/>
        </w:rPr>
        <w:t xml:space="preserve">pest </w:t>
      </w:r>
      <w:r>
        <w:rPr>
          <w:lang w:eastAsia="ja-JP"/>
        </w:rPr>
        <w:t>and contaminant risks.</w:t>
      </w:r>
    </w:p>
    <w:p w14:paraId="422084FB" w14:textId="0731C4EA" w:rsidR="00AB0E44" w:rsidRDefault="0028001A">
      <w:r>
        <w:rPr>
          <w:lang w:eastAsia="ja-JP"/>
        </w:rPr>
        <w:t>A separate risk analysis and appropriate management program is required for e</w:t>
      </w:r>
      <w:r w:rsidR="00361FA3">
        <w:rPr>
          <w:lang w:eastAsia="ja-JP"/>
        </w:rPr>
        <w:t>ach pathway by which biosecurity risk material may enter Australia</w:t>
      </w:r>
      <w:r>
        <w:rPr>
          <w:lang w:eastAsia="ja-JP"/>
        </w:rPr>
        <w:t>,</w:t>
      </w:r>
      <w:r w:rsidR="00361FA3">
        <w:rPr>
          <w:lang w:eastAsia="ja-JP"/>
        </w:rPr>
        <w:t xml:space="preserve"> </w:t>
      </w:r>
      <w:r w:rsidR="00634AC3">
        <w:t>considering</w:t>
      </w:r>
      <w:r>
        <w:t xml:space="preserve"> </w:t>
      </w:r>
      <w:r w:rsidR="00361FA3">
        <w:t>the risk of:</w:t>
      </w:r>
    </w:p>
    <w:p w14:paraId="749A78CE" w14:textId="1B5C07B2" w:rsidR="00AB0E44" w:rsidRDefault="00361FA3">
      <w:pPr>
        <w:pStyle w:val="ListBullet"/>
        <w:spacing w:before="60" w:after="60"/>
      </w:pPr>
      <w:r>
        <w:t>the probability and frequency of hitchhikers or volume of contamination arriving</w:t>
      </w:r>
    </w:p>
    <w:p w14:paraId="65197F0E" w14:textId="34A00477" w:rsidR="00AB0E44" w:rsidRDefault="00361FA3">
      <w:pPr>
        <w:pStyle w:val="ListBullet"/>
        <w:spacing w:before="60" w:after="60"/>
      </w:pPr>
      <w:r>
        <w:t>the location of arrival</w:t>
      </w:r>
    </w:p>
    <w:p w14:paraId="1E2C1E9E" w14:textId="79D82A09" w:rsidR="00AB0E44" w:rsidRDefault="00361FA3">
      <w:pPr>
        <w:pStyle w:val="ListBullet"/>
        <w:spacing w:before="60" w:after="60"/>
      </w:pPr>
      <w:r>
        <w:t>the potential for a pest or disease to establish itself in the environment</w:t>
      </w:r>
    </w:p>
    <w:p w14:paraId="1D9F67C5" w14:textId="77777777" w:rsidR="00AB0E44" w:rsidRDefault="00361FA3">
      <w:pPr>
        <w:pStyle w:val="ListBullet"/>
        <w:spacing w:before="60" w:after="60"/>
      </w:pPr>
      <w:proofErr w:type="gramStart"/>
      <w:r>
        <w:t>the</w:t>
      </w:r>
      <w:proofErr w:type="gramEnd"/>
      <w:r>
        <w:t xml:space="preserve"> potential cost of the pest or disease if established.</w:t>
      </w:r>
    </w:p>
    <w:p w14:paraId="075CB847" w14:textId="74D18F2E" w:rsidR="00AB0E44" w:rsidRDefault="00361FA3" w:rsidP="00244AB6">
      <w:pPr>
        <w:pStyle w:val="Heading4"/>
      </w:pPr>
      <w:r>
        <w:t xml:space="preserve">Biosecurity </w:t>
      </w:r>
      <w:r w:rsidRPr="00244AB6">
        <w:t>risk</w:t>
      </w:r>
      <w:r>
        <w:t xml:space="preserve"> profiling</w:t>
      </w:r>
    </w:p>
    <w:p w14:paraId="0B1628C1" w14:textId="1FDA3A92" w:rsidR="00AB0E44" w:rsidRDefault="0028001A">
      <w:r>
        <w:t xml:space="preserve">Risk profiles for </w:t>
      </w:r>
      <w:r w:rsidRPr="008117C8">
        <w:rPr>
          <w:b/>
        </w:rPr>
        <w:t>i</w:t>
      </w:r>
      <w:r w:rsidR="00361FA3" w:rsidRPr="00D27AEE">
        <w:rPr>
          <w:b/>
        </w:rPr>
        <w:t>ncoming ships</w:t>
      </w:r>
      <w:r w:rsidR="00361FA3">
        <w:rPr>
          <w:b/>
        </w:rPr>
        <w:t xml:space="preserve"> </w:t>
      </w:r>
      <w:r>
        <w:t xml:space="preserve">are developed </w:t>
      </w:r>
      <w:r w:rsidR="00361FA3">
        <w:t>when the captain or person in charge of the vessel formally notifies the department of the intended time and place of arrival</w:t>
      </w:r>
      <w:r>
        <w:t>. V</w:t>
      </w:r>
      <w:r w:rsidR="00361FA3">
        <w:t xml:space="preserve">arious details </w:t>
      </w:r>
      <w:r>
        <w:t xml:space="preserve">are used to make </w:t>
      </w:r>
      <w:r w:rsidR="00361FA3">
        <w:t>a biosecurity risk assessment before the vessel arrives in Australia. Based on this risk assessment, various types of inspection</w:t>
      </w:r>
      <w:r>
        <w:t>s</w:t>
      </w:r>
      <w:r w:rsidR="00361FA3">
        <w:t xml:space="preserve"> and/or treatment</w:t>
      </w:r>
      <w:r>
        <w:t>s</w:t>
      </w:r>
      <w:r w:rsidR="00361FA3">
        <w:t xml:space="preserve"> </w:t>
      </w:r>
      <w:r>
        <w:t xml:space="preserve">are </w:t>
      </w:r>
      <w:r w:rsidR="00361FA3">
        <w:t>ordered.</w:t>
      </w:r>
    </w:p>
    <w:p w14:paraId="6C2626FD" w14:textId="7DEEA654" w:rsidR="00AB0E44" w:rsidRDefault="00361FA3">
      <w:r w:rsidRPr="00D27AEE">
        <w:rPr>
          <w:b/>
        </w:rPr>
        <w:t>Incoming aircraft</w:t>
      </w:r>
      <w:r>
        <w:t xml:space="preserve"> pose lower risks</w:t>
      </w:r>
      <w:r w:rsidR="00634AC3">
        <w:t>,</w:t>
      </w:r>
      <w:r>
        <w:t xml:space="preserve"> which are not generally profiled by the department. </w:t>
      </w:r>
      <w:r w:rsidR="0028001A">
        <w:t xml:space="preserve">The department </w:t>
      </w:r>
      <w:r>
        <w:t>sometimes work</w:t>
      </w:r>
      <w:r w:rsidR="0028001A">
        <w:t>s</w:t>
      </w:r>
      <w:r>
        <w:t xml:space="preserve"> with the Department of Health to profile seasonal mosquito risk of planes coming from certain ports and </w:t>
      </w:r>
      <w:r w:rsidR="0028001A">
        <w:t xml:space="preserve">to </w:t>
      </w:r>
      <w:r>
        <w:t>conduct extra aircraft disinsection activities as needed.</w:t>
      </w:r>
    </w:p>
    <w:p w14:paraId="0EB29E91" w14:textId="4191FD78" w:rsidR="00AB0E44" w:rsidRDefault="00361FA3">
      <w:pPr>
        <w:rPr>
          <w:lang w:eastAsia="ja-JP"/>
        </w:rPr>
      </w:pPr>
      <w:r w:rsidRPr="00D27AEE">
        <w:rPr>
          <w:b/>
          <w:lang w:eastAsia="ja-JP"/>
        </w:rPr>
        <w:t>Imported cargo</w:t>
      </w:r>
      <w:r>
        <w:rPr>
          <w:lang w:eastAsia="ja-JP"/>
        </w:rPr>
        <w:t xml:space="preserve"> risk profiling is managed by the department through the Integrated Cargo System (ICS)</w:t>
      </w:r>
      <w:r w:rsidR="00634AC3">
        <w:rPr>
          <w:lang w:eastAsia="ja-JP"/>
        </w:rPr>
        <w:t>—</w:t>
      </w:r>
      <w:r>
        <w:rPr>
          <w:lang w:eastAsia="ja-JP"/>
        </w:rPr>
        <w:t>a database owned and managed by the Australian Border Force within the Australian Government Department of Home Affairs (DHA). ICS is the only method of reporting the movement of goods, including the shipment type, across Australia’s borders</w:t>
      </w:r>
      <w:r w:rsidR="0028001A">
        <w:rPr>
          <w:lang w:eastAsia="ja-JP"/>
        </w:rPr>
        <w:t>.</w:t>
      </w:r>
      <w:r>
        <w:rPr>
          <w:lang w:eastAsia="ja-JP"/>
        </w:rPr>
        <w:t xml:space="preserve"> </w:t>
      </w:r>
      <w:r w:rsidR="0028001A">
        <w:rPr>
          <w:lang w:eastAsia="ja-JP"/>
        </w:rPr>
        <w:t xml:space="preserve">It </w:t>
      </w:r>
      <w:r>
        <w:rPr>
          <w:lang w:eastAsia="ja-JP"/>
        </w:rPr>
        <w:t xml:space="preserve">controls cargo shipment and delegation on to </w:t>
      </w:r>
      <w:r w:rsidR="00BC618F">
        <w:rPr>
          <w:lang w:eastAsia="ja-JP"/>
        </w:rPr>
        <w:t>the department’s Agriculture Import Management S</w:t>
      </w:r>
      <w:r>
        <w:rPr>
          <w:lang w:eastAsia="ja-JP"/>
        </w:rPr>
        <w:t>ystem (</w:t>
      </w:r>
      <w:r>
        <w:rPr>
          <w:lang w:eastAsia="ja-JP"/>
        </w:rPr>
        <w:fldChar w:fldCharType="begin"/>
      </w:r>
      <w:r>
        <w:rPr>
          <w:lang w:eastAsia="ja-JP"/>
        </w:rPr>
        <w:instrText xml:space="preserve"> REF _Ref514138382 \h </w:instrText>
      </w:r>
      <w:r>
        <w:rPr>
          <w:lang w:eastAsia="ja-JP"/>
        </w:rPr>
      </w:r>
      <w:r>
        <w:rPr>
          <w:lang w:eastAsia="ja-JP"/>
        </w:rPr>
        <w:fldChar w:fldCharType="separate"/>
      </w:r>
      <w:r w:rsidR="007F78D8">
        <w:t xml:space="preserve">Figure </w:t>
      </w:r>
      <w:r w:rsidR="007F78D8">
        <w:rPr>
          <w:noProof/>
        </w:rPr>
        <w:t>1</w:t>
      </w:r>
      <w:r>
        <w:rPr>
          <w:lang w:eastAsia="ja-JP"/>
        </w:rPr>
        <w:fldChar w:fldCharType="end"/>
      </w:r>
      <w:r>
        <w:rPr>
          <w:lang w:eastAsia="ja-JP"/>
        </w:rPr>
        <w:t>). By agreement with DHA, the department uses ICS to identify and flag imported containers and non-containerised cargo with an elevated biosecurity risk profile. Biosecurity officers may use ICS to gather further information on cargo or to place or lift holds on identified shipments.</w:t>
      </w:r>
      <w:r w:rsidR="00BC618F" w:rsidRPr="00BC618F">
        <w:rPr>
          <w:lang w:eastAsia="ja-JP"/>
        </w:rPr>
        <w:t xml:space="preserve"> </w:t>
      </w:r>
      <w:r w:rsidR="00BC618F">
        <w:rPr>
          <w:lang w:eastAsia="ja-JP"/>
        </w:rPr>
        <w:t>Sea containers make up the great majority of the sea cargo and d</w:t>
      </w:r>
      <w:r>
        <w:rPr>
          <w:lang w:eastAsia="ja-JP"/>
        </w:rPr>
        <w:t>etails of goods matching certain risk profiles are sent to one of the departmental systems:</w:t>
      </w:r>
    </w:p>
    <w:p w14:paraId="7579CE74" w14:textId="6E072AD5" w:rsidR="00AB0E44" w:rsidRDefault="00361FA3">
      <w:pPr>
        <w:pStyle w:val="ListBullet"/>
      </w:pPr>
      <w:r>
        <w:t>S-Cargo—for biosecurity risks of sea containers and break</w:t>
      </w:r>
      <w:r w:rsidR="0028001A">
        <w:t>-</w:t>
      </w:r>
      <w:r>
        <w:t>bulk cargo</w:t>
      </w:r>
    </w:p>
    <w:p w14:paraId="5CF237AB" w14:textId="24031A54" w:rsidR="00AB0E44" w:rsidRDefault="00361FA3">
      <w:pPr>
        <w:pStyle w:val="ListBullet"/>
      </w:pPr>
      <w:r>
        <w:t>Agriculture Import Management System (AIMS)—for risks associated with goods</w:t>
      </w:r>
    </w:p>
    <w:p w14:paraId="534E7AF4" w14:textId="2B7AC9B4" w:rsidR="00AB0E44" w:rsidRDefault="00361FA3">
      <w:pPr>
        <w:pStyle w:val="ListBullet"/>
      </w:pPr>
      <w:r>
        <w:t>Mail and Passenger System (MAPS)</w:t>
      </w:r>
      <w:r w:rsidR="0028001A">
        <w:t>—</w:t>
      </w:r>
      <w:r>
        <w:t>for risks associated with mail and passengers</w:t>
      </w:r>
    </w:p>
    <w:p w14:paraId="04CFC8B2" w14:textId="77777777" w:rsidR="00AB0E44" w:rsidRDefault="00361FA3">
      <w:pPr>
        <w:pStyle w:val="ListBullet"/>
      </w:pPr>
      <w:r>
        <w:t>Self-Assessed Cargo (SAC) database—for risks of incoming goods and mail valued at $1,000 or less (typically, goods bought from internet markets like Amazon and eBay).</w:t>
      </w:r>
    </w:p>
    <w:p w14:paraId="32531747" w14:textId="73505356" w:rsidR="00AB0E44" w:rsidRDefault="00361FA3">
      <w:pPr>
        <w:rPr>
          <w:lang w:eastAsia="ja-JP"/>
        </w:rPr>
      </w:pPr>
      <w:r>
        <w:rPr>
          <w:lang w:eastAsia="ja-JP"/>
        </w:rPr>
        <w:t>Goods that do not match a risk profile are cleared to continue the import process without further intervention. Any actions that occur within the departmental systems outlined above are communicated back to ICS, which then communicates the actions to the relevant client.</w:t>
      </w:r>
      <w:r w:rsidR="00BC618F">
        <w:rPr>
          <w:lang w:eastAsia="ja-JP"/>
        </w:rPr>
        <w:t xml:space="preserve"> </w:t>
      </w:r>
    </w:p>
    <w:p w14:paraId="38B0C4A0" w14:textId="0642C384" w:rsidR="00AB0E44" w:rsidRDefault="00361FA3">
      <w:pPr>
        <w:rPr>
          <w:lang w:eastAsia="ja-JP"/>
        </w:rPr>
      </w:pPr>
      <w:r w:rsidRPr="00D27AEE">
        <w:rPr>
          <w:b/>
          <w:lang w:eastAsia="ja-JP"/>
        </w:rPr>
        <w:t>Sea container and break</w:t>
      </w:r>
      <w:r w:rsidR="002F73CB" w:rsidRPr="008117C8">
        <w:rPr>
          <w:b/>
          <w:lang w:eastAsia="ja-JP"/>
        </w:rPr>
        <w:t>-</w:t>
      </w:r>
      <w:r w:rsidRPr="00D27AEE">
        <w:rPr>
          <w:b/>
          <w:lang w:eastAsia="ja-JP"/>
        </w:rPr>
        <w:t>bulk cargo</w:t>
      </w:r>
      <w:r>
        <w:rPr>
          <w:lang w:eastAsia="ja-JP"/>
        </w:rPr>
        <w:t xml:space="preserve"> risk profiling for external or internal hitchhiker and contaminant risks </w:t>
      </w:r>
      <w:r w:rsidR="00001DD5">
        <w:rPr>
          <w:lang w:eastAsia="ja-JP"/>
        </w:rPr>
        <w:t xml:space="preserve">is </w:t>
      </w:r>
      <w:r w:rsidR="001F7008">
        <w:rPr>
          <w:lang w:eastAsia="ja-JP"/>
        </w:rPr>
        <w:t>undertaken</w:t>
      </w:r>
      <w:r>
        <w:rPr>
          <w:lang w:eastAsia="ja-JP"/>
        </w:rPr>
        <w:t xml:space="preserve"> by the department</w:t>
      </w:r>
      <w:r>
        <w:rPr>
          <w:lang w:val="x-none" w:eastAsia="ja-JP" w:bidi="hi-IN"/>
        </w:rPr>
        <w:t xml:space="preserve">’s </w:t>
      </w:r>
      <w:r>
        <w:rPr>
          <w:lang w:eastAsia="ja-JP" w:bidi="hi-IN"/>
        </w:rPr>
        <w:t>Cargo</w:t>
      </w:r>
      <w:r>
        <w:rPr>
          <w:lang w:val="x-none" w:eastAsia="ja-JP" w:bidi="hi-IN"/>
        </w:rPr>
        <w:t xml:space="preserve"> </w:t>
      </w:r>
      <w:r w:rsidR="00001DD5">
        <w:rPr>
          <w:lang w:eastAsia="ja-JP" w:bidi="hi-IN"/>
        </w:rPr>
        <w:t>and Mail section</w:t>
      </w:r>
      <w:r>
        <w:rPr>
          <w:lang w:eastAsia="ja-JP"/>
        </w:rPr>
        <w:t>. These goods may pose a higher risk if they come from a particular region, country or port known to contain certain pests or diseases at certain seasons or where poor hygiene standards apply. For cargo travelling to or through rural areas, there may be a greater risk of pests or pathogens coming into contact with host plants or animal populations.</w:t>
      </w:r>
      <w:r w:rsidR="00351964">
        <w:rPr>
          <w:lang w:eastAsia="ja-JP"/>
        </w:rPr>
        <w:t xml:space="preserve"> The profiling determines whether or not cargo will be referred for biosecurity intervention (Figure 1).</w:t>
      </w:r>
    </w:p>
    <w:p w14:paraId="7074130D" w14:textId="017D58F1" w:rsidR="00AB0E44" w:rsidRDefault="00361FA3">
      <w:pPr>
        <w:pStyle w:val="Caption"/>
        <w:rPr>
          <w:lang w:eastAsia="ja-JP"/>
        </w:rPr>
      </w:pPr>
      <w:bookmarkStart w:id="34" w:name="_Ref514138382"/>
      <w:bookmarkStart w:id="35" w:name="_Toc521069571"/>
      <w:r>
        <w:t xml:space="preserve">Figure </w:t>
      </w:r>
      <w:r w:rsidR="00F21B3D">
        <w:rPr>
          <w:noProof/>
        </w:rPr>
        <w:fldChar w:fldCharType="begin"/>
      </w:r>
      <w:r w:rsidR="00F21B3D">
        <w:rPr>
          <w:noProof/>
        </w:rPr>
        <w:instrText xml:space="preserve"> SEQ Figure \* ARABIC </w:instrText>
      </w:r>
      <w:r w:rsidR="00F21B3D">
        <w:rPr>
          <w:noProof/>
        </w:rPr>
        <w:fldChar w:fldCharType="separate"/>
      </w:r>
      <w:r w:rsidR="007F78D8">
        <w:rPr>
          <w:noProof/>
        </w:rPr>
        <w:t>1</w:t>
      </w:r>
      <w:r w:rsidR="00F21B3D">
        <w:rPr>
          <w:noProof/>
        </w:rPr>
        <w:fldChar w:fldCharType="end"/>
      </w:r>
      <w:bookmarkEnd w:id="34"/>
      <w:r>
        <w:rPr>
          <w:noProof/>
        </w:rPr>
        <w:t xml:space="preserve"> Composite view of sea cargo processing, 2014–15</w:t>
      </w:r>
      <w:bookmarkEnd w:id="35"/>
    </w:p>
    <w:p w14:paraId="300BCD43" w14:textId="306891B6" w:rsidR="00AB0E44" w:rsidRDefault="00B64DEC">
      <w:r w:rsidRPr="00B64DEC">
        <w:rPr>
          <w:noProof/>
          <w:lang w:eastAsia="en-AU"/>
        </w:rPr>
        <w:drawing>
          <wp:inline distT="0" distB="0" distL="0" distR="0" wp14:anchorId="637FAE44" wp14:editId="4EC65AC3">
            <wp:extent cx="5780554" cy="3518452"/>
            <wp:effectExtent l="0" t="0" r="0" b="6350"/>
            <wp:docPr id="12" name="Picture 12" descr="Diagram showing 1.5 million container declarations being profiled by the integrated Cargo System and referred to the Agriculture Import Management System where they are assessed for biosecurity ris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001cl04fs02\igb$\Current reviews\01. Hitchhikers and contaminants\05. Photographs- visio diagrams\Photos\Picture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7167" cy="3534651"/>
                    </a:xfrm>
                    <a:prstGeom prst="rect">
                      <a:avLst/>
                    </a:prstGeom>
                    <a:noFill/>
                    <a:ln>
                      <a:noFill/>
                    </a:ln>
                  </pic:spPr>
                </pic:pic>
              </a:graphicData>
            </a:graphic>
          </wp:inline>
        </w:drawing>
      </w:r>
    </w:p>
    <w:p w14:paraId="4FCE60C6" w14:textId="77777777" w:rsidR="00AB0E44" w:rsidRDefault="00361FA3">
      <w:pPr>
        <w:pStyle w:val="FigureTableNoteSource"/>
        <w:rPr>
          <w:lang w:eastAsia="en-AU"/>
        </w:rPr>
      </w:pPr>
      <w:r w:rsidRPr="003163D9">
        <w:rPr>
          <w:b/>
          <w:lang w:eastAsia="en-AU"/>
        </w:rPr>
        <w:t>Note:</w:t>
      </w:r>
      <w:r>
        <w:rPr>
          <w:lang w:eastAsia="en-AU"/>
        </w:rPr>
        <w:t xml:space="preserve"> Percentages shown are percentages of the total 1.5 million declarations.</w:t>
      </w:r>
    </w:p>
    <w:p w14:paraId="3B63792D" w14:textId="77777777" w:rsidR="00AB0E44" w:rsidRDefault="00361FA3">
      <w:pPr>
        <w:pStyle w:val="FigureTableNoteSource"/>
        <w:rPr>
          <w:lang w:eastAsia="en-AU"/>
        </w:rPr>
      </w:pPr>
      <w:r>
        <w:rPr>
          <w:lang w:eastAsia="en-AU"/>
        </w:rPr>
        <w:t>Source: Department of Agriculture and Water Resources</w:t>
      </w:r>
    </w:p>
    <w:p w14:paraId="722C86BD" w14:textId="60B91C15" w:rsidR="00AB0E44" w:rsidRDefault="00361FA3" w:rsidP="00D85E2E">
      <w:pPr>
        <w:rPr>
          <w:lang w:eastAsia="ja-JP"/>
        </w:rPr>
      </w:pPr>
      <w:r w:rsidRPr="00D27AEE">
        <w:rPr>
          <w:b/>
          <w:lang w:eastAsia="ja-JP"/>
        </w:rPr>
        <w:t>Cargo cleanliness</w:t>
      </w:r>
      <w:r>
        <w:rPr>
          <w:b/>
          <w:lang w:eastAsia="ja-JP"/>
        </w:rPr>
        <w:t xml:space="preserve"> </w:t>
      </w:r>
      <w:r>
        <w:rPr>
          <w:lang w:eastAsia="ja-JP"/>
        </w:rPr>
        <w:t>is managed through the department’s non-commodity information requirements policy (</w:t>
      </w:r>
      <w:r w:rsidR="00C25E11">
        <w:rPr>
          <w:lang w:eastAsia="ja-JP"/>
        </w:rPr>
        <w:fldChar w:fldCharType="begin"/>
      </w:r>
      <w:r w:rsidR="00C25E11">
        <w:rPr>
          <w:lang w:eastAsia="ja-JP"/>
        </w:rPr>
        <w:instrText xml:space="preserve"> REF _Ref513541497 \h </w:instrText>
      </w:r>
      <w:r w:rsidR="00C25E11">
        <w:rPr>
          <w:lang w:eastAsia="ja-JP"/>
        </w:rPr>
      </w:r>
      <w:r w:rsidR="00C25E11">
        <w:rPr>
          <w:lang w:eastAsia="ja-JP"/>
        </w:rPr>
        <w:fldChar w:fldCharType="separate"/>
      </w:r>
      <w:r w:rsidR="007F78D8">
        <w:t xml:space="preserve">Table </w:t>
      </w:r>
      <w:r w:rsidR="007F78D8">
        <w:rPr>
          <w:noProof/>
        </w:rPr>
        <w:t>3</w:t>
      </w:r>
      <w:r w:rsidR="00C25E11">
        <w:rPr>
          <w:lang w:eastAsia="ja-JP"/>
        </w:rPr>
        <w:fldChar w:fldCharType="end"/>
      </w:r>
      <w:r>
        <w:rPr>
          <w:lang w:eastAsia="ja-JP"/>
        </w:rPr>
        <w:t>)</w:t>
      </w:r>
      <w:r w:rsidR="00634AC3">
        <w:rPr>
          <w:lang w:eastAsia="ja-JP"/>
        </w:rPr>
        <w:t>.</w:t>
      </w:r>
      <w:r>
        <w:rPr>
          <w:lang w:eastAsia="ja-JP"/>
        </w:rPr>
        <w:t xml:space="preserve"> </w:t>
      </w:r>
      <w:r w:rsidR="00634AC3">
        <w:rPr>
          <w:lang w:eastAsia="ja-JP"/>
        </w:rPr>
        <w:t>A</w:t>
      </w:r>
      <w:r>
        <w:rPr>
          <w:lang w:eastAsia="ja-JP"/>
        </w:rPr>
        <w:t>rriving cargo and transport containers must be clean and free of contamination</w:t>
      </w:r>
      <w:r w:rsidRPr="00634AC3">
        <w:rPr>
          <w:lang w:eastAsia="ja-JP"/>
        </w:rPr>
        <w:t>, with contamination risks addressed offshore where possible.</w:t>
      </w:r>
    </w:p>
    <w:p w14:paraId="313A073C" w14:textId="4EAB3BC9" w:rsidR="00AB0E44" w:rsidRDefault="00361FA3">
      <w:pPr>
        <w:pStyle w:val="Caption"/>
        <w:rPr>
          <w:lang w:eastAsia="ja-JP"/>
        </w:rPr>
      </w:pPr>
      <w:bookmarkStart w:id="36" w:name="_Ref513541497"/>
      <w:bookmarkStart w:id="37" w:name="_Toc521069594"/>
      <w:r>
        <w:t xml:space="preserve">Table </w:t>
      </w:r>
      <w:r w:rsidR="00F21B3D">
        <w:rPr>
          <w:noProof/>
        </w:rPr>
        <w:fldChar w:fldCharType="begin"/>
      </w:r>
      <w:r w:rsidR="00F21B3D">
        <w:rPr>
          <w:noProof/>
        </w:rPr>
        <w:instrText xml:space="preserve"> SEQ Table \* ARABIC </w:instrText>
      </w:r>
      <w:r w:rsidR="00F21B3D">
        <w:rPr>
          <w:noProof/>
        </w:rPr>
        <w:fldChar w:fldCharType="separate"/>
      </w:r>
      <w:r w:rsidR="007F78D8">
        <w:rPr>
          <w:noProof/>
        </w:rPr>
        <w:t>3</w:t>
      </w:r>
      <w:r w:rsidR="00F21B3D">
        <w:rPr>
          <w:noProof/>
        </w:rPr>
        <w:fldChar w:fldCharType="end"/>
      </w:r>
      <w:bookmarkEnd w:id="36"/>
      <w:r>
        <w:rPr>
          <w:lang w:eastAsia="ja-JP"/>
        </w:rPr>
        <w:t xml:space="preserve"> Mechanisms to ensure cleanliness of consignments</w:t>
      </w:r>
      <w:bookmarkEnd w:id="37"/>
    </w:p>
    <w:tbl>
      <w:tblPr>
        <w:tblStyle w:val="Style1"/>
        <w:tblW w:w="9214" w:type="dxa"/>
        <w:tblLook w:val="04A0" w:firstRow="1" w:lastRow="0" w:firstColumn="1" w:lastColumn="0" w:noHBand="0" w:noVBand="1"/>
      </w:tblPr>
      <w:tblGrid>
        <w:gridCol w:w="3261"/>
        <w:gridCol w:w="5953"/>
      </w:tblGrid>
      <w:tr w:rsidR="00AB0E44" w14:paraId="47798927" w14:textId="77777777" w:rsidTr="008117C8">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261" w:type="dxa"/>
          </w:tcPr>
          <w:p w14:paraId="1A3444F8" w14:textId="77777777" w:rsidR="00AB0E44" w:rsidRDefault="00361FA3">
            <w:pPr>
              <w:pStyle w:val="Tabletext"/>
              <w:rPr>
                <w:lang w:eastAsia="ja-JP"/>
              </w:rPr>
            </w:pPr>
            <w:r>
              <w:rPr>
                <w:lang w:eastAsia="ja-JP"/>
              </w:rPr>
              <w:t>Consignment type</w:t>
            </w:r>
          </w:p>
        </w:tc>
        <w:tc>
          <w:tcPr>
            <w:tcW w:w="5953" w:type="dxa"/>
          </w:tcPr>
          <w:p w14:paraId="62468C19" w14:textId="77777777" w:rsidR="00AB0E44" w:rsidRDefault="00361FA3">
            <w:pPr>
              <w:pStyle w:val="Tabletext"/>
              <w:cnfStyle w:val="100000000000" w:firstRow="1" w:lastRow="0" w:firstColumn="0" w:lastColumn="0" w:oddVBand="0" w:evenVBand="0" w:oddHBand="0" w:evenHBand="0" w:firstRowFirstColumn="0" w:firstRowLastColumn="0" w:lastRowFirstColumn="0" w:lastRowLastColumn="0"/>
              <w:rPr>
                <w:lang w:eastAsia="ja-JP"/>
              </w:rPr>
            </w:pPr>
            <w:r>
              <w:rPr>
                <w:lang w:eastAsia="ja-JP"/>
              </w:rPr>
              <w:t>Requirements</w:t>
            </w:r>
          </w:p>
        </w:tc>
      </w:tr>
      <w:tr w:rsidR="00AB0E44" w14:paraId="7AED143A" w14:textId="77777777" w:rsidTr="008117C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261" w:type="dxa"/>
          </w:tcPr>
          <w:p w14:paraId="1C8F707E" w14:textId="77777777" w:rsidR="00AB0E44" w:rsidRDefault="00361FA3">
            <w:pPr>
              <w:pStyle w:val="Tabletext"/>
              <w:rPr>
                <w:lang w:eastAsia="ja-JP"/>
              </w:rPr>
            </w:pPr>
            <w:r>
              <w:rPr>
                <w:lang w:eastAsia="ja-JP"/>
              </w:rPr>
              <w:t>Full container load (FCL) sea cargo</w:t>
            </w:r>
          </w:p>
        </w:tc>
        <w:tc>
          <w:tcPr>
            <w:tcW w:w="5953" w:type="dxa"/>
            <w:tcBorders>
              <w:top w:val="nil"/>
              <w:bottom w:val="nil"/>
            </w:tcBorders>
            <w:shd w:val="clear" w:color="auto" w:fill="auto"/>
          </w:tcPr>
          <w:p w14:paraId="45DB44A6" w14:textId="77777777" w:rsidR="00AB0E44" w:rsidRDefault="00361FA3">
            <w:pPr>
              <w:cnfStyle w:val="000000100000" w:firstRow="0" w:lastRow="0" w:firstColumn="0" w:lastColumn="0" w:oddVBand="0" w:evenVBand="0" w:oddHBand="1" w:evenHBand="0" w:firstRowFirstColumn="0" w:firstRowLastColumn="0" w:lastRowFirstColumn="0" w:lastRowLastColumn="0"/>
              <w:rPr>
                <w:color w:val="auto"/>
                <w:sz w:val="18"/>
                <w:szCs w:val="18"/>
                <w:lang w:eastAsia="ja-JP"/>
              </w:rPr>
            </w:pPr>
            <w:r>
              <w:rPr>
                <w:color w:val="auto"/>
                <w:sz w:val="18"/>
                <w:szCs w:val="18"/>
                <w:lang w:eastAsia="ja-JP"/>
              </w:rPr>
              <w:t>Provision of a cleanliness statement on consignment-linked documentation stating ‘The container(s) covered by this document has/have been cleaned and is/are free from material of animal and/or plant origin and soil’.</w:t>
            </w:r>
          </w:p>
          <w:p w14:paraId="07E57AF6" w14:textId="1A2168C3" w:rsidR="00AB0E44" w:rsidRDefault="00361FA3">
            <w:pPr>
              <w:cnfStyle w:val="000000100000" w:firstRow="0" w:lastRow="0" w:firstColumn="0" w:lastColumn="0" w:oddVBand="0" w:evenVBand="0" w:oddHBand="1" w:evenHBand="0" w:firstRowFirstColumn="0" w:firstRowLastColumn="0" w:lastRowFirstColumn="0" w:lastRowLastColumn="0"/>
              <w:rPr>
                <w:szCs w:val="18"/>
                <w:lang w:eastAsia="ja-JP"/>
              </w:rPr>
            </w:pPr>
            <w:r>
              <w:rPr>
                <w:color w:val="auto"/>
                <w:sz w:val="18"/>
                <w:szCs w:val="18"/>
                <w:lang w:eastAsia="ja-JP"/>
              </w:rPr>
              <w:t>For annual declarations provided by one shipper for one importer, stating ‘The container(s) covered by this document will be cleaned and will be free from material of animal and/or plant origin and soil’.</w:t>
            </w:r>
          </w:p>
          <w:p w14:paraId="09AADD01" w14:textId="3084B872" w:rsidR="00AB0E44" w:rsidRDefault="00361FA3">
            <w:pPr>
              <w:pStyle w:val="Tabletext"/>
              <w:cnfStyle w:val="000000100000" w:firstRow="0" w:lastRow="0" w:firstColumn="0" w:lastColumn="0" w:oddVBand="0" w:evenVBand="0" w:oddHBand="1" w:evenHBand="0" w:firstRowFirstColumn="0" w:firstRowLastColumn="0" w:lastRowFirstColumn="0" w:lastRowLastColumn="0"/>
              <w:rPr>
                <w:lang w:eastAsia="ja-JP"/>
              </w:rPr>
            </w:pPr>
            <w:r>
              <w:rPr>
                <w:szCs w:val="18"/>
                <w:lang w:eastAsia="ja-JP"/>
              </w:rPr>
              <w:t>In either case, the document upon which the statement appears must have an identifiable link to the consignment for which it is being used. For a single consignment</w:t>
            </w:r>
            <w:r w:rsidR="00BB421C">
              <w:rPr>
                <w:szCs w:val="18"/>
                <w:lang w:eastAsia="ja-JP"/>
              </w:rPr>
              <w:t>,</w:t>
            </w:r>
            <w:r>
              <w:rPr>
                <w:szCs w:val="18"/>
                <w:lang w:eastAsia="ja-JP"/>
              </w:rPr>
              <w:t xml:space="preserve"> this is usually the container number to which the statement applies; for annual declarations</w:t>
            </w:r>
            <w:r w:rsidR="00BB421C">
              <w:rPr>
                <w:szCs w:val="18"/>
                <w:lang w:eastAsia="ja-JP"/>
              </w:rPr>
              <w:t>,</w:t>
            </w:r>
            <w:r>
              <w:rPr>
                <w:szCs w:val="18"/>
                <w:lang w:eastAsia="ja-JP"/>
              </w:rPr>
              <w:t xml:space="preserve"> the shipper and importer of the consignment must match those on the document containing the statement.</w:t>
            </w:r>
          </w:p>
        </w:tc>
      </w:tr>
      <w:tr w:rsidR="00AB0E44" w14:paraId="481DAA35" w14:textId="77777777" w:rsidTr="008117C8">
        <w:trPr>
          <w:trHeight w:val="112"/>
        </w:trPr>
        <w:tc>
          <w:tcPr>
            <w:cnfStyle w:val="001000000000" w:firstRow="0" w:lastRow="0" w:firstColumn="1" w:lastColumn="0" w:oddVBand="0" w:evenVBand="0" w:oddHBand="0" w:evenHBand="0" w:firstRowFirstColumn="0" w:firstRowLastColumn="0" w:lastRowFirstColumn="0" w:lastRowLastColumn="0"/>
            <w:tcW w:w="3261" w:type="dxa"/>
          </w:tcPr>
          <w:p w14:paraId="742DDCFE" w14:textId="77777777" w:rsidR="00AB0E44" w:rsidRDefault="00361FA3">
            <w:pPr>
              <w:pStyle w:val="Tabletext"/>
              <w:rPr>
                <w:lang w:eastAsia="ja-JP"/>
              </w:rPr>
            </w:pPr>
            <w:r>
              <w:rPr>
                <w:lang w:eastAsia="ja-JP"/>
              </w:rPr>
              <w:t>Less than container load (LCL) sea cargo</w:t>
            </w:r>
          </w:p>
        </w:tc>
        <w:tc>
          <w:tcPr>
            <w:tcW w:w="5953" w:type="dxa"/>
            <w:tcBorders>
              <w:top w:val="nil"/>
              <w:bottom w:val="nil"/>
            </w:tcBorders>
          </w:tcPr>
          <w:p w14:paraId="1E83FA15" w14:textId="77777777" w:rsidR="00AB0E44" w:rsidRDefault="00361FA3">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LCL cargo can only be deconsolidated at a location operating under a departmental approved arrangement where any contamination risk can be addressed.</w:t>
            </w:r>
          </w:p>
        </w:tc>
      </w:tr>
      <w:tr w:rsidR="00AB0E44" w14:paraId="101BE8B3" w14:textId="77777777" w:rsidTr="008117C8">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3261" w:type="dxa"/>
          </w:tcPr>
          <w:p w14:paraId="35177E09" w14:textId="0EBCB30C" w:rsidR="00AB0E44" w:rsidRDefault="00361FA3">
            <w:pPr>
              <w:pStyle w:val="Tabletext"/>
              <w:rPr>
                <w:lang w:eastAsia="ja-JP"/>
              </w:rPr>
            </w:pPr>
            <w:r>
              <w:rPr>
                <w:lang w:eastAsia="ja-JP"/>
              </w:rPr>
              <w:t>Break</w:t>
            </w:r>
            <w:r w:rsidR="00BB421C">
              <w:rPr>
                <w:lang w:eastAsia="ja-JP"/>
              </w:rPr>
              <w:t>-</w:t>
            </w:r>
            <w:r>
              <w:rPr>
                <w:lang w:eastAsia="ja-JP"/>
              </w:rPr>
              <w:t>bulk cargo</w:t>
            </w:r>
          </w:p>
        </w:tc>
        <w:tc>
          <w:tcPr>
            <w:tcW w:w="5953" w:type="dxa"/>
            <w:tcBorders>
              <w:top w:val="nil"/>
              <w:bottom w:val="nil"/>
            </w:tcBorders>
            <w:shd w:val="clear" w:color="auto" w:fill="auto"/>
          </w:tcPr>
          <w:p w14:paraId="614ADD62" w14:textId="782D7B4B" w:rsidR="00AB0E44" w:rsidRDefault="00361FA3" w:rsidP="00BB421C">
            <w:pPr>
              <w:pStyle w:val="Tabletext"/>
              <w:cnfStyle w:val="000000100000" w:firstRow="0" w:lastRow="0" w:firstColumn="0" w:lastColumn="0" w:oddVBand="0" w:evenVBand="0" w:oddHBand="1" w:evenHBand="0" w:firstRowFirstColumn="0" w:firstRowLastColumn="0" w:lastRowFirstColumn="0" w:lastRowLastColumn="0"/>
              <w:rPr>
                <w:lang w:eastAsia="ja-JP"/>
              </w:rPr>
            </w:pPr>
            <w:r>
              <w:rPr>
                <w:lang w:eastAsia="ja-JP"/>
              </w:rPr>
              <w:t>Break</w:t>
            </w:r>
            <w:r w:rsidR="00BB421C">
              <w:rPr>
                <w:lang w:eastAsia="ja-JP"/>
              </w:rPr>
              <w:t>-</w:t>
            </w:r>
            <w:r>
              <w:rPr>
                <w:lang w:eastAsia="ja-JP"/>
              </w:rPr>
              <w:t>bulk cargo is subject to on-wharf surveillance inspections to identify any contamination. Many break</w:t>
            </w:r>
            <w:r w:rsidR="00BB421C">
              <w:rPr>
                <w:lang w:eastAsia="ja-JP"/>
              </w:rPr>
              <w:t>-</w:t>
            </w:r>
            <w:r>
              <w:rPr>
                <w:lang w:eastAsia="ja-JP"/>
              </w:rPr>
              <w:t>bulk commodities</w:t>
            </w:r>
            <w:r w:rsidR="00BB421C">
              <w:rPr>
                <w:lang w:eastAsia="ja-JP"/>
              </w:rPr>
              <w:t xml:space="preserve"> (for example, used machinery)</w:t>
            </w:r>
            <w:r>
              <w:rPr>
                <w:lang w:eastAsia="ja-JP"/>
              </w:rPr>
              <w:t xml:space="preserve"> have an intrinsic contamination risk and are subject to a detailed inspection to verify freedom from contamination as part of their commodity specific import requirements.</w:t>
            </w:r>
          </w:p>
        </w:tc>
      </w:tr>
      <w:tr w:rsidR="00AB0E44" w14:paraId="75CCAC07" w14:textId="77777777" w:rsidTr="008117C8">
        <w:trPr>
          <w:trHeight w:val="66"/>
        </w:trPr>
        <w:tc>
          <w:tcPr>
            <w:cnfStyle w:val="001000000000" w:firstRow="0" w:lastRow="0" w:firstColumn="1" w:lastColumn="0" w:oddVBand="0" w:evenVBand="0" w:oddHBand="0" w:evenHBand="0" w:firstRowFirstColumn="0" w:firstRowLastColumn="0" w:lastRowFirstColumn="0" w:lastRowLastColumn="0"/>
            <w:tcW w:w="3261" w:type="dxa"/>
          </w:tcPr>
          <w:p w14:paraId="19BAC451" w14:textId="77777777" w:rsidR="00AB0E44" w:rsidRDefault="00361FA3">
            <w:pPr>
              <w:pStyle w:val="Tabletext"/>
              <w:rPr>
                <w:lang w:eastAsia="ja-JP"/>
              </w:rPr>
            </w:pPr>
            <w:r>
              <w:rPr>
                <w:lang w:eastAsia="ja-JP"/>
              </w:rPr>
              <w:t>Unaccompanied personal effects</w:t>
            </w:r>
          </w:p>
        </w:tc>
        <w:tc>
          <w:tcPr>
            <w:tcW w:w="5953" w:type="dxa"/>
            <w:tcBorders>
              <w:top w:val="nil"/>
              <w:bottom w:val="nil"/>
            </w:tcBorders>
          </w:tcPr>
          <w:p w14:paraId="2D0A0E20" w14:textId="77777777" w:rsidR="00AB0E44" w:rsidRDefault="00361FA3">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Cargo containing personal effects can only be deconsolidated at a location operating under a departmental approved arrangement where any contamination risk can be addressed.</w:t>
            </w:r>
          </w:p>
        </w:tc>
      </w:tr>
      <w:tr w:rsidR="00AB0E44" w14:paraId="054E5329" w14:textId="77777777" w:rsidTr="008117C8">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261" w:type="dxa"/>
          </w:tcPr>
          <w:p w14:paraId="47F0708B" w14:textId="77777777" w:rsidR="00AB0E44" w:rsidRDefault="00361FA3">
            <w:pPr>
              <w:pStyle w:val="Tabletext"/>
              <w:rPr>
                <w:lang w:eastAsia="ja-JP"/>
              </w:rPr>
            </w:pPr>
            <w:r>
              <w:rPr>
                <w:lang w:eastAsia="ja-JP"/>
              </w:rPr>
              <w:t>Air cargo</w:t>
            </w:r>
          </w:p>
        </w:tc>
        <w:tc>
          <w:tcPr>
            <w:tcW w:w="5953" w:type="dxa"/>
            <w:tcBorders>
              <w:top w:val="nil"/>
              <w:bottom w:val="nil"/>
            </w:tcBorders>
            <w:shd w:val="clear" w:color="auto" w:fill="auto"/>
          </w:tcPr>
          <w:p w14:paraId="6E1A62D4" w14:textId="79BC47CD" w:rsidR="00AB0E44" w:rsidRPr="00634AC3" w:rsidRDefault="00361FA3" w:rsidP="00EA2692">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634AC3">
              <w:rPr>
                <w:lang w:eastAsia="ja-JP"/>
              </w:rPr>
              <w:t>Historically, air cargo containers have low level</w:t>
            </w:r>
            <w:r w:rsidR="00BB421C" w:rsidRPr="00634AC3">
              <w:rPr>
                <w:lang w:eastAsia="ja-JP"/>
              </w:rPr>
              <w:t>s</w:t>
            </w:r>
            <w:r w:rsidRPr="00634AC3">
              <w:rPr>
                <w:lang w:eastAsia="ja-JP"/>
              </w:rPr>
              <w:t xml:space="preserve"> of contamination. The risk of any contamination that does occur is mitigated</w:t>
            </w:r>
            <w:r w:rsidR="00BB421C" w:rsidRPr="00634AC3">
              <w:rPr>
                <w:lang w:eastAsia="ja-JP"/>
              </w:rPr>
              <w:t>,</w:t>
            </w:r>
            <w:r w:rsidRPr="00634AC3">
              <w:rPr>
                <w:lang w:eastAsia="ja-JP"/>
              </w:rPr>
              <w:t xml:space="preserve"> as air cargo containers rarely leave the airport precinct, and when they do they usually only travel to nearly warehouses, many of which are operating under departmental approved arrangement.</w:t>
            </w:r>
          </w:p>
        </w:tc>
      </w:tr>
      <w:tr w:rsidR="00AB0E44" w14:paraId="0FCF3AD5" w14:textId="77777777" w:rsidTr="008117C8">
        <w:trPr>
          <w:trHeight w:val="240"/>
        </w:trPr>
        <w:tc>
          <w:tcPr>
            <w:cnfStyle w:val="001000000000" w:firstRow="0" w:lastRow="0" w:firstColumn="1" w:lastColumn="0" w:oddVBand="0" w:evenVBand="0" w:oddHBand="0" w:evenHBand="0" w:firstRowFirstColumn="0" w:firstRowLastColumn="0" w:lastRowFirstColumn="0" w:lastRowLastColumn="0"/>
            <w:tcW w:w="3261" w:type="dxa"/>
          </w:tcPr>
          <w:p w14:paraId="28D8EDFD" w14:textId="77777777" w:rsidR="00AB0E44" w:rsidRDefault="00361FA3">
            <w:pPr>
              <w:pStyle w:val="Tabletext"/>
              <w:rPr>
                <w:lang w:eastAsia="ja-JP"/>
              </w:rPr>
            </w:pPr>
            <w:r>
              <w:rPr>
                <w:lang w:eastAsia="ja-JP"/>
              </w:rPr>
              <w:t>Transhipped goods</w:t>
            </w:r>
          </w:p>
        </w:tc>
        <w:tc>
          <w:tcPr>
            <w:tcW w:w="5953" w:type="dxa"/>
            <w:tcBorders>
              <w:top w:val="nil"/>
            </w:tcBorders>
          </w:tcPr>
          <w:p w14:paraId="252ECF30" w14:textId="3F6DB5BC" w:rsidR="00AB0E44" w:rsidRDefault="00361FA3" w:rsidP="00BB421C">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Transhipped goods are not imports, remain unopened while in Australia and may not leave the metropolitan area, thus posing only a limited risk. </w:t>
            </w:r>
          </w:p>
        </w:tc>
      </w:tr>
    </w:tbl>
    <w:p w14:paraId="1C10C16B" w14:textId="77777777" w:rsidR="00AB0E44" w:rsidRDefault="00361FA3">
      <w:pPr>
        <w:pStyle w:val="FigureTableNoteSource"/>
        <w:spacing w:line="240" w:lineRule="auto"/>
        <w:contextualSpacing w:val="0"/>
        <w:rPr>
          <w:lang w:eastAsia="ja-JP"/>
        </w:rPr>
      </w:pPr>
      <w:r>
        <w:rPr>
          <w:lang w:eastAsia="ja-JP"/>
        </w:rPr>
        <w:t>Source: Department of Agriculture and Water Resources</w:t>
      </w:r>
    </w:p>
    <w:p w14:paraId="49D8D6A6" w14:textId="77777777" w:rsidR="00AB0E44" w:rsidRDefault="00361FA3">
      <w:pPr>
        <w:pStyle w:val="Heading3"/>
        <w:spacing w:before="360"/>
      </w:pPr>
      <w:bookmarkStart w:id="38" w:name="_Toc521069537"/>
      <w:r>
        <w:t>Stakeholder engagement</w:t>
      </w:r>
      <w:bookmarkEnd w:id="38"/>
    </w:p>
    <w:p w14:paraId="1EAF81A9" w14:textId="77777777" w:rsidR="00AB0E44" w:rsidRPr="00605A73" w:rsidRDefault="00361FA3" w:rsidP="00605A73">
      <w:pPr>
        <w:pStyle w:val="Heading4"/>
        <w:rPr>
          <w:lang w:eastAsia="en-AU"/>
        </w:rPr>
      </w:pPr>
      <w:r w:rsidRPr="00605A73">
        <w:t>Departmental</w:t>
      </w:r>
      <w:r w:rsidRPr="00605A73">
        <w:rPr>
          <w:lang w:val="en-AU" w:eastAsia="en-AU"/>
        </w:rPr>
        <w:t xml:space="preserve"> p</w:t>
      </w:r>
      <w:r w:rsidRPr="00605A73">
        <w:rPr>
          <w:lang w:eastAsia="en-AU"/>
        </w:rPr>
        <w:t xml:space="preserve">re-border, border </w:t>
      </w:r>
      <w:r w:rsidRPr="00605A73">
        <w:rPr>
          <w:lang w:val="en-AU" w:eastAsia="en-AU"/>
        </w:rPr>
        <w:t>and post-border engagement</w:t>
      </w:r>
    </w:p>
    <w:p w14:paraId="4E0E04B0" w14:textId="440AF020" w:rsidR="00AB0E44" w:rsidRDefault="00BB421C">
      <w:pPr>
        <w:rPr>
          <w:lang w:eastAsia="ja-JP"/>
        </w:rPr>
      </w:pPr>
      <w:r>
        <w:rPr>
          <w:lang w:eastAsia="ja-JP"/>
        </w:rPr>
        <w:t>T</w:t>
      </w:r>
      <w:r w:rsidR="00361FA3">
        <w:rPr>
          <w:lang w:eastAsia="ja-JP"/>
        </w:rPr>
        <w:t>he department works with many external stakeholders to implement hitchhiker and contamination risk management measures</w:t>
      </w:r>
      <w:r>
        <w:rPr>
          <w:lang w:eastAsia="ja-JP"/>
        </w:rPr>
        <w:t>.</w:t>
      </w:r>
      <w:r w:rsidR="00361FA3">
        <w:rPr>
          <w:lang w:eastAsia="ja-JP"/>
        </w:rPr>
        <w:t xml:space="preserve"> </w:t>
      </w:r>
      <w:r>
        <w:rPr>
          <w:lang w:eastAsia="ja-JP"/>
        </w:rPr>
        <w:t xml:space="preserve">It conducts </w:t>
      </w:r>
      <w:r w:rsidR="00361FA3">
        <w:rPr>
          <w:lang w:eastAsia="ja-JP"/>
        </w:rPr>
        <w:t>extra surveillance using purpose-built traps or baits for particular pests at key points along specific pathways and against specific hitchhiker pests</w:t>
      </w:r>
      <w:r>
        <w:rPr>
          <w:lang w:eastAsia="ja-JP"/>
        </w:rPr>
        <w:t>. The types of measures that are implemented</w:t>
      </w:r>
      <w:r w:rsidR="00361FA3">
        <w:rPr>
          <w:lang w:eastAsia="ja-JP"/>
        </w:rPr>
        <w:t xml:space="preserve"> depend on the</w:t>
      </w:r>
      <w:r>
        <w:rPr>
          <w:lang w:eastAsia="ja-JP"/>
        </w:rPr>
        <w:t xml:space="preserve"> pest’s</w:t>
      </w:r>
      <w:r w:rsidR="00361FA3">
        <w:rPr>
          <w:lang w:eastAsia="ja-JP"/>
        </w:rPr>
        <w:t xml:space="preserve"> biology, global occurrence and potential impact if introduced </w:t>
      </w:r>
      <w:r>
        <w:rPr>
          <w:lang w:eastAsia="ja-JP"/>
        </w:rPr>
        <w:t>in</w:t>
      </w:r>
      <w:r w:rsidR="00361FA3">
        <w:rPr>
          <w:lang w:eastAsia="ja-JP"/>
        </w:rPr>
        <w:t>to Australia.</w:t>
      </w:r>
    </w:p>
    <w:p w14:paraId="0AD6BB0B" w14:textId="77777777" w:rsidR="00AB0E44" w:rsidRDefault="00361FA3">
      <w:pPr>
        <w:rPr>
          <w:lang w:eastAsia="ja-JP"/>
        </w:rPr>
      </w:pPr>
      <w:r>
        <w:rPr>
          <w:b/>
          <w:lang w:eastAsia="ja-JP"/>
        </w:rPr>
        <w:t>Pre-border</w:t>
      </w:r>
      <w:r>
        <w:rPr>
          <w:lang w:eastAsia="ja-JP"/>
        </w:rPr>
        <w:t>—</w:t>
      </w:r>
      <w:proofErr w:type="gramStart"/>
      <w:r>
        <w:rPr>
          <w:lang w:eastAsia="ja-JP"/>
        </w:rPr>
        <w:t>Where</w:t>
      </w:r>
      <w:proofErr w:type="gramEnd"/>
      <w:r>
        <w:rPr>
          <w:lang w:eastAsia="ja-JP"/>
        </w:rPr>
        <w:t xml:space="preserve"> possible, the department liaises with overseas competent authorities, port authorities, shipping agents, customs brokers and others to develop and apply adaptive offshore surveillance and treatment measures to keep pests offshore.</w:t>
      </w:r>
    </w:p>
    <w:p w14:paraId="6AD24612" w14:textId="449519FC" w:rsidR="00AB0E44" w:rsidRDefault="00361FA3">
      <w:pPr>
        <w:rPr>
          <w:lang w:eastAsia="ja-JP"/>
        </w:rPr>
      </w:pPr>
      <w:r>
        <w:rPr>
          <w:b/>
          <w:lang w:eastAsia="ja-JP"/>
        </w:rPr>
        <w:t>Border</w:t>
      </w:r>
      <w:r>
        <w:rPr>
          <w:lang w:eastAsia="ja-JP"/>
        </w:rPr>
        <w:t>—</w:t>
      </w:r>
      <w:proofErr w:type="gramStart"/>
      <w:r>
        <w:rPr>
          <w:lang w:eastAsia="ja-JP"/>
        </w:rPr>
        <w:t>The</w:t>
      </w:r>
      <w:proofErr w:type="gramEnd"/>
      <w:r>
        <w:rPr>
          <w:lang w:eastAsia="ja-JP"/>
        </w:rPr>
        <w:t xml:space="preserve"> department manages risks at the border. </w:t>
      </w:r>
      <w:r w:rsidR="00BB421C">
        <w:rPr>
          <w:lang w:eastAsia="ja-JP"/>
        </w:rPr>
        <w:t>B</w:t>
      </w:r>
      <w:r>
        <w:rPr>
          <w:lang w:eastAsia="ja-JP"/>
        </w:rPr>
        <w:t>iosecurity officers conduct all assessments and high</w:t>
      </w:r>
      <w:r w:rsidR="00BB421C">
        <w:rPr>
          <w:lang w:eastAsia="ja-JP"/>
        </w:rPr>
        <w:t>-</w:t>
      </w:r>
      <w:r>
        <w:rPr>
          <w:lang w:eastAsia="ja-JP"/>
        </w:rPr>
        <w:t>risk inspections</w:t>
      </w:r>
      <w:r w:rsidR="00BB421C">
        <w:rPr>
          <w:lang w:eastAsia="ja-JP"/>
        </w:rPr>
        <w:t>.</w:t>
      </w:r>
      <w:r>
        <w:rPr>
          <w:lang w:eastAsia="ja-JP"/>
        </w:rPr>
        <w:t xml:space="preserve"> </w:t>
      </w:r>
      <w:r w:rsidR="00BB421C">
        <w:rPr>
          <w:lang w:eastAsia="ja-JP"/>
        </w:rPr>
        <w:t>In addition, a</w:t>
      </w:r>
      <w:r>
        <w:rPr>
          <w:lang w:eastAsia="ja-JP"/>
        </w:rPr>
        <w:t xml:space="preserve">pproved arrangement service providers (authorised under the </w:t>
      </w:r>
      <w:r>
        <w:rPr>
          <w:i/>
          <w:lang w:eastAsia="ja-JP"/>
        </w:rPr>
        <w:t>Biosecurity Act 2015</w:t>
      </w:r>
      <w:r>
        <w:rPr>
          <w:lang w:eastAsia="ja-JP"/>
        </w:rPr>
        <w:t xml:space="preserve">) carry out many essential biosecurity functions, such as holding goods securely until they pass required inspections, cleaning different classes of containers and cargo, applying treatments such as fumigation, and </w:t>
      </w:r>
      <w:r w:rsidR="00BB421C">
        <w:rPr>
          <w:lang w:eastAsia="ja-JP"/>
        </w:rPr>
        <w:t xml:space="preserve">disposing of </w:t>
      </w:r>
      <w:r>
        <w:rPr>
          <w:lang w:eastAsia="ja-JP"/>
        </w:rPr>
        <w:t xml:space="preserve">biosecurity waste. </w:t>
      </w:r>
      <w:r w:rsidR="00BB421C">
        <w:rPr>
          <w:lang w:eastAsia="ja-JP"/>
        </w:rPr>
        <w:t>One of the department’s essential, although resource intensive, functions is to e</w:t>
      </w:r>
      <w:r>
        <w:rPr>
          <w:lang w:eastAsia="ja-JP"/>
        </w:rPr>
        <w:t>nsur</w:t>
      </w:r>
      <w:r w:rsidR="00BB421C">
        <w:rPr>
          <w:lang w:eastAsia="ja-JP"/>
        </w:rPr>
        <w:t>e</w:t>
      </w:r>
      <w:r>
        <w:rPr>
          <w:lang w:eastAsia="ja-JP"/>
        </w:rPr>
        <w:t xml:space="preserve"> that the various approved arrangement</w:t>
      </w:r>
      <w:r w:rsidR="00EA2692">
        <w:rPr>
          <w:lang w:eastAsia="ja-JP"/>
        </w:rPr>
        <w:t xml:space="preserve"> site</w:t>
      </w:r>
      <w:r>
        <w:rPr>
          <w:lang w:eastAsia="ja-JP"/>
        </w:rPr>
        <w:t xml:space="preserve">s are compliant with their approval conditions and </w:t>
      </w:r>
      <w:r w:rsidR="00BB421C">
        <w:rPr>
          <w:lang w:eastAsia="ja-JP"/>
        </w:rPr>
        <w:t xml:space="preserve">to </w:t>
      </w:r>
      <w:r>
        <w:rPr>
          <w:lang w:eastAsia="ja-JP"/>
        </w:rPr>
        <w:t>provid</w:t>
      </w:r>
      <w:r w:rsidR="00BB421C">
        <w:rPr>
          <w:lang w:eastAsia="ja-JP"/>
        </w:rPr>
        <w:t>e</w:t>
      </w:r>
      <w:r>
        <w:rPr>
          <w:lang w:eastAsia="ja-JP"/>
        </w:rPr>
        <w:t xml:space="preserve"> them with ongoing training and risk awareness.</w:t>
      </w:r>
    </w:p>
    <w:p w14:paraId="1FD71FC5" w14:textId="1A004344" w:rsidR="00AB0E44" w:rsidRDefault="00361FA3">
      <w:pPr>
        <w:rPr>
          <w:lang w:eastAsia="ja-JP"/>
        </w:rPr>
      </w:pPr>
      <w:r>
        <w:rPr>
          <w:b/>
          <w:lang w:eastAsia="ja-JP"/>
        </w:rPr>
        <w:t>Post-border</w:t>
      </w:r>
      <w:r>
        <w:rPr>
          <w:lang w:eastAsia="ja-JP"/>
        </w:rPr>
        <w:t>—Within Australia many biosecurity activities fall within the purview of states and territories, rather than the Commonwealth, due to constitutional separation of powers. The department cooperates with state and territory governments and relevant industries to conduct pest-specific, nationally agreed post-border surveillance and incursion response programs.</w:t>
      </w:r>
      <w:r>
        <w:t xml:space="preserve"> The department also maintains a post</w:t>
      </w:r>
      <w:r w:rsidR="00BB421C">
        <w:t>-</w:t>
      </w:r>
      <w:r>
        <w:t xml:space="preserve">border detection hotline </w:t>
      </w:r>
      <w:r w:rsidR="00BB421C">
        <w:t xml:space="preserve">through which </w:t>
      </w:r>
      <w:r>
        <w:t xml:space="preserve">approved arrangement sites, port personnel and the community </w:t>
      </w:r>
      <w:r w:rsidR="00BB421C">
        <w:t xml:space="preserve">can </w:t>
      </w:r>
      <w:r>
        <w:t>report signs of exotic pests.</w:t>
      </w:r>
    </w:p>
    <w:p w14:paraId="1AEA8C87" w14:textId="77777777" w:rsidR="00AB0E44" w:rsidRPr="00605A73" w:rsidRDefault="00361FA3" w:rsidP="00605A73">
      <w:pPr>
        <w:pStyle w:val="Heading4"/>
      </w:pPr>
      <w:r w:rsidRPr="00605A73">
        <w:t>A New Zealand comparison—engagement with public and industry</w:t>
      </w:r>
    </w:p>
    <w:p w14:paraId="331DE738" w14:textId="4A534F22" w:rsidR="00AB0E44" w:rsidRDefault="00361FA3">
      <w:pPr>
        <w:rPr>
          <w:lang w:eastAsia="ja-JP"/>
        </w:rPr>
      </w:pPr>
      <w:r>
        <w:rPr>
          <w:lang w:eastAsia="ja-JP"/>
        </w:rPr>
        <w:t xml:space="preserve">Unlike Australia, New Zealand is not a federation of states and territories and has only national and local government levels. </w:t>
      </w:r>
      <w:r w:rsidR="00BB421C">
        <w:rPr>
          <w:lang w:eastAsia="ja-JP"/>
        </w:rPr>
        <w:t>Therefore</w:t>
      </w:r>
      <w:r>
        <w:rPr>
          <w:lang w:eastAsia="ja-JP"/>
        </w:rPr>
        <w:t xml:space="preserve">, its biosecurity management is simpler. Australia has 93 </w:t>
      </w:r>
      <w:r w:rsidRPr="00634AC3">
        <w:rPr>
          <w:lang w:eastAsia="ja-JP"/>
        </w:rPr>
        <w:t xml:space="preserve">approved locations (30 air and 63 sea) where international vessels or aircraft may arrive, whereas New Zealand has 27 approved locations (13 air and 14 sea). </w:t>
      </w:r>
      <w:r w:rsidR="00634AC3" w:rsidRPr="008117C8">
        <w:rPr>
          <w:lang w:eastAsia="ja-JP"/>
        </w:rPr>
        <w:t xml:space="preserve">New Zealand’s </w:t>
      </w:r>
      <w:r w:rsidRPr="00634AC3">
        <w:rPr>
          <w:lang w:eastAsia="ja-JP"/>
        </w:rPr>
        <w:t xml:space="preserve">smaller size and population increases the ability of the New Zealand Ministry </w:t>
      </w:r>
      <w:r w:rsidR="00C248DE">
        <w:rPr>
          <w:lang w:eastAsia="ja-JP"/>
        </w:rPr>
        <w:t>for</w:t>
      </w:r>
      <w:r w:rsidR="00C248DE" w:rsidRPr="00634AC3">
        <w:rPr>
          <w:lang w:eastAsia="ja-JP"/>
        </w:rPr>
        <w:t xml:space="preserve"> </w:t>
      </w:r>
      <w:r w:rsidRPr="00634AC3">
        <w:rPr>
          <w:lang w:eastAsia="ja-JP"/>
        </w:rPr>
        <w:t>Primary Industry to flexibly deploy biosecurity resources and engage with the community.</w:t>
      </w:r>
    </w:p>
    <w:p w14:paraId="1D3C1075" w14:textId="2F1C0191" w:rsidR="00AB0E44" w:rsidRDefault="00361FA3" w:rsidP="00777A4E">
      <w:pPr>
        <w:spacing w:after="0"/>
        <w:rPr>
          <w:b/>
          <w:color w:val="000000"/>
          <w:sz w:val="32"/>
          <w:szCs w:val="28"/>
        </w:rPr>
      </w:pPr>
      <w:r>
        <w:rPr>
          <w:lang w:eastAsia="ja-JP"/>
        </w:rPr>
        <w:t xml:space="preserve">The New Zealand population </w:t>
      </w:r>
      <w:r w:rsidRPr="00634AC3">
        <w:rPr>
          <w:lang w:eastAsia="ja-JP"/>
        </w:rPr>
        <w:t>is highly engaged with biosecurity due to their</w:t>
      </w:r>
      <w:r>
        <w:rPr>
          <w:lang w:eastAsia="ja-JP"/>
        </w:rPr>
        <w:t xml:space="preserve"> appreciation of the natural environment, awareness of the economic value of agricultural exports, and active government engagement programs. The N</w:t>
      </w:r>
      <w:r w:rsidR="00F351BA">
        <w:rPr>
          <w:lang w:eastAsia="ja-JP"/>
        </w:rPr>
        <w:t xml:space="preserve">ew </w:t>
      </w:r>
      <w:r>
        <w:rPr>
          <w:lang w:eastAsia="ja-JP"/>
        </w:rPr>
        <w:t>Z</w:t>
      </w:r>
      <w:r w:rsidR="00F351BA">
        <w:rPr>
          <w:lang w:eastAsia="ja-JP"/>
        </w:rPr>
        <w:t>ealand</w:t>
      </w:r>
      <w:r>
        <w:rPr>
          <w:lang w:eastAsia="ja-JP"/>
        </w:rPr>
        <w:t xml:space="preserve"> Biosecurity 2025 Direction statement refers to a ‘biosecurity team of 4.7 million’ which is ‘a collective effort across the country: every New Zealander becomes a biosecurity risk manager and every business manages their own biosecurity risk’. </w:t>
      </w:r>
      <w:r w:rsidR="00BD65A4">
        <w:rPr>
          <w:lang w:eastAsia="ja-JP"/>
        </w:rPr>
        <w:t xml:space="preserve">The government conducts an </w:t>
      </w:r>
      <w:r>
        <w:rPr>
          <w:lang w:eastAsia="ja-JP"/>
        </w:rPr>
        <w:t>active program of training and approving the staff of businesses involved in the transport and handling of imported containers and cargo of all kinds</w:t>
      </w:r>
      <w:r w:rsidR="00BD65A4">
        <w:rPr>
          <w:lang w:eastAsia="ja-JP"/>
        </w:rPr>
        <w:t>,</w:t>
      </w:r>
      <w:r>
        <w:rPr>
          <w:lang w:eastAsia="ja-JP"/>
        </w:rPr>
        <w:t xml:space="preserve"> </w:t>
      </w:r>
      <w:r w:rsidR="00BD65A4">
        <w:rPr>
          <w:lang w:eastAsia="ja-JP"/>
        </w:rPr>
        <w:t xml:space="preserve">and this </w:t>
      </w:r>
      <w:r>
        <w:rPr>
          <w:lang w:eastAsia="ja-JP"/>
        </w:rPr>
        <w:t xml:space="preserve">yields good biosecurity outcomes. </w:t>
      </w:r>
      <w:r w:rsidRPr="00634AC3">
        <w:rPr>
          <w:lang w:eastAsia="ja-JP"/>
        </w:rPr>
        <w:t>Continued cooperation and comparison of the Australian and New Zealand systems for approving and oversighting industry-based biosecurity risk management services is beneficial and strongly supported.</w:t>
      </w:r>
    </w:p>
    <w:p w14:paraId="24502C6D" w14:textId="77777777" w:rsidR="00AB0E44" w:rsidRDefault="00361FA3">
      <w:pPr>
        <w:pStyle w:val="Heading2"/>
      </w:pPr>
      <w:bookmarkStart w:id="39" w:name="_Toc521069538"/>
      <w:r>
        <w:t>Sea vessel entry pathway</w:t>
      </w:r>
      <w:bookmarkEnd w:id="39"/>
    </w:p>
    <w:p w14:paraId="32C515DC" w14:textId="77777777" w:rsidR="00AB0E44" w:rsidRDefault="00361FA3">
      <w:pPr>
        <w:pStyle w:val="Heading3"/>
      </w:pPr>
      <w:bookmarkStart w:id="40" w:name="_Toc521069539"/>
      <w:r>
        <w:t>Sea vessel biosecurity risk management</w:t>
      </w:r>
      <w:bookmarkEnd w:id="40"/>
    </w:p>
    <w:p w14:paraId="4DE45E9B" w14:textId="5CACD643" w:rsidR="00AB0E44" w:rsidRDefault="00361FA3">
      <w:pPr>
        <w:rPr>
          <w:lang w:eastAsia="ja-JP"/>
        </w:rPr>
      </w:pPr>
      <w:r>
        <w:rPr>
          <w:lang w:eastAsia="ja-JP"/>
        </w:rPr>
        <w:t xml:space="preserve">Ships </w:t>
      </w:r>
      <w:r w:rsidR="002F73CB">
        <w:rPr>
          <w:lang w:eastAsia="ja-JP"/>
        </w:rPr>
        <w:t xml:space="preserve">that enter </w:t>
      </w:r>
      <w:r>
        <w:rPr>
          <w:lang w:eastAsia="ja-JP"/>
        </w:rPr>
        <w:t xml:space="preserve">Australian territory from international waters </w:t>
      </w:r>
      <w:r w:rsidR="002F73CB">
        <w:rPr>
          <w:lang w:eastAsia="ja-JP"/>
        </w:rPr>
        <w:t>arrive</w:t>
      </w:r>
      <w:r>
        <w:rPr>
          <w:lang w:eastAsia="ja-JP"/>
        </w:rPr>
        <w:t xml:space="preserve"> at first points of entry </w:t>
      </w:r>
      <w:r w:rsidR="002F73CB">
        <w:rPr>
          <w:lang w:eastAsia="ja-JP"/>
        </w:rPr>
        <w:t xml:space="preserve">shown in </w:t>
      </w:r>
      <w:r>
        <w:rPr>
          <w:lang w:eastAsia="ja-JP"/>
        </w:rPr>
        <w:fldChar w:fldCharType="begin"/>
      </w:r>
      <w:r>
        <w:rPr>
          <w:lang w:eastAsia="ja-JP"/>
        </w:rPr>
        <w:instrText xml:space="preserve"> REF _Ref514151256 \h </w:instrText>
      </w:r>
      <w:r>
        <w:rPr>
          <w:lang w:eastAsia="ja-JP"/>
        </w:rPr>
      </w:r>
      <w:r>
        <w:rPr>
          <w:lang w:eastAsia="ja-JP"/>
        </w:rPr>
        <w:fldChar w:fldCharType="separate"/>
      </w:r>
      <w:r w:rsidR="007F78D8">
        <w:t xml:space="preserve">Map </w:t>
      </w:r>
      <w:r w:rsidR="007F78D8">
        <w:rPr>
          <w:noProof/>
        </w:rPr>
        <w:t>1</w:t>
      </w:r>
      <w:r>
        <w:rPr>
          <w:lang w:eastAsia="ja-JP"/>
        </w:rPr>
        <w:fldChar w:fldCharType="end"/>
      </w:r>
      <w:r w:rsidR="002F73CB">
        <w:rPr>
          <w:lang w:eastAsia="ja-JP"/>
        </w:rPr>
        <w:t>.</w:t>
      </w:r>
      <w:r>
        <w:rPr>
          <w:lang w:eastAsia="ja-JP"/>
        </w:rPr>
        <w:t xml:space="preserve"> </w:t>
      </w:r>
      <w:r w:rsidR="002F73CB">
        <w:rPr>
          <w:lang w:eastAsia="ja-JP"/>
        </w:rPr>
        <w:t xml:space="preserve">At those points, </w:t>
      </w:r>
      <w:r>
        <w:rPr>
          <w:lang w:eastAsia="ja-JP"/>
        </w:rPr>
        <w:t xml:space="preserve">biosecurity officers </w:t>
      </w:r>
      <w:r w:rsidR="002F73CB">
        <w:rPr>
          <w:lang w:eastAsia="ja-JP"/>
        </w:rPr>
        <w:t xml:space="preserve">assess the ships </w:t>
      </w:r>
      <w:r>
        <w:rPr>
          <w:lang w:eastAsia="ja-JP"/>
        </w:rPr>
        <w:t>to ensure that biosecurity risks</w:t>
      </w:r>
      <w:r w:rsidR="00BD65A4">
        <w:rPr>
          <w:lang w:eastAsia="ja-JP"/>
        </w:rPr>
        <w:t xml:space="preserve"> </w:t>
      </w:r>
      <w:r w:rsidR="002F73CB">
        <w:rPr>
          <w:lang w:eastAsia="ja-JP"/>
        </w:rPr>
        <w:t xml:space="preserve">such as </w:t>
      </w:r>
      <w:r>
        <w:rPr>
          <w:lang w:eastAsia="ja-JP"/>
        </w:rPr>
        <w:t>hitchhikers and contaminants are identified and treated accordingly.</w:t>
      </w:r>
    </w:p>
    <w:p w14:paraId="4D0E374D" w14:textId="6DA4B80E" w:rsidR="00AB0E44" w:rsidRDefault="00361FA3">
      <w:pPr>
        <w:pStyle w:val="Caption"/>
      </w:pPr>
      <w:bookmarkStart w:id="41" w:name="_Ref514151256"/>
      <w:bookmarkStart w:id="42" w:name="_Toc521069590"/>
      <w:r>
        <w:t xml:space="preserve">Map </w:t>
      </w:r>
      <w:r w:rsidR="00F21B3D">
        <w:rPr>
          <w:noProof/>
        </w:rPr>
        <w:fldChar w:fldCharType="begin"/>
      </w:r>
      <w:r w:rsidR="00F21B3D">
        <w:rPr>
          <w:noProof/>
        </w:rPr>
        <w:instrText xml:space="preserve"> SEQ Map \* ARABIC </w:instrText>
      </w:r>
      <w:r w:rsidR="00F21B3D">
        <w:rPr>
          <w:noProof/>
        </w:rPr>
        <w:fldChar w:fldCharType="separate"/>
      </w:r>
      <w:r w:rsidR="007F78D8">
        <w:rPr>
          <w:noProof/>
        </w:rPr>
        <w:t>1</w:t>
      </w:r>
      <w:r w:rsidR="00F21B3D">
        <w:rPr>
          <w:noProof/>
        </w:rPr>
        <w:fldChar w:fldCharType="end"/>
      </w:r>
      <w:bookmarkEnd w:id="41"/>
      <w:r>
        <w:t xml:space="preserve"> Australian first points of entry for vessels</w:t>
      </w:r>
      <w:bookmarkEnd w:id="42"/>
    </w:p>
    <w:p w14:paraId="356C5A64" w14:textId="77777777" w:rsidR="00AB0E44" w:rsidRDefault="00361FA3">
      <w:r>
        <w:rPr>
          <w:noProof/>
          <w:lang w:eastAsia="en-AU"/>
        </w:rPr>
        <w:drawing>
          <wp:inline distT="0" distB="0" distL="0" distR="0" wp14:anchorId="697AF199" wp14:editId="2945606C">
            <wp:extent cx="5871210" cy="4072255"/>
            <wp:effectExtent l="0" t="0" r="0" b="4445"/>
            <wp:docPr id="30" name="Picture 30" descr="Map of Australia showing all of the first points of entry for sea vessels: Albany, Ardrossan, Ball Bay– Norfolk Island, Bowen, Brisbane, Broome, Bunbury, Bundaberg, Burnie, Cairns, Carnarvon, Cascade Bay– Norfolk Island, Christmas Island, Cocos (Keeling) Islands, Coffs Harbour, Dampier, Darwin, Derby, Devonport, Eden, Esperance, Exmouth, Fremantle, Geelong, Geraldton, Gladstone, Hay Point, Hobart, Launceston, Lord Howe Island, Lucinda, Mackay, Melbourne, Melville Bay, Milner Bay, Mourilyan, Newcastle, Port Adelaide, Port Alama, Port Bonython, Port Giles, Port Hedland, Port Huon, Port Kembla, Port Kennedy, Port Latta, Port Lincoln, Port of Botany Bay, Port Pirie, Port Walcott, Portland, Spring Bay, Stanley, Sydney, Sydney Bay – Kingston, Thevenard, Townsville, Wallaroo, Weipa, Westernport, Whyalla, Wyndham, Y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1210" cy="4072255"/>
                    </a:xfrm>
                    <a:prstGeom prst="rect">
                      <a:avLst/>
                    </a:prstGeom>
                    <a:noFill/>
                  </pic:spPr>
                </pic:pic>
              </a:graphicData>
            </a:graphic>
          </wp:inline>
        </w:drawing>
      </w:r>
    </w:p>
    <w:p w14:paraId="18D48ADE" w14:textId="77777777" w:rsidR="00AB0E44" w:rsidRDefault="00361FA3">
      <w:pPr>
        <w:pStyle w:val="FigureTableNoteSource"/>
      </w:pPr>
      <w:r>
        <w:t>Source: Department of Agriculture and Water Resources</w:t>
      </w:r>
    </w:p>
    <w:p w14:paraId="0EFC279E" w14:textId="61A7295A" w:rsidR="00105D6F" w:rsidRDefault="00361FA3" w:rsidP="00F351BA">
      <w:pPr>
        <w:spacing w:before="360"/>
        <w:rPr>
          <w:lang w:eastAsia="ja-JP"/>
        </w:rPr>
      </w:pPr>
      <w:r>
        <w:rPr>
          <w:lang w:eastAsia="ja-JP"/>
        </w:rPr>
        <w:t xml:space="preserve">All masters of all ships </w:t>
      </w:r>
      <w:r w:rsidR="002F73CB">
        <w:rPr>
          <w:lang w:eastAsia="ja-JP"/>
        </w:rPr>
        <w:t xml:space="preserve">that </w:t>
      </w:r>
      <w:r w:rsidR="00105D6F">
        <w:rPr>
          <w:lang w:eastAsia="ja-JP"/>
        </w:rPr>
        <w:t xml:space="preserve">plan to </w:t>
      </w:r>
      <w:r w:rsidR="002F73CB">
        <w:rPr>
          <w:lang w:eastAsia="ja-JP"/>
        </w:rPr>
        <w:t xml:space="preserve">enter </w:t>
      </w:r>
      <w:r>
        <w:rPr>
          <w:lang w:eastAsia="ja-JP"/>
        </w:rPr>
        <w:t xml:space="preserve">Australia must provide a Pre-Arrival Report to the department </w:t>
      </w:r>
      <w:r w:rsidR="00777A4E">
        <w:rPr>
          <w:lang w:eastAsia="ja-JP"/>
        </w:rPr>
        <w:t>no more than</w:t>
      </w:r>
      <w:r>
        <w:rPr>
          <w:lang w:eastAsia="ja-JP"/>
        </w:rPr>
        <w:t xml:space="preserve"> 96 hours before arrival.</w:t>
      </w:r>
    </w:p>
    <w:p w14:paraId="2CE026A4" w14:textId="141AA9DA" w:rsidR="00AB0E44" w:rsidRDefault="003B2208" w:rsidP="008117C8">
      <w:pPr>
        <w:rPr>
          <w:lang w:eastAsia="ja-JP"/>
        </w:rPr>
      </w:pPr>
      <w:r>
        <w:rPr>
          <w:lang w:eastAsia="ja-JP"/>
        </w:rPr>
        <w:t>Each</w:t>
      </w:r>
      <w:r w:rsidR="00105D6F" w:rsidRPr="00634AC3">
        <w:rPr>
          <w:lang w:eastAsia="ja-JP"/>
        </w:rPr>
        <w:t xml:space="preserve"> ship </w:t>
      </w:r>
      <w:r w:rsidR="00361FA3" w:rsidRPr="00634AC3">
        <w:rPr>
          <w:lang w:eastAsia="ja-JP"/>
        </w:rPr>
        <w:t xml:space="preserve">commences </w:t>
      </w:r>
      <w:r w:rsidR="00105D6F" w:rsidRPr="00634AC3">
        <w:rPr>
          <w:lang w:eastAsia="ja-JP"/>
        </w:rPr>
        <w:t>its voyage</w:t>
      </w:r>
      <w:r w:rsidRPr="003B2208">
        <w:rPr>
          <w:lang w:eastAsia="ja-JP"/>
        </w:rPr>
        <w:t xml:space="preserve"> </w:t>
      </w:r>
      <w:r w:rsidRPr="00634AC3">
        <w:rPr>
          <w:lang w:eastAsia="ja-JP"/>
        </w:rPr>
        <w:t>into Australia from overseas</w:t>
      </w:r>
      <w:r w:rsidR="00105D6F" w:rsidRPr="00634AC3">
        <w:rPr>
          <w:lang w:eastAsia="ja-JP"/>
        </w:rPr>
        <w:t xml:space="preserve"> </w:t>
      </w:r>
      <w:r w:rsidR="00361FA3" w:rsidRPr="00634AC3">
        <w:rPr>
          <w:lang w:eastAsia="ja-JP"/>
        </w:rPr>
        <w:t xml:space="preserve">at </w:t>
      </w:r>
      <w:r>
        <w:rPr>
          <w:lang w:eastAsia="ja-JP"/>
        </w:rPr>
        <w:t xml:space="preserve">a </w:t>
      </w:r>
      <w:r w:rsidR="001841FA" w:rsidRPr="00634AC3">
        <w:rPr>
          <w:lang w:eastAsia="ja-JP"/>
        </w:rPr>
        <w:t xml:space="preserve">first point of </w:t>
      </w:r>
      <w:r w:rsidR="00361FA3" w:rsidRPr="00634AC3">
        <w:rPr>
          <w:lang w:eastAsia="ja-JP"/>
        </w:rPr>
        <w:t>entry</w:t>
      </w:r>
      <w:r w:rsidR="001841FA" w:rsidRPr="00634AC3">
        <w:rPr>
          <w:lang w:eastAsia="ja-JP"/>
        </w:rPr>
        <w:t>. The voyage</w:t>
      </w:r>
      <w:r w:rsidR="00361FA3" w:rsidRPr="00634AC3">
        <w:rPr>
          <w:lang w:eastAsia="ja-JP"/>
        </w:rPr>
        <w:t xml:space="preserve"> comprises one or more</w:t>
      </w:r>
      <w:r w:rsidR="00361FA3">
        <w:rPr>
          <w:lang w:eastAsia="ja-JP"/>
        </w:rPr>
        <w:t xml:space="preserve"> visits </w:t>
      </w:r>
      <w:r w:rsidR="001841FA">
        <w:rPr>
          <w:lang w:eastAsia="ja-JP"/>
        </w:rPr>
        <w:t xml:space="preserve">to other </w:t>
      </w:r>
      <w:r w:rsidR="00361FA3">
        <w:rPr>
          <w:lang w:eastAsia="ja-JP"/>
        </w:rPr>
        <w:t xml:space="preserve">Australian ports </w:t>
      </w:r>
      <w:r w:rsidR="001841FA">
        <w:rPr>
          <w:lang w:eastAsia="ja-JP"/>
        </w:rPr>
        <w:t>and continues through to</w:t>
      </w:r>
      <w:r w:rsidR="00105D6F">
        <w:rPr>
          <w:lang w:eastAsia="ja-JP"/>
        </w:rPr>
        <w:t xml:space="preserve"> the ship’s</w:t>
      </w:r>
      <w:r w:rsidR="001841FA">
        <w:rPr>
          <w:lang w:eastAsia="ja-JP"/>
        </w:rPr>
        <w:t xml:space="preserve"> departure. </w:t>
      </w:r>
      <w:r>
        <w:rPr>
          <w:lang w:eastAsia="ja-JP"/>
        </w:rPr>
        <w:t>Each inbound voyage</w:t>
      </w:r>
      <w:r w:rsidR="00361FA3">
        <w:rPr>
          <w:lang w:eastAsia="ja-JP"/>
        </w:rPr>
        <w:t xml:space="preserve"> is initially considered high risk until </w:t>
      </w:r>
      <w:r w:rsidR="00105D6F">
        <w:rPr>
          <w:lang w:eastAsia="ja-JP"/>
        </w:rPr>
        <w:t xml:space="preserve">a </w:t>
      </w:r>
      <w:r w:rsidR="00361FA3">
        <w:rPr>
          <w:lang w:eastAsia="ja-JP"/>
        </w:rPr>
        <w:t>risk</w:t>
      </w:r>
      <w:r w:rsidR="00105D6F">
        <w:rPr>
          <w:lang w:eastAsia="ja-JP"/>
        </w:rPr>
        <w:t xml:space="preserve"> </w:t>
      </w:r>
      <w:r w:rsidR="00361FA3">
        <w:rPr>
          <w:lang w:eastAsia="ja-JP"/>
        </w:rPr>
        <w:t>assess</w:t>
      </w:r>
      <w:r w:rsidR="00105D6F">
        <w:rPr>
          <w:lang w:eastAsia="ja-JP"/>
        </w:rPr>
        <w:t>ment of the vessel</w:t>
      </w:r>
      <w:r w:rsidR="00634AC3">
        <w:rPr>
          <w:lang w:eastAsia="ja-JP"/>
        </w:rPr>
        <w:t xml:space="preserve"> has been completed</w:t>
      </w:r>
      <w:r w:rsidR="00105D6F">
        <w:rPr>
          <w:lang w:eastAsia="ja-JP"/>
        </w:rPr>
        <w:t>. The assessment is</w:t>
      </w:r>
      <w:r w:rsidR="00361FA3">
        <w:rPr>
          <w:lang w:eastAsia="ja-JP"/>
        </w:rPr>
        <w:t xml:space="preserve"> based on its last port of call, its master’s past biosecurity compliance history and the information in the </w:t>
      </w:r>
      <w:r w:rsidR="00706079">
        <w:rPr>
          <w:lang w:eastAsia="ja-JP"/>
        </w:rPr>
        <w:t xml:space="preserve">Pre-Arrival Report </w:t>
      </w:r>
      <w:r w:rsidR="00361FA3">
        <w:rPr>
          <w:lang w:eastAsia="ja-JP"/>
        </w:rPr>
        <w:t>from the vessel’s master or agent. Based on this risk assessment, the ship is directed for various types of inspection, treatment and certification services as needed. Inspections may be:</w:t>
      </w:r>
    </w:p>
    <w:p w14:paraId="2E3719B3" w14:textId="77777777" w:rsidR="00AB0E44" w:rsidRDefault="00361FA3">
      <w:pPr>
        <w:pStyle w:val="ListBullet"/>
      </w:pPr>
      <w:r>
        <w:t>routine vessel inspections which include the inspection of all galleys, pantries, provision stores and some cabins, management of the vessel’s waste facilities, ballast water verification, and any other areas deemed appropriate by the biosecurity officer</w:t>
      </w:r>
    </w:p>
    <w:p w14:paraId="12E1C3BE" w14:textId="70E34906" w:rsidR="00AB0E44" w:rsidRDefault="00361FA3">
      <w:pPr>
        <w:pStyle w:val="ListBullet"/>
      </w:pPr>
      <w:r>
        <w:t>ship sanitation certification to certify that, at the time of inspection, there are no signs of rodent or mosquito vectors or reservoirs and no further measures are required</w:t>
      </w:r>
    </w:p>
    <w:p w14:paraId="7A1F1015" w14:textId="57FD25C5" w:rsidR="00AB0E44" w:rsidRDefault="00361FA3">
      <w:pPr>
        <w:pStyle w:val="ListBullet"/>
      </w:pPr>
      <w:proofErr w:type="gramStart"/>
      <w:r>
        <w:t>seasonal</w:t>
      </w:r>
      <w:proofErr w:type="gramEnd"/>
      <w:r>
        <w:t xml:space="preserve"> pest inspections for the presence of a seasonal pest on vessels</w:t>
      </w:r>
      <w:r w:rsidR="00105D6F">
        <w:t>. S</w:t>
      </w:r>
      <w:r>
        <w:t xml:space="preserve">easonal pest risk </w:t>
      </w:r>
      <w:r w:rsidR="00105D6F">
        <w:t xml:space="preserve">is </w:t>
      </w:r>
      <w:r w:rsidR="00BD65A4">
        <w:t xml:space="preserve">assessed </w:t>
      </w:r>
      <w:r>
        <w:t xml:space="preserve">based on </w:t>
      </w:r>
      <w:r w:rsidR="00BD65A4">
        <w:t xml:space="preserve">the vessel’s </w:t>
      </w:r>
      <w:r>
        <w:t xml:space="preserve">previous ports or pre-arrival information. </w:t>
      </w:r>
      <w:r w:rsidR="00105D6F">
        <w:t>F</w:t>
      </w:r>
      <w:r>
        <w:t xml:space="preserve">our separate inspections </w:t>
      </w:r>
      <w:r w:rsidR="00105D6F">
        <w:t>are carried out</w:t>
      </w:r>
      <w:r w:rsidR="00BD65A4">
        <w:t xml:space="preserve"> for </w:t>
      </w:r>
      <w:r>
        <w:t xml:space="preserve">brown marmorated stink bug, Asian gypsy moth for vessels visiting far-east Russian ports, Asian gypsy moth for other areas, and burnt pine longicorn. For example, </w:t>
      </w:r>
      <w:r w:rsidRPr="00BD65A4">
        <w:t xml:space="preserve">the Asian gypsy moth flight season is between January and May each year. Vessels that have visited an overseas port </w:t>
      </w:r>
      <w:r w:rsidR="00BD65A4" w:rsidRPr="00BD65A4">
        <w:t>with Asian</w:t>
      </w:r>
      <w:r w:rsidR="00BD65A4">
        <w:t xml:space="preserve"> gypsy moth risk </w:t>
      </w:r>
      <w:r>
        <w:t>in the target period could be subject to targeted inspection on arrival at the first port</w:t>
      </w:r>
    </w:p>
    <w:p w14:paraId="14B90173" w14:textId="599F6C97" w:rsidR="00AB0E44" w:rsidRDefault="00361FA3">
      <w:pPr>
        <w:pStyle w:val="ListBullet"/>
      </w:pPr>
      <w:proofErr w:type="gramStart"/>
      <w:r>
        <w:t>other</w:t>
      </w:r>
      <w:proofErr w:type="gramEnd"/>
      <w:r>
        <w:t xml:space="preserve"> inspections include those for international crew changes, waste surveillance, landed goods not considered cargo, livestock carrier vessels, ballast water, human health, coastal strip of all biosecurity risk materials, cruise ship passenger day-trippers, general surveillance, and follow</w:t>
      </w:r>
      <w:r w:rsidR="00105D6F">
        <w:t>-</w:t>
      </w:r>
      <w:r>
        <w:t>up and verification of compliance with former directions.</w:t>
      </w:r>
    </w:p>
    <w:p w14:paraId="18794A28" w14:textId="22AD396E" w:rsidR="00AB0E44" w:rsidRDefault="00361FA3">
      <w:pPr>
        <w:spacing w:after="0"/>
        <w:rPr>
          <w:lang w:eastAsia="x-none" w:bidi="hi-IN"/>
        </w:rPr>
      </w:pPr>
      <w:r>
        <w:rPr>
          <w:lang w:eastAsia="x-none" w:bidi="hi-IN"/>
        </w:rPr>
        <w:t xml:space="preserve">Treatments are ordered to deal with specific problems </w:t>
      </w:r>
      <w:r w:rsidR="00BD65A4">
        <w:rPr>
          <w:lang w:eastAsia="x-none" w:bidi="hi-IN"/>
        </w:rPr>
        <w:t xml:space="preserve">that have been </w:t>
      </w:r>
      <w:r>
        <w:rPr>
          <w:lang w:eastAsia="x-none" w:bidi="hi-IN"/>
        </w:rPr>
        <w:t>found</w:t>
      </w:r>
      <w:r w:rsidR="00BD65A4">
        <w:rPr>
          <w:lang w:eastAsia="x-none" w:bidi="hi-IN"/>
        </w:rPr>
        <w:t>.</w:t>
      </w:r>
      <w:r>
        <w:rPr>
          <w:lang w:eastAsia="x-none" w:bidi="hi-IN"/>
        </w:rPr>
        <w:t xml:space="preserve"> For example, beehives or Asian gypsy moth egg masses may be sprayed and removed; food storage areas </w:t>
      </w:r>
      <w:r w:rsidR="00BD65A4">
        <w:rPr>
          <w:lang w:eastAsia="x-none" w:bidi="hi-IN"/>
        </w:rPr>
        <w:t xml:space="preserve">may be </w:t>
      </w:r>
      <w:r>
        <w:rPr>
          <w:lang w:eastAsia="x-none" w:bidi="hi-IN"/>
        </w:rPr>
        <w:t xml:space="preserve">cleaned thoroughly after rodent droppings have been found; or specific cargo </w:t>
      </w:r>
      <w:r w:rsidR="00BD65A4">
        <w:rPr>
          <w:lang w:eastAsia="x-none" w:bidi="hi-IN"/>
        </w:rPr>
        <w:t xml:space="preserve">may be </w:t>
      </w:r>
      <w:r>
        <w:rPr>
          <w:lang w:eastAsia="x-none" w:bidi="hi-IN"/>
        </w:rPr>
        <w:t>fumigated while the vessel remains offshore after brown marmorated stink bugs have been detected.</w:t>
      </w:r>
      <w:r w:rsidR="00BD65A4">
        <w:rPr>
          <w:lang w:eastAsia="x-none" w:bidi="hi-IN"/>
        </w:rPr>
        <w:t xml:space="preserve"> If needed, further inspections are made to determine whether the treatments have been successful.</w:t>
      </w:r>
    </w:p>
    <w:p w14:paraId="001EAEE9" w14:textId="50B1B129" w:rsidR="00AB0E44" w:rsidRDefault="00361FA3">
      <w:pPr>
        <w:rPr>
          <w:lang w:eastAsia="ja-JP"/>
        </w:rPr>
      </w:pPr>
      <w:r w:rsidRPr="00D27AEE">
        <w:rPr>
          <w:b/>
          <w:lang w:eastAsia="ja-JP"/>
        </w:rPr>
        <w:t>Non-commercial vessels</w:t>
      </w:r>
      <w:r w:rsidR="00105D6F" w:rsidRPr="00936C23">
        <w:rPr>
          <w:lang w:eastAsia="ja-JP"/>
        </w:rPr>
        <w:t>,</w:t>
      </w:r>
      <w:r w:rsidRPr="00BD65A4">
        <w:rPr>
          <w:lang w:eastAsia="ja-JP"/>
        </w:rPr>
        <w:t xml:space="preserve"> such</w:t>
      </w:r>
      <w:r>
        <w:rPr>
          <w:lang w:eastAsia="ja-JP"/>
        </w:rPr>
        <w:t xml:space="preserve"> as yachts and super yachts</w:t>
      </w:r>
      <w:r w:rsidR="000B114E">
        <w:rPr>
          <w:lang w:eastAsia="ja-JP"/>
        </w:rPr>
        <w:t xml:space="preserve"> </w:t>
      </w:r>
      <w:r w:rsidR="00105D6F">
        <w:rPr>
          <w:lang w:eastAsia="ja-JP"/>
        </w:rPr>
        <w:t>intend</w:t>
      </w:r>
      <w:r w:rsidR="000B114E">
        <w:rPr>
          <w:lang w:eastAsia="ja-JP"/>
        </w:rPr>
        <w:t>ing</w:t>
      </w:r>
      <w:r w:rsidR="00105D6F">
        <w:rPr>
          <w:lang w:eastAsia="ja-JP"/>
        </w:rPr>
        <w:t xml:space="preserve"> to visit Australia</w:t>
      </w:r>
      <w:r w:rsidR="000B114E">
        <w:rPr>
          <w:lang w:eastAsia="ja-JP"/>
        </w:rPr>
        <w:t>,</w:t>
      </w:r>
      <w:r w:rsidR="00105D6F">
        <w:rPr>
          <w:lang w:eastAsia="ja-JP"/>
        </w:rPr>
        <w:t xml:space="preserve"> </w:t>
      </w:r>
      <w:r>
        <w:rPr>
          <w:lang w:eastAsia="ja-JP"/>
        </w:rPr>
        <w:t xml:space="preserve">must also </w:t>
      </w:r>
      <w:r w:rsidRPr="00BD65A4">
        <w:rPr>
          <w:lang w:eastAsia="ja-JP"/>
        </w:rPr>
        <w:t>report their pending arrival</w:t>
      </w:r>
      <w:r>
        <w:rPr>
          <w:lang w:eastAsia="ja-JP"/>
        </w:rPr>
        <w:t xml:space="preserve"> to the department at a designated first point of entry (Map 1)</w:t>
      </w:r>
      <w:r w:rsidR="00105D6F">
        <w:rPr>
          <w:lang w:eastAsia="ja-JP"/>
        </w:rPr>
        <w:t>.</w:t>
      </w:r>
      <w:r>
        <w:rPr>
          <w:lang w:eastAsia="ja-JP"/>
        </w:rPr>
        <w:t xml:space="preserve"> </w:t>
      </w:r>
      <w:r w:rsidR="00105D6F">
        <w:rPr>
          <w:lang w:eastAsia="ja-JP"/>
        </w:rPr>
        <w:t>When these vessels arrive, a biosecurity officer</w:t>
      </w:r>
      <w:r>
        <w:rPr>
          <w:lang w:eastAsia="ja-JP"/>
        </w:rPr>
        <w:t xml:space="preserve"> physical</w:t>
      </w:r>
      <w:r w:rsidR="000B114E">
        <w:rPr>
          <w:lang w:eastAsia="ja-JP"/>
        </w:rPr>
        <w:t>ly</w:t>
      </w:r>
      <w:r>
        <w:rPr>
          <w:lang w:eastAsia="ja-JP"/>
        </w:rPr>
        <w:t xml:space="preserve"> inspect</w:t>
      </w:r>
      <w:r w:rsidR="000B114E">
        <w:rPr>
          <w:lang w:eastAsia="ja-JP"/>
        </w:rPr>
        <w:t>s</w:t>
      </w:r>
      <w:r>
        <w:rPr>
          <w:lang w:eastAsia="ja-JP"/>
        </w:rPr>
        <w:t xml:space="preserve"> the vessel</w:t>
      </w:r>
      <w:r w:rsidR="000B114E">
        <w:rPr>
          <w:lang w:eastAsia="ja-JP"/>
        </w:rPr>
        <w:t>, checking</w:t>
      </w:r>
      <w:r>
        <w:rPr>
          <w:lang w:eastAsia="ja-JP"/>
        </w:rPr>
        <w:t xml:space="preserve"> the health of people on board, personal effects, timber components, kitchen facilities, store rooms, water containers and the hull. If there are no biosecurity concerns</w:t>
      </w:r>
      <w:r w:rsidR="00105D6F">
        <w:rPr>
          <w:lang w:eastAsia="ja-JP"/>
        </w:rPr>
        <w:t>,</w:t>
      </w:r>
      <w:r>
        <w:rPr>
          <w:lang w:eastAsia="ja-JP"/>
        </w:rPr>
        <w:t xml:space="preserve"> the vessel and passengers are released</w:t>
      </w:r>
      <w:r w:rsidR="00105D6F">
        <w:rPr>
          <w:lang w:eastAsia="ja-JP"/>
        </w:rPr>
        <w:t>.</w:t>
      </w:r>
      <w:r>
        <w:rPr>
          <w:lang w:eastAsia="ja-JP"/>
        </w:rPr>
        <w:t xml:space="preserve"> </w:t>
      </w:r>
      <w:r w:rsidR="00105D6F">
        <w:rPr>
          <w:lang w:eastAsia="ja-JP"/>
        </w:rPr>
        <w:t xml:space="preserve">If there are biosecurity concerns, </w:t>
      </w:r>
      <w:r>
        <w:rPr>
          <w:lang w:eastAsia="ja-JP"/>
        </w:rPr>
        <w:t>the owner must undertake certain directions or treatments to address the concern. In 2017</w:t>
      </w:r>
      <w:r w:rsidR="00A7303D">
        <w:rPr>
          <w:lang w:eastAsia="ja-JP"/>
        </w:rPr>
        <w:t>,</w:t>
      </w:r>
      <w:r>
        <w:rPr>
          <w:lang w:eastAsia="ja-JP"/>
        </w:rPr>
        <w:t xml:space="preserve"> 612 non-commercial vessels visited Australia</w:t>
      </w:r>
      <w:r w:rsidR="00BD65A4">
        <w:rPr>
          <w:lang w:eastAsia="ja-JP"/>
        </w:rPr>
        <w:t>,</w:t>
      </w:r>
      <w:r w:rsidR="00105D6F">
        <w:rPr>
          <w:lang w:eastAsia="ja-JP"/>
        </w:rPr>
        <w:t xml:space="preserve"> </w:t>
      </w:r>
      <w:r>
        <w:rPr>
          <w:lang w:eastAsia="ja-JP"/>
        </w:rPr>
        <w:t xml:space="preserve">739 inspections </w:t>
      </w:r>
      <w:r w:rsidR="00BD65A4">
        <w:rPr>
          <w:lang w:eastAsia="ja-JP"/>
        </w:rPr>
        <w:t xml:space="preserve">were </w:t>
      </w:r>
      <w:r>
        <w:rPr>
          <w:lang w:eastAsia="ja-JP"/>
        </w:rPr>
        <w:t>conducted</w:t>
      </w:r>
      <w:r w:rsidR="00105D6F">
        <w:rPr>
          <w:lang w:eastAsia="ja-JP"/>
        </w:rPr>
        <w:t xml:space="preserve"> w</w:t>
      </w:r>
      <w:r w:rsidR="000B114E">
        <w:rPr>
          <w:lang w:eastAsia="ja-JP"/>
        </w:rPr>
        <w:t>ith</w:t>
      </w:r>
      <w:r w:rsidR="00105D6F">
        <w:rPr>
          <w:lang w:eastAsia="ja-JP"/>
        </w:rPr>
        <w:t xml:space="preserve"> </w:t>
      </w:r>
      <w:r>
        <w:rPr>
          <w:lang w:eastAsia="ja-JP"/>
        </w:rPr>
        <w:t>only nine failures. A yacht can undergo several inspections per voyage, including routine vessel, sanitation, coastal strip and crew change.</w:t>
      </w:r>
    </w:p>
    <w:p w14:paraId="3428D3F9" w14:textId="24162DA7" w:rsidR="00AB0E44" w:rsidRDefault="00361FA3">
      <w:pPr>
        <w:pStyle w:val="Heading3"/>
        <w:rPr>
          <w:rFonts w:eastAsia="Calibri"/>
        </w:rPr>
      </w:pPr>
      <w:bookmarkStart w:id="43" w:name="_Toc521069540"/>
      <w:r>
        <w:t>Maritime Arrivals Reporting System</w:t>
      </w:r>
      <w:bookmarkEnd w:id="43"/>
    </w:p>
    <w:p w14:paraId="752C9D08" w14:textId="4BE6570C" w:rsidR="00105D6F" w:rsidRDefault="00361FA3">
      <w:pPr>
        <w:rPr>
          <w:lang w:eastAsia="ja-JP"/>
        </w:rPr>
      </w:pPr>
      <w:r w:rsidRPr="00D27AEE">
        <w:rPr>
          <w:b/>
          <w:lang w:eastAsia="ja-JP"/>
        </w:rPr>
        <w:t>Commercial vessels</w:t>
      </w:r>
      <w:r>
        <w:rPr>
          <w:lang w:eastAsia="ja-JP"/>
        </w:rPr>
        <w:t xml:space="preserve"> includ</w:t>
      </w:r>
      <w:r w:rsidR="00BD65A4">
        <w:rPr>
          <w:lang w:eastAsia="ja-JP"/>
        </w:rPr>
        <w:t>e</w:t>
      </w:r>
      <w:r>
        <w:rPr>
          <w:lang w:eastAsia="ja-JP"/>
        </w:rPr>
        <w:t xml:space="preserve"> bulk carriers, cruise vessels, tankers, container vessels and roll-on roll-off (Ro-Ro) cargo</w:t>
      </w:r>
      <w:r w:rsidR="00105D6F">
        <w:rPr>
          <w:lang w:eastAsia="ja-JP"/>
        </w:rPr>
        <w:t>.</w:t>
      </w:r>
      <w:r>
        <w:rPr>
          <w:lang w:eastAsia="ja-JP"/>
        </w:rPr>
        <w:t xml:space="preserve"> </w:t>
      </w:r>
      <w:r w:rsidR="00105D6F">
        <w:rPr>
          <w:lang w:eastAsia="ja-JP"/>
        </w:rPr>
        <w:t xml:space="preserve">Most </w:t>
      </w:r>
      <w:r>
        <w:rPr>
          <w:lang w:eastAsia="ja-JP"/>
        </w:rPr>
        <w:t xml:space="preserve">vessels </w:t>
      </w:r>
      <w:r w:rsidR="00105D6F">
        <w:rPr>
          <w:lang w:eastAsia="ja-JP"/>
        </w:rPr>
        <w:t>that arrive</w:t>
      </w:r>
      <w:r>
        <w:rPr>
          <w:lang w:eastAsia="ja-JP"/>
        </w:rPr>
        <w:t xml:space="preserve"> in Australia</w:t>
      </w:r>
      <w:r w:rsidR="00105D6F">
        <w:rPr>
          <w:lang w:eastAsia="ja-JP"/>
        </w:rPr>
        <w:t xml:space="preserve"> are commercial vessels</w:t>
      </w:r>
      <w:r>
        <w:rPr>
          <w:lang w:eastAsia="ja-JP"/>
        </w:rPr>
        <w:t>.</w:t>
      </w:r>
      <w:r w:rsidR="00F66F17">
        <w:rPr>
          <w:lang w:eastAsia="ja-JP"/>
        </w:rPr>
        <w:t xml:space="preserve"> </w:t>
      </w:r>
      <w:r w:rsidR="00105D6F">
        <w:rPr>
          <w:lang w:eastAsia="ja-JP"/>
        </w:rPr>
        <w:t xml:space="preserve">Commercial vessel </w:t>
      </w:r>
      <w:r>
        <w:rPr>
          <w:lang w:eastAsia="ja-JP"/>
        </w:rPr>
        <w:t>biosecurity risks are managed through the Maritime Arrivals Reporting System (MARS</w:t>
      </w:r>
      <w:r w:rsidR="00105D6F">
        <w:rPr>
          <w:lang w:eastAsia="ja-JP"/>
        </w:rPr>
        <w:t>)</w:t>
      </w:r>
      <w:r w:rsidR="00F66F17">
        <w:rPr>
          <w:lang w:eastAsia="ja-JP"/>
        </w:rPr>
        <w:t xml:space="preserve"> </w:t>
      </w:r>
      <w:r w:rsidR="00105D6F">
        <w:rPr>
          <w:lang w:eastAsia="ja-JP"/>
        </w:rPr>
        <w:t>—</w:t>
      </w:r>
      <w:r>
        <w:rPr>
          <w:lang w:eastAsia="ja-JP"/>
        </w:rPr>
        <w:t xml:space="preserve">an online web portal </w:t>
      </w:r>
      <w:r w:rsidR="00105D6F">
        <w:rPr>
          <w:lang w:eastAsia="ja-JP"/>
        </w:rPr>
        <w:t xml:space="preserve">that allows </w:t>
      </w:r>
      <w:r>
        <w:rPr>
          <w:lang w:eastAsia="ja-JP"/>
        </w:rPr>
        <w:t>the department’s biosecurity officers to communicate directly with ship</w:t>
      </w:r>
      <w:r w:rsidR="00105D6F">
        <w:rPr>
          <w:lang w:eastAsia="ja-JP"/>
        </w:rPr>
        <w:t>’</w:t>
      </w:r>
      <w:r>
        <w:rPr>
          <w:lang w:eastAsia="ja-JP"/>
        </w:rPr>
        <w:t>s masters, shipping agents and companies, and other stakeholders.</w:t>
      </w:r>
    </w:p>
    <w:p w14:paraId="1D58BB32" w14:textId="0F0B4E24" w:rsidR="00AB0E44" w:rsidRDefault="00105D6F">
      <w:pPr>
        <w:rPr>
          <w:lang w:eastAsia="ja-JP"/>
        </w:rPr>
      </w:pPr>
      <w:r>
        <w:rPr>
          <w:lang w:eastAsia="ja-JP"/>
        </w:rPr>
        <w:t xml:space="preserve">MARS </w:t>
      </w:r>
      <w:r w:rsidR="00361FA3">
        <w:rPr>
          <w:lang w:eastAsia="ja-JP"/>
        </w:rPr>
        <w:t>is administered through the Maritime National Coordination Centre (MNCC) in Adelaide. It provides greater transparency for shipping operators, masters and agents about biosecurity requirements and consequences of non-compliance</w:t>
      </w:r>
      <w:r w:rsidR="00357A9F">
        <w:rPr>
          <w:lang w:eastAsia="ja-JP"/>
        </w:rPr>
        <w:t>.</w:t>
      </w:r>
      <w:r w:rsidR="00361FA3">
        <w:rPr>
          <w:lang w:eastAsia="ja-JP"/>
        </w:rPr>
        <w:t xml:space="preserve"> </w:t>
      </w:r>
      <w:r w:rsidR="00406BEE">
        <w:rPr>
          <w:lang w:eastAsia="ja-JP"/>
        </w:rPr>
        <w:t>Users can go</w:t>
      </w:r>
      <w:r w:rsidR="00357A9F">
        <w:rPr>
          <w:lang w:eastAsia="ja-JP"/>
        </w:rPr>
        <w:t xml:space="preserve"> </w:t>
      </w:r>
      <w:r w:rsidR="00361FA3">
        <w:rPr>
          <w:lang w:eastAsia="ja-JP"/>
        </w:rPr>
        <w:t>online to:</w:t>
      </w:r>
    </w:p>
    <w:p w14:paraId="701236D1" w14:textId="5D888992" w:rsidR="00AB0E44" w:rsidRDefault="00361FA3">
      <w:pPr>
        <w:pStyle w:val="ListBullet"/>
      </w:pPr>
      <w:r>
        <w:t>submit required pre-arrival information about the biosecurity status of a vessel</w:t>
      </w:r>
    </w:p>
    <w:p w14:paraId="05CDDEF9" w14:textId="5A129861" w:rsidR="00AB0E44" w:rsidRDefault="00361FA3">
      <w:pPr>
        <w:pStyle w:val="ListBullet"/>
      </w:pPr>
      <w:r>
        <w:t>request departmental services such as ship sanitation certification</w:t>
      </w:r>
    </w:p>
    <w:p w14:paraId="45EFB16D" w14:textId="5B9DB8BA" w:rsidR="00AB0E44" w:rsidRDefault="00361FA3">
      <w:pPr>
        <w:pStyle w:val="ListBullet"/>
      </w:pPr>
      <w:r>
        <w:t>view risk assessments, directions, inspection findings, certificates and compliance outcomes after the vessel is inspected, as entered online by biosecurity officers</w:t>
      </w:r>
      <w:r w:rsidR="00F66F17">
        <w:t>, and</w:t>
      </w:r>
    </w:p>
    <w:p w14:paraId="17767A91" w14:textId="77777777" w:rsidR="00AB0E44" w:rsidRDefault="00361FA3">
      <w:pPr>
        <w:pStyle w:val="ListBullet"/>
      </w:pPr>
      <w:proofErr w:type="gramStart"/>
      <w:r>
        <w:t>see</w:t>
      </w:r>
      <w:proofErr w:type="gramEnd"/>
      <w:r>
        <w:t xml:space="preserve"> a summary of charges.</w:t>
      </w:r>
    </w:p>
    <w:p w14:paraId="170BF209" w14:textId="364731F0" w:rsidR="00406BEE" w:rsidRDefault="00406BEE">
      <w:pPr>
        <w:spacing w:after="0"/>
        <w:rPr>
          <w:lang w:eastAsia="ja-JP"/>
        </w:rPr>
      </w:pPr>
      <w:r>
        <w:rPr>
          <w:lang w:eastAsia="ja-JP"/>
        </w:rPr>
        <w:t>T</w:t>
      </w:r>
      <w:r w:rsidR="00357A9F">
        <w:rPr>
          <w:lang w:eastAsia="ja-JP"/>
        </w:rPr>
        <w:t xml:space="preserve">he department </w:t>
      </w:r>
      <w:r w:rsidR="00F66F17">
        <w:rPr>
          <w:lang w:eastAsia="ja-JP"/>
        </w:rPr>
        <w:t>fully implemented</w:t>
      </w:r>
      <w:r w:rsidR="00357A9F">
        <w:rPr>
          <w:lang w:eastAsia="ja-JP"/>
        </w:rPr>
        <w:t xml:space="preserve"> MARS </w:t>
      </w:r>
      <w:r w:rsidR="00F66F17">
        <w:rPr>
          <w:lang w:eastAsia="ja-JP"/>
        </w:rPr>
        <w:t xml:space="preserve">from 2017 </w:t>
      </w:r>
      <w:r>
        <w:rPr>
          <w:lang w:eastAsia="ja-JP"/>
        </w:rPr>
        <w:t>after piloting and extensive user consultation</w:t>
      </w:r>
      <w:r w:rsidR="00F66F17">
        <w:rPr>
          <w:lang w:eastAsia="ja-JP"/>
        </w:rPr>
        <w:t xml:space="preserve"> in 2016</w:t>
      </w:r>
      <w:r w:rsidR="00791CD5">
        <w:rPr>
          <w:lang w:eastAsia="ja-JP"/>
        </w:rPr>
        <w:t>, replacing</w:t>
      </w:r>
      <w:r>
        <w:rPr>
          <w:lang w:eastAsia="ja-JP"/>
        </w:rPr>
        <w:t xml:space="preserve"> the department’s Vessel Monitoring System (VMS).</w:t>
      </w:r>
    </w:p>
    <w:p w14:paraId="3748C998" w14:textId="63C69FE4" w:rsidR="00AB0E44" w:rsidRDefault="00357A9F">
      <w:pPr>
        <w:spacing w:after="0"/>
        <w:rPr>
          <w:lang w:eastAsia="ja-JP"/>
        </w:rPr>
      </w:pPr>
      <w:r>
        <w:rPr>
          <w:lang w:eastAsia="ja-JP"/>
        </w:rPr>
        <w:t>MARS has significantly improved coverage of shipping biosecurity risk management</w:t>
      </w:r>
      <w:r w:rsidR="00361FA3">
        <w:rPr>
          <w:lang w:eastAsia="ja-JP"/>
        </w:rPr>
        <w:t xml:space="preserve">. </w:t>
      </w:r>
      <w:r w:rsidR="00406BEE">
        <w:rPr>
          <w:lang w:eastAsia="ja-JP"/>
        </w:rPr>
        <w:t xml:space="preserve">It </w:t>
      </w:r>
      <w:r>
        <w:rPr>
          <w:lang w:eastAsia="ja-JP"/>
        </w:rPr>
        <w:t>has greater data capture capabilities</w:t>
      </w:r>
      <w:r w:rsidR="00406BEE">
        <w:rPr>
          <w:lang w:eastAsia="ja-JP"/>
        </w:rPr>
        <w:t xml:space="preserve"> than VMS</w:t>
      </w:r>
      <w:r>
        <w:rPr>
          <w:lang w:eastAsia="ja-JP"/>
        </w:rPr>
        <w:t xml:space="preserve">, which </w:t>
      </w:r>
      <w:r w:rsidR="00406BEE">
        <w:rPr>
          <w:lang w:eastAsia="ja-JP"/>
        </w:rPr>
        <w:t xml:space="preserve">has </w:t>
      </w:r>
      <w:r>
        <w:rPr>
          <w:lang w:eastAsia="ja-JP"/>
        </w:rPr>
        <w:t>meant that t</w:t>
      </w:r>
      <w:r w:rsidR="00361FA3">
        <w:rPr>
          <w:lang w:eastAsia="ja-JP"/>
        </w:rPr>
        <w:t>he number of daily recorded vessel visits monitored jumped significantly as the department transitioned from VMS to MARS (</w:t>
      </w:r>
      <w:r w:rsidR="00361FA3">
        <w:rPr>
          <w:lang w:eastAsia="ja-JP"/>
        </w:rPr>
        <w:fldChar w:fldCharType="begin"/>
      </w:r>
      <w:r w:rsidR="00361FA3">
        <w:rPr>
          <w:lang w:eastAsia="ja-JP"/>
        </w:rPr>
        <w:instrText xml:space="preserve"> REF _Ref514138409 \h </w:instrText>
      </w:r>
      <w:r w:rsidR="00361FA3">
        <w:rPr>
          <w:lang w:eastAsia="ja-JP"/>
        </w:rPr>
      </w:r>
      <w:r w:rsidR="00361FA3">
        <w:rPr>
          <w:lang w:eastAsia="ja-JP"/>
        </w:rPr>
        <w:fldChar w:fldCharType="separate"/>
      </w:r>
      <w:r w:rsidR="007F78D8">
        <w:t xml:space="preserve">Figure </w:t>
      </w:r>
      <w:r w:rsidR="007F78D8">
        <w:rPr>
          <w:noProof/>
        </w:rPr>
        <w:t>2</w:t>
      </w:r>
      <w:r w:rsidR="00361FA3">
        <w:rPr>
          <w:lang w:eastAsia="ja-JP"/>
        </w:rPr>
        <w:fldChar w:fldCharType="end"/>
      </w:r>
      <w:r w:rsidR="00361FA3">
        <w:rPr>
          <w:lang w:eastAsia="ja-JP"/>
        </w:rPr>
        <w:t xml:space="preserve">). </w:t>
      </w:r>
      <w:r w:rsidR="00406BEE">
        <w:rPr>
          <w:lang w:eastAsia="ja-JP"/>
        </w:rPr>
        <w:t xml:space="preserve">Also, </w:t>
      </w:r>
      <w:r w:rsidR="00361FA3">
        <w:rPr>
          <w:lang w:eastAsia="ja-JP"/>
        </w:rPr>
        <w:t>MARS records a vessel’s entire itinerary, including all port visits, whereas VMS only recorded a visit to an Australian port if the vessel was inspected.</w:t>
      </w:r>
    </w:p>
    <w:p w14:paraId="7E6A998B" w14:textId="77777777" w:rsidR="00AB0E44" w:rsidRDefault="00361FA3">
      <w:pPr>
        <w:pStyle w:val="Caption"/>
        <w:rPr>
          <w:lang w:eastAsia="ja-JP"/>
        </w:rPr>
      </w:pPr>
      <w:bookmarkStart w:id="44" w:name="_Ref514138409"/>
      <w:bookmarkStart w:id="45" w:name="_Toc521069572"/>
      <w:r>
        <w:t xml:space="preserve">Figure </w:t>
      </w:r>
      <w:r w:rsidR="00F21B3D">
        <w:rPr>
          <w:noProof/>
        </w:rPr>
        <w:fldChar w:fldCharType="begin"/>
      </w:r>
      <w:r w:rsidR="00F21B3D">
        <w:rPr>
          <w:noProof/>
        </w:rPr>
        <w:instrText xml:space="preserve"> SEQ Figure \* ARABIC </w:instrText>
      </w:r>
      <w:r w:rsidR="00F21B3D">
        <w:rPr>
          <w:noProof/>
        </w:rPr>
        <w:fldChar w:fldCharType="separate"/>
      </w:r>
      <w:r w:rsidR="007F78D8">
        <w:rPr>
          <w:noProof/>
        </w:rPr>
        <w:t>2</w:t>
      </w:r>
      <w:r w:rsidR="00F21B3D">
        <w:rPr>
          <w:noProof/>
        </w:rPr>
        <w:fldChar w:fldCharType="end"/>
      </w:r>
      <w:bookmarkEnd w:id="44"/>
      <w:r>
        <w:t xml:space="preserve"> Daily vessel visits recorded from 1 January 2016 to 13 April 2017</w:t>
      </w:r>
      <w:bookmarkEnd w:id="45"/>
    </w:p>
    <w:p w14:paraId="5A9154B8" w14:textId="77777777" w:rsidR="00AB0E44" w:rsidRDefault="00361FA3">
      <w:r>
        <w:rPr>
          <w:noProof/>
          <w:lang w:eastAsia="en-AU"/>
        </w:rPr>
        <w:drawing>
          <wp:inline distT="0" distB="0" distL="0" distR="0" wp14:anchorId="2F9E10EB" wp14:editId="2BEA4685">
            <wp:extent cx="4601260" cy="2307597"/>
            <wp:effectExtent l="0" t="0" r="8890" b="0"/>
            <wp:docPr id="13" name="Picture 13" descr="This graph shows the increase in number of daily vessel visits recorded in the department's Vessel Monitoring System as it was replaced by the Maritime Arrivals Reporting System in lat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6792" cy="2315387"/>
                    </a:xfrm>
                    <a:prstGeom prst="rect">
                      <a:avLst/>
                    </a:prstGeom>
                    <a:noFill/>
                  </pic:spPr>
                </pic:pic>
              </a:graphicData>
            </a:graphic>
          </wp:inline>
        </w:drawing>
      </w:r>
    </w:p>
    <w:p w14:paraId="146BEDFD" w14:textId="55F0DFDE" w:rsidR="00AB0E44" w:rsidRDefault="00361FA3">
      <w:pPr>
        <w:pStyle w:val="FigureTableNoteSource"/>
        <w:rPr>
          <w:lang w:eastAsia="ja-JP"/>
        </w:rPr>
      </w:pPr>
      <w:r>
        <w:rPr>
          <w:lang w:eastAsia="ja-JP"/>
        </w:rPr>
        <w:t>Source: Department of Agriculture and Water Resources</w:t>
      </w:r>
    </w:p>
    <w:p w14:paraId="0B95BFE8" w14:textId="3A26CD18" w:rsidR="00AB0E44" w:rsidRDefault="00361FA3">
      <w:pPr>
        <w:spacing w:before="360"/>
        <w:rPr>
          <w:lang w:eastAsia="ja-JP"/>
        </w:rPr>
      </w:pPr>
      <w:r>
        <w:rPr>
          <w:bCs/>
          <w:iCs/>
          <w:lang w:eastAsia="ja-JP"/>
        </w:rPr>
        <w:t>MARS</w:t>
      </w:r>
      <w:r>
        <w:rPr>
          <w:lang w:eastAsia="ja-JP"/>
        </w:rPr>
        <w:t xml:space="preserve"> uses a </w:t>
      </w:r>
      <w:r w:rsidRPr="00D27AEE">
        <w:rPr>
          <w:b/>
          <w:lang w:eastAsia="ja-JP"/>
        </w:rPr>
        <w:t>risk engine</w:t>
      </w:r>
      <w:r>
        <w:rPr>
          <w:b/>
          <w:lang w:eastAsia="ja-JP"/>
        </w:rPr>
        <w:t xml:space="preserve"> </w:t>
      </w:r>
      <w:r w:rsidRPr="00FB39DF">
        <w:rPr>
          <w:lang w:eastAsia="ja-JP"/>
        </w:rPr>
        <w:t>to support decisions prioritising assessment and inspection activities.</w:t>
      </w:r>
      <w:r>
        <w:rPr>
          <w:lang w:eastAsia="ja-JP"/>
        </w:rPr>
        <w:t xml:space="preserve"> The risk engine </w:t>
      </w:r>
      <w:r w:rsidR="0058172E">
        <w:rPr>
          <w:lang w:eastAsia="ja-JP"/>
        </w:rPr>
        <w:t xml:space="preserve">gives a final risk score (between 1 and 99) for each vessel visit by </w:t>
      </w:r>
      <w:r>
        <w:rPr>
          <w:lang w:eastAsia="ja-JP"/>
        </w:rPr>
        <w:t>consider</w:t>
      </w:r>
      <w:r w:rsidR="0058172E">
        <w:rPr>
          <w:lang w:eastAsia="ja-JP"/>
        </w:rPr>
        <w:t>ing</w:t>
      </w:r>
      <w:r>
        <w:rPr>
          <w:lang w:eastAsia="ja-JP"/>
        </w:rPr>
        <w:t xml:space="preserve"> vessel compliance history, last overseas port of call, master compliance history and information from the pre-arrival report. The initial list of risk factors was developed using historical data and is refined using data from MARS as it matures.</w:t>
      </w:r>
    </w:p>
    <w:p w14:paraId="0AEFD537" w14:textId="588437FF" w:rsidR="00AB0E44" w:rsidRDefault="00361FA3">
      <w:pPr>
        <w:rPr>
          <w:lang w:eastAsia="ja-JP"/>
        </w:rPr>
      </w:pPr>
      <w:r>
        <w:rPr>
          <w:lang w:eastAsia="ja-JP"/>
        </w:rPr>
        <w:t xml:space="preserve">By port, a sequential score is given to each vessel, combining the risk score with a score for each inspection queued. </w:t>
      </w:r>
      <w:r w:rsidR="003C2F2F">
        <w:rPr>
          <w:lang w:eastAsia="ja-JP"/>
        </w:rPr>
        <w:t xml:space="preserve">The port arrivals screen within MARS shows vessels sorted </w:t>
      </w:r>
      <w:r>
        <w:rPr>
          <w:lang w:eastAsia="ja-JP"/>
        </w:rPr>
        <w:t>by highest priority inspection types and then by highest risk vessel. This enables local supervisors to allocate inspectors more efficiently and effectively to manage the highest</w:t>
      </w:r>
      <w:r w:rsidR="00FB39DF">
        <w:rPr>
          <w:lang w:eastAsia="ja-JP"/>
        </w:rPr>
        <w:t>-</w:t>
      </w:r>
      <w:r>
        <w:rPr>
          <w:lang w:eastAsia="ja-JP"/>
        </w:rPr>
        <w:t>priority risks.</w:t>
      </w:r>
    </w:p>
    <w:p w14:paraId="2DD35FB8" w14:textId="28BF76F1" w:rsidR="00AB0E44" w:rsidRDefault="00361FA3">
      <w:pPr>
        <w:rPr>
          <w:lang w:eastAsia="ja-JP"/>
        </w:rPr>
      </w:pPr>
      <w:r>
        <w:rPr>
          <w:lang w:eastAsia="ja-JP"/>
        </w:rPr>
        <w:t xml:space="preserve">In 2017 a total of 13,408 or 75 per cent </w:t>
      </w:r>
      <w:r w:rsidRPr="003C2F2F">
        <w:rPr>
          <w:lang w:eastAsia="ja-JP"/>
        </w:rPr>
        <w:t xml:space="preserve">of vessel voyages </w:t>
      </w:r>
      <w:r w:rsidR="003C2F2F">
        <w:rPr>
          <w:lang w:eastAsia="ja-JP"/>
        </w:rPr>
        <w:t xml:space="preserve">were subject to </w:t>
      </w:r>
      <w:r w:rsidRPr="003C2F2F">
        <w:rPr>
          <w:lang w:eastAsia="ja-JP"/>
        </w:rPr>
        <w:t>least one inspection by a</w:t>
      </w:r>
      <w:r>
        <w:rPr>
          <w:lang w:eastAsia="ja-JP"/>
        </w:rPr>
        <w:t xml:space="preserve"> biosecurity officer. Routine vessel inspections, ship sanitation certification and crew change inspections accounted for 57, 15.5 and 9.5 per cent of inspections respectively (</w:t>
      </w:r>
      <w:r>
        <w:rPr>
          <w:lang w:eastAsia="ja-JP"/>
        </w:rPr>
        <w:fldChar w:fldCharType="begin"/>
      </w:r>
      <w:r>
        <w:rPr>
          <w:lang w:eastAsia="ja-JP"/>
        </w:rPr>
        <w:instrText xml:space="preserve"> REF _Ref514138605 \h </w:instrText>
      </w:r>
      <w:r>
        <w:rPr>
          <w:lang w:eastAsia="ja-JP"/>
        </w:rPr>
      </w:r>
      <w:r>
        <w:rPr>
          <w:lang w:eastAsia="ja-JP"/>
        </w:rPr>
        <w:fldChar w:fldCharType="separate"/>
      </w:r>
      <w:r w:rsidR="007F78D8">
        <w:t xml:space="preserve">Figure </w:t>
      </w:r>
      <w:r w:rsidR="007F78D8">
        <w:rPr>
          <w:noProof/>
        </w:rPr>
        <w:t>3</w:t>
      </w:r>
      <w:r>
        <w:rPr>
          <w:lang w:eastAsia="ja-JP"/>
        </w:rPr>
        <w:fldChar w:fldCharType="end"/>
      </w:r>
      <w:r>
        <w:rPr>
          <w:lang w:eastAsia="ja-JP"/>
        </w:rPr>
        <w:t>). Questionnaire results from vessels for targeted seasonal pest inspections for Asian gypsy moth and burnt pine longicorn beetle gave 526 positive and 1</w:t>
      </w:r>
      <w:r w:rsidR="003C2F2F">
        <w:rPr>
          <w:lang w:eastAsia="ja-JP"/>
        </w:rPr>
        <w:t>,</w:t>
      </w:r>
      <w:r>
        <w:rPr>
          <w:lang w:eastAsia="ja-JP"/>
        </w:rPr>
        <w:t>613 negative results.</w:t>
      </w:r>
    </w:p>
    <w:p w14:paraId="51C377D6" w14:textId="77777777" w:rsidR="00D85E2E" w:rsidRDefault="00D85E2E" w:rsidP="00D85E2E">
      <w:pPr>
        <w:pStyle w:val="Heading3"/>
        <w:spacing w:before="360"/>
      </w:pPr>
      <w:bookmarkStart w:id="46" w:name="_Toc521069541"/>
      <w:r>
        <w:t>Vessel Compliance Scheme</w:t>
      </w:r>
      <w:bookmarkEnd w:id="46"/>
    </w:p>
    <w:p w14:paraId="48A9FEAA" w14:textId="52D93411" w:rsidR="00D85E2E" w:rsidRDefault="00D85E2E" w:rsidP="00D85E2E">
      <w:pPr>
        <w:rPr>
          <w:lang w:eastAsia="ja-JP"/>
        </w:rPr>
      </w:pPr>
      <w:r>
        <w:rPr>
          <w:lang w:eastAsia="ja-JP"/>
        </w:rPr>
        <w:t>The Vessel Compliance Scheme (VCS) uses the MARS risk engine and records to reduce inspection rates (down to 40 per cent of voyages over a defined voyage cycle) of vessels that have made at least three biosecurity-compliant voyages to Australia in the previous 12 months.</w:t>
      </w:r>
    </w:p>
    <w:p w14:paraId="210BED4A" w14:textId="77777777" w:rsidR="00AB0E44" w:rsidRDefault="00361FA3">
      <w:pPr>
        <w:pStyle w:val="Caption"/>
        <w:rPr>
          <w:lang w:eastAsia="ja-JP"/>
        </w:rPr>
      </w:pPr>
      <w:bookmarkStart w:id="47" w:name="_Ref514138605"/>
      <w:bookmarkStart w:id="48" w:name="_Toc521069573"/>
      <w:r>
        <w:t xml:space="preserve">Figure </w:t>
      </w:r>
      <w:r w:rsidR="00F21B3D">
        <w:rPr>
          <w:noProof/>
        </w:rPr>
        <w:fldChar w:fldCharType="begin"/>
      </w:r>
      <w:r w:rsidR="00F21B3D">
        <w:rPr>
          <w:noProof/>
        </w:rPr>
        <w:instrText xml:space="preserve"> SEQ Figure \* ARABIC </w:instrText>
      </w:r>
      <w:r w:rsidR="00F21B3D">
        <w:rPr>
          <w:noProof/>
        </w:rPr>
        <w:fldChar w:fldCharType="separate"/>
      </w:r>
      <w:r w:rsidR="007F78D8">
        <w:rPr>
          <w:noProof/>
        </w:rPr>
        <w:t>3</w:t>
      </w:r>
      <w:r w:rsidR="00F21B3D">
        <w:rPr>
          <w:noProof/>
        </w:rPr>
        <w:fldChar w:fldCharType="end"/>
      </w:r>
      <w:bookmarkEnd w:id="47"/>
      <w:r>
        <w:rPr>
          <w:lang w:eastAsia="ja-JP"/>
        </w:rPr>
        <w:t xml:space="preserve"> Ship inspections by vessel and inspection type, July 2016 to December 2017</w:t>
      </w:r>
      <w:bookmarkEnd w:id="48"/>
    </w:p>
    <w:p w14:paraId="619AE262" w14:textId="77777777" w:rsidR="00AB0E44" w:rsidRDefault="00361FA3">
      <w:r>
        <w:rPr>
          <w:noProof/>
          <w:lang w:eastAsia="en-AU"/>
        </w:rPr>
        <w:drawing>
          <wp:inline distT="0" distB="0" distL="0" distR="0" wp14:anchorId="21DC3339" wp14:editId="6C02DE5A">
            <wp:extent cx="4572000" cy="2777914"/>
            <wp:effectExtent l="0" t="0" r="0" b="3810"/>
            <wp:docPr id="24" name="Picture 24" descr="Shows number of ship inspections undertaken by biosecurity officers at first points of entries. The types of inspections include routine vessel inspection, ship sanitation, crew change, waste surveillance, seasonal pest and others. Highest number of inspections undertaken were for 'bulk carriers', followed by cruise vessels, tankers and container vess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5892"/>
                    <a:stretch/>
                  </pic:blipFill>
                  <pic:spPr bwMode="auto">
                    <a:xfrm>
                      <a:off x="0" y="0"/>
                      <a:ext cx="4605254" cy="2798119"/>
                    </a:xfrm>
                    <a:prstGeom prst="rect">
                      <a:avLst/>
                    </a:prstGeom>
                    <a:noFill/>
                    <a:ln>
                      <a:noFill/>
                    </a:ln>
                    <a:extLst>
                      <a:ext uri="{53640926-AAD7-44D8-BBD7-CCE9431645EC}">
                        <a14:shadowObscured xmlns:a14="http://schemas.microsoft.com/office/drawing/2010/main"/>
                      </a:ext>
                    </a:extLst>
                  </pic:spPr>
                </pic:pic>
              </a:graphicData>
            </a:graphic>
          </wp:inline>
        </w:drawing>
      </w:r>
    </w:p>
    <w:p w14:paraId="0DEBB3C7" w14:textId="77777777" w:rsidR="00AB0E44" w:rsidRDefault="00361FA3">
      <w:pPr>
        <w:pStyle w:val="FigureTableNoteSource"/>
        <w:rPr>
          <w:lang w:eastAsia="ja-JP"/>
        </w:rPr>
      </w:pPr>
      <w:r>
        <w:rPr>
          <w:lang w:eastAsia="ja-JP"/>
        </w:rPr>
        <w:t>Source: Department of Agriculture and Water Resources</w:t>
      </w:r>
    </w:p>
    <w:p w14:paraId="578095D2" w14:textId="790F9D52" w:rsidR="00662F23" w:rsidRDefault="00662F23" w:rsidP="00D85E2E">
      <w:pPr>
        <w:spacing w:before="240"/>
        <w:rPr>
          <w:lang w:eastAsia="ja-JP"/>
        </w:rPr>
      </w:pPr>
      <w:r>
        <w:rPr>
          <w:lang w:eastAsia="ja-JP"/>
        </w:rPr>
        <w:t>The department applies d</w:t>
      </w:r>
      <w:r w:rsidR="00361FA3">
        <w:rPr>
          <w:lang w:eastAsia="ja-JP"/>
        </w:rPr>
        <w:t>emerit actions and associated points for minor, major or critical non-</w:t>
      </w:r>
      <w:r w:rsidR="00361FA3" w:rsidRPr="00244AB6">
        <w:rPr>
          <w:lang w:eastAsia="ja-JP"/>
        </w:rPr>
        <w:t>compliance in response</w:t>
      </w:r>
      <w:r w:rsidR="00361FA3" w:rsidRPr="00FB39DF">
        <w:rPr>
          <w:lang w:eastAsia="ja-JP"/>
        </w:rPr>
        <w:t xml:space="preserve"> to questions</w:t>
      </w:r>
      <w:r w:rsidR="00361FA3">
        <w:rPr>
          <w:lang w:eastAsia="ja-JP"/>
        </w:rPr>
        <w:t xml:space="preserve"> on the inspection </w:t>
      </w:r>
      <w:proofErr w:type="spellStart"/>
      <w:r w:rsidR="00361FA3">
        <w:rPr>
          <w:lang w:eastAsia="ja-JP"/>
        </w:rPr>
        <w:t>eForm</w:t>
      </w:r>
      <w:proofErr w:type="spellEnd"/>
      <w:r w:rsidR="00361FA3">
        <w:rPr>
          <w:lang w:eastAsia="ja-JP"/>
        </w:rPr>
        <w:t xml:space="preserve"> completed by biosecurity inspection officers. A vessel that incurs more than </w:t>
      </w:r>
      <w:r>
        <w:rPr>
          <w:lang w:eastAsia="ja-JP"/>
        </w:rPr>
        <w:t xml:space="preserve">10 </w:t>
      </w:r>
      <w:r w:rsidR="00361FA3">
        <w:rPr>
          <w:lang w:eastAsia="ja-JP"/>
        </w:rPr>
        <w:t xml:space="preserve">demerit points at one inspection or 20 or more </w:t>
      </w:r>
      <w:r>
        <w:rPr>
          <w:lang w:eastAsia="ja-JP"/>
        </w:rPr>
        <w:t xml:space="preserve">demerit points </w:t>
      </w:r>
      <w:r w:rsidR="00361FA3">
        <w:rPr>
          <w:lang w:eastAsia="ja-JP"/>
        </w:rPr>
        <w:t xml:space="preserve">over three inspections is disqualified and returns to 100 per cent inspection rate. </w:t>
      </w:r>
      <w:r>
        <w:rPr>
          <w:lang w:eastAsia="ja-JP"/>
        </w:rPr>
        <w:t xml:space="preserve">To </w:t>
      </w:r>
      <w:r w:rsidR="00662A25">
        <w:rPr>
          <w:lang w:eastAsia="ja-JP"/>
        </w:rPr>
        <w:t>qualify for the VCS</w:t>
      </w:r>
      <w:r>
        <w:rPr>
          <w:lang w:eastAsia="ja-JP"/>
        </w:rPr>
        <w:t>, v</w:t>
      </w:r>
      <w:r w:rsidR="00361FA3">
        <w:rPr>
          <w:lang w:eastAsia="ja-JP"/>
        </w:rPr>
        <w:t>essels must show good compliance over a three-voyage cycle.</w:t>
      </w:r>
    </w:p>
    <w:p w14:paraId="04970104" w14:textId="6713480D" w:rsidR="00AB0E44" w:rsidRDefault="00361FA3">
      <w:pPr>
        <w:rPr>
          <w:lang w:eastAsia="ja-JP"/>
        </w:rPr>
      </w:pPr>
      <w:r>
        <w:rPr>
          <w:lang w:eastAsia="ja-JP"/>
        </w:rPr>
        <w:t xml:space="preserve">Livestock vessels and vessels with a history of recent non-compliance must be inspected at every </w:t>
      </w:r>
      <w:r w:rsidR="00662A25">
        <w:rPr>
          <w:lang w:eastAsia="ja-JP"/>
        </w:rPr>
        <w:t>voyage</w:t>
      </w:r>
      <w:r>
        <w:rPr>
          <w:lang w:eastAsia="ja-JP"/>
        </w:rPr>
        <w:t xml:space="preserve">. </w:t>
      </w:r>
      <w:r w:rsidR="00662F23">
        <w:rPr>
          <w:lang w:eastAsia="ja-JP"/>
        </w:rPr>
        <w:t xml:space="preserve">Regardless </w:t>
      </w:r>
      <w:r>
        <w:rPr>
          <w:lang w:eastAsia="ja-JP"/>
        </w:rPr>
        <w:t>of compliance history, the department may carry out extra targeted inspections based on risk assessments. Key demerit point actions include:</w:t>
      </w:r>
    </w:p>
    <w:p w14:paraId="300E9B65" w14:textId="7D093CBE" w:rsidR="00AB0E44" w:rsidRDefault="00361FA3">
      <w:pPr>
        <w:pStyle w:val="ListBullet"/>
      </w:pPr>
      <w:r>
        <w:t>undeclared hitchhiker animal</w:t>
      </w:r>
    </w:p>
    <w:p w14:paraId="3B6C3A39" w14:textId="666C5123" w:rsidR="00AB0E44" w:rsidRDefault="00361FA3">
      <w:pPr>
        <w:pStyle w:val="ListBullet"/>
      </w:pPr>
      <w:r>
        <w:t>undeclared ship’s pet/animal</w:t>
      </w:r>
    </w:p>
    <w:p w14:paraId="42026FF4" w14:textId="64719F54" w:rsidR="00AB0E44" w:rsidRDefault="00361FA3">
      <w:pPr>
        <w:pStyle w:val="ListBullet"/>
      </w:pPr>
      <w:r>
        <w:t>mosquito risk</w:t>
      </w:r>
    </w:p>
    <w:p w14:paraId="728DB5E9" w14:textId="75FA3DC4" w:rsidR="00AB0E44" w:rsidRDefault="00361FA3">
      <w:pPr>
        <w:pStyle w:val="ListBullet"/>
      </w:pPr>
      <w:r>
        <w:t>evidence of rodent infestation</w:t>
      </w:r>
    </w:p>
    <w:p w14:paraId="4188966B" w14:textId="27518D34" w:rsidR="00AB0E44" w:rsidRDefault="00662F23">
      <w:pPr>
        <w:pStyle w:val="ListBullet"/>
      </w:pPr>
      <w:r>
        <w:t xml:space="preserve">insect </w:t>
      </w:r>
      <w:r w:rsidR="00361FA3">
        <w:t>infestation found on board</w:t>
      </w:r>
    </w:p>
    <w:p w14:paraId="2FFF5A91" w14:textId="7EA2C06E" w:rsidR="00AB0E44" w:rsidRDefault="00361FA3">
      <w:pPr>
        <w:pStyle w:val="ListBullet"/>
      </w:pPr>
      <w:r>
        <w:t>evidence of seeds, meal or organic material on deck</w:t>
      </w:r>
    </w:p>
    <w:p w14:paraId="72424264" w14:textId="44BD332C" w:rsidR="00AB0E44" w:rsidRDefault="00361FA3">
      <w:pPr>
        <w:pStyle w:val="ListBullet"/>
      </w:pPr>
      <w:r>
        <w:t xml:space="preserve">failure to clean </w:t>
      </w:r>
      <w:r w:rsidRPr="00FB39DF">
        <w:t>decks that result</w:t>
      </w:r>
      <w:r w:rsidR="00FB39DF">
        <w:t>s</w:t>
      </w:r>
      <w:r w:rsidRPr="00FB39DF">
        <w:t xml:space="preserve"> in significant</w:t>
      </w:r>
      <w:r>
        <w:t xml:space="preserve"> issues</w:t>
      </w:r>
    </w:p>
    <w:p w14:paraId="72F9EEBC" w14:textId="75FF09FA" w:rsidR="00AB0E44" w:rsidRDefault="00936C23">
      <w:pPr>
        <w:pStyle w:val="ListBullet"/>
      </w:pPr>
      <w:r>
        <w:t xml:space="preserve">improper </w:t>
      </w:r>
      <w:r w:rsidR="00361FA3" w:rsidRPr="00FB39DF">
        <w:t>waste management</w:t>
      </w:r>
    </w:p>
    <w:p w14:paraId="79489E9A" w14:textId="77777777" w:rsidR="00AB0E44" w:rsidRDefault="00361FA3">
      <w:pPr>
        <w:pStyle w:val="ListBullet"/>
      </w:pPr>
      <w:proofErr w:type="gramStart"/>
      <w:r>
        <w:t>ballast</w:t>
      </w:r>
      <w:proofErr w:type="gramEnd"/>
      <w:r>
        <w:t xml:space="preserve"> water management.</w:t>
      </w:r>
    </w:p>
    <w:p w14:paraId="71F960F8" w14:textId="68984A3D" w:rsidR="00AB0E44" w:rsidRDefault="00361FA3" w:rsidP="00F507FC">
      <w:pPr>
        <w:spacing w:before="0"/>
      </w:pPr>
      <w:r>
        <w:t>Ballast water compliance is monitored through MARS using an offline</w:t>
      </w:r>
      <w:r>
        <w:rPr>
          <w:rFonts w:ascii="Cambria" w:hAnsi="Cambria"/>
          <w:sz w:val="22"/>
          <w:lang w:eastAsia="ja-JP"/>
        </w:rPr>
        <w:t xml:space="preserve"> </w:t>
      </w:r>
      <w:r>
        <w:t xml:space="preserve">Ballast Water Report Form. </w:t>
      </w:r>
      <w:r w:rsidR="00662F23">
        <w:t xml:space="preserve">Vessels must supply </w:t>
      </w:r>
      <w:r>
        <w:t>information on tank capacities, pump delivery capacities, arrival details and information on ballast water and sediment discharge, exchange and uptake periods. Non-compliant ships receive demerit</w:t>
      </w:r>
      <w:r w:rsidR="00662F23">
        <w:t xml:space="preserve"> points</w:t>
      </w:r>
      <w:r>
        <w:t xml:space="preserve"> and may be </w:t>
      </w:r>
      <w:r w:rsidRPr="007C1DFE">
        <w:t xml:space="preserve">removed </w:t>
      </w:r>
      <w:r w:rsidR="00662F23" w:rsidRPr="00A110D0">
        <w:t xml:space="preserve">from </w:t>
      </w:r>
      <w:r w:rsidRPr="00600887">
        <w:t>the VCS.</w:t>
      </w:r>
    </w:p>
    <w:p w14:paraId="070A0102" w14:textId="4F5CA78E" w:rsidR="00AB0E44" w:rsidRDefault="00361FA3">
      <w:pPr>
        <w:rPr>
          <w:lang w:eastAsia="ja-JP"/>
        </w:rPr>
      </w:pPr>
      <w:r>
        <w:rPr>
          <w:lang w:eastAsia="ja-JP"/>
        </w:rPr>
        <w:t xml:space="preserve">Where a vessel inspection does not meet the department’s standards, </w:t>
      </w:r>
      <w:r w:rsidR="00662F23">
        <w:rPr>
          <w:lang w:eastAsia="ja-JP"/>
        </w:rPr>
        <w:t xml:space="preserve">the biosecurity officer issues </w:t>
      </w:r>
      <w:r>
        <w:rPr>
          <w:lang w:eastAsia="ja-JP"/>
        </w:rPr>
        <w:t xml:space="preserve">additional directions or corrective actions. MARS makes this information available to other biosecurity officers as well as the vessel’s captain. Vessels and agents may appeal a demerit decision </w:t>
      </w:r>
      <w:r w:rsidRPr="00706079">
        <w:rPr>
          <w:lang w:eastAsia="ja-JP"/>
        </w:rPr>
        <w:t>through the MNCC</w:t>
      </w:r>
      <w:r w:rsidR="00662F23" w:rsidRPr="00706079">
        <w:rPr>
          <w:lang w:eastAsia="ja-JP"/>
        </w:rPr>
        <w:t>.</w:t>
      </w:r>
      <w:r w:rsidRPr="00706079">
        <w:rPr>
          <w:lang w:eastAsia="ja-JP"/>
        </w:rPr>
        <w:t xml:space="preserve"> </w:t>
      </w:r>
      <w:r w:rsidR="00662F23" w:rsidRPr="00706079">
        <w:rPr>
          <w:lang w:eastAsia="ja-JP"/>
        </w:rPr>
        <w:t>N</w:t>
      </w:r>
      <w:r w:rsidRPr="00706079">
        <w:rPr>
          <w:lang w:eastAsia="ja-JP"/>
        </w:rPr>
        <w:t>o appeals</w:t>
      </w:r>
      <w:r>
        <w:rPr>
          <w:lang w:eastAsia="ja-JP"/>
        </w:rPr>
        <w:t xml:space="preserve"> have been lodged to date.</w:t>
      </w:r>
    </w:p>
    <w:p w14:paraId="25D56765" w14:textId="629C6E62" w:rsidR="00AB0E44" w:rsidRDefault="00361FA3">
      <w:pPr>
        <w:rPr>
          <w:lang w:eastAsia="ja-JP"/>
        </w:rPr>
      </w:pPr>
      <w:r>
        <w:rPr>
          <w:lang w:eastAsia="ja-JP"/>
        </w:rPr>
        <w:t xml:space="preserve">A system of applying inspection debits and credits ensures the need for inspections is balanced and that vessels receive documentary clearances and associated benefits of being on </w:t>
      </w:r>
      <w:r w:rsidRPr="00FB39DF">
        <w:rPr>
          <w:lang w:eastAsia="ja-JP"/>
        </w:rPr>
        <w:t>the VCS. For</w:t>
      </w:r>
      <w:r>
        <w:rPr>
          <w:lang w:eastAsia="ja-JP"/>
        </w:rPr>
        <w:t xml:space="preserve"> example, if a vessel was due for a documentary clearance but receives a ship sanitation certificate (SSC) inspection instead, the vessel receives a credit</w:t>
      </w:r>
      <w:r w:rsidRPr="00FB39DF">
        <w:rPr>
          <w:lang w:eastAsia="ja-JP"/>
        </w:rPr>
        <w:t xml:space="preserve">. </w:t>
      </w:r>
      <w:r w:rsidR="00FB39DF">
        <w:rPr>
          <w:lang w:eastAsia="ja-JP"/>
        </w:rPr>
        <w:t>Conversely</w:t>
      </w:r>
      <w:r w:rsidRPr="00FB39DF">
        <w:rPr>
          <w:lang w:eastAsia="ja-JP"/>
        </w:rPr>
        <w:t>, if</w:t>
      </w:r>
      <w:r>
        <w:rPr>
          <w:lang w:eastAsia="ja-JP"/>
        </w:rPr>
        <w:t xml:space="preserve"> the vessel was due for a</w:t>
      </w:r>
      <w:r w:rsidR="003552C8">
        <w:rPr>
          <w:lang w:eastAsia="ja-JP"/>
        </w:rPr>
        <w:t xml:space="preserve"> routine vessel inspection </w:t>
      </w:r>
      <w:r>
        <w:rPr>
          <w:lang w:eastAsia="ja-JP"/>
        </w:rPr>
        <w:t>which was missed, the vessel will receive a debit. Vessels are allowed a maximum of one credit or debit, which will not expire.</w:t>
      </w:r>
    </w:p>
    <w:p w14:paraId="06EC53FA" w14:textId="684D4EAF" w:rsidR="00AB0E44" w:rsidRDefault="00361FA3">
      <w:pPr>
        <w:rPr>
          <w:lang w:eastAsia="ja-JP"/>
        </w:rPr>
      </w:pPr>
      <w:r w:rsidRPr="00FB39DF">
        <w:rPr>
          <w:lang w:eastAsia="ja-JP"/>
        </w:rPr>
        <w:t>The VCS only</w:t>
      </w:r>
      <w:r>
        <w:rPr>
          <w:lang w:eastAsia="ja-JP"/>
        </w:rPr>
        <w:t xml:space="preserve"> determines the level of intervention for the vessel</w:t>
      </w:r>
      <w:r w:rsidR="007C1DFE">
        <w:rPr>
          <w:lang w:eastAsia="ja-JP"/>
        </w:rPr>
        <w:t>.</w:t>
      </w:r>
      <w:r>
        <w:rPr>
          <w:lang w:eastAsia="ja-JP"/>
        </w:rPr>
        <w:t xml:space="preserve"> </w:t>
      </w:r>
      <w:r w:rsidR="007C1DFE">
        <w:rPr>
          <w:lang w:eastAsia="ja-JP"/>
        </w:rPr>
        <w:t>L</w:t>
      </w:r>
      <w:r>
        <w:rPr>
          <w:lang w:eastAsia="ja-JP"/>
        </w:rPr>
        <w:t>egal action for non-compliance</w:t>
      </w:r>
      <w:r w:rsidR="007C1DFE">
        <w:rPr>
          <w:lang w:eastAsia="ja-JP"/>
        </w:rPr>
        <w:t xml:space="preserve"> is carried out separately</w:t>
      </w:r>
      <w:r>
        <w:rPr>
          <w:lang w:eastAsia="ja-JP"/>
        </w:rPr>
        <w:t xml:space="preserve">. </w:t>
      </w:r>
      <w:r w:rsidR="007C1DFE">
        <w:rPr>
          <w:lang w:eastAsia="ja-JP"/>
        </w:rPr>
        <w:t>F</w:t>
      </w:r>
      <w:r>
        <w:rPr>
          <w:lang w:eastAsia="ja-JP"/>
        </w:rPr>
        <w:t>ines for exceeding demerits can</w:t>
      </w:r>
      <w:r w:rsidR="007C1DFE">
        <w:rPr>
          <w:lang w:eastAsia="ja-JP"/>
        </w:rPr>
        <w:t>not</w:t>
      </w:r>
      <w:r>
        <w:rPr>
          <w:lang w:eastAsia="ja-JP"/>
        </w:rPr>
        <w:t xml:space="preserve"> be given out under the scheme</w:t>
      </w:r>
      <w:r w:rsidR="007C1DFE">
        <w:rPr>
          <w:lang w:eastAsia="ja-JP"/>
        </w:rPr>
        <w:t>.</w:t>
      </w:r>
      <w:r>
        <w:rPr>
          <w:lang w:eastAsia="ja-JP"/>
        </w:rPr>
        <w:t xml:space="preserve"> </w:t>
      </w:r>
      <w:r w:rsidR="007C1DFE">
        <w:rPr>
          <w:lang w:eastAsia="ja-JP"/>
        </w:rPr>
        <w:t xml:space="preserve">However, an </w:t>
      </w:r>
      <w:r>
        <w:rPr>
          <w:lang w:eastAsia="ja-JP"/>
        </w:rPr>
        <w:t xml:space="preserve">action of non-compliance could </w:t>
      </w:r>
      <w:r w:rsidRPr="00FB39DF">
        <w:rPr>
          <w:lang w:eastAsia="ja-JP"/>
        </w:rPr>
        <w:t>trigger VCS demerit</w:t>
      </w:r>
      <w:r>
        <w:rPr>
          <w:lang w:eastAsia="ja-JP"/>
        </w:rPr>
        <w:t xml:space="preserve"> points and contravene the </w:t>
      </w:r>
      <w:r>
        <w:rPr>
          <w:i/>
          <w:lang w:eastAsia="ja-JP"/>
        </w:rPr>
        <w:t>Biosecurity Act 2015</w:t>
      </w:r>
      <w:r>
        <w:rPr>
          <w:lang w:eastAsia="ja-JP"/>
        </w:rPr>
        <w:t xml:space="preserve">. For example, if a shipmaster discharged ballast water </w:t>
      </w:r>
      <w:r w:rsidR="007C1DFE">
        <w:rPr>
          <w:lang w:eastAsia="ja-JP"/>
        </w:rPr>
        <w:t xml:space="preserve">in a </w:t>
      </w:r>
      <w:r>
        <w:rPr>
          <w:lang w:eastAsia="ja-JP"/>
        </w:rPr>
        <w:t>non-compliant</w:t>
      </w:r>
      <w:r w:rsidR="007C1DFE">
        <w:rPr>
          <w:lang w:eastAsia="ja-JP"/>
        </w:rPr>
        <w:t xml:space="preserve"> way</w:t>
      </w:r>
      <w:r>
        <w:rPr>
          <w:lang w:eastAsia="ja-JP"/>
        </w:rPr>
        <w:t xml:space="preserve">, </w:t>
      </w:r>
      <w:r w:rsidR="007C1DFE">
        <w:rPr>
          <w:lang w:eastAsia="ja-JP"/>
        </w:rPr>
        <w:t xml:space="preserve">the vessel </w:t>
      </w:r>
      <w:r>
        <w:rPr>
          <w:lang w:eastAsia="ja-JP"/>
        </w:rPr>
        <w:t xml:space="preserve">would incur 10 demerit points and </w:t>
      </w:r>
      <w:r w:rsidR="007C1DFE">
        <w:rPr>
          <w:lang w:eastAsia="ja-JP"/>
        </w:rPr>
        <w:t xml:space="preserve">would </w:t>
      </w:r>
      <w:r>
        <w:rPr>
          <w:lang w:eastAsia="ja-JP"/>
        </w:rPr>
        <w:t xml:space="preserve">immediately </w:t>
      </w:r>
      <w:r w:rsidR="007C1DFE">
        <w:rPr>
          <w:lang w:eastAsia="ja-JP"/>
        </w:rPr>
        <w:t xml:space="preserve">be </w:t>
      </w:r>
      <w:r>
        <w:rPr>
          <w:lang w:eastAsia="ja-JP"/>
        </w:rPr>
        <w:t>disqualif</w:t>
      </w:r>
      <w:r w:rsidR="007C1DFE">
        <w:rPr>
          <w:lang w:eastAsia="ja-JP"/>
        </w:rPr>
        <w:t>ied</w:t>
      </w:r>
      <w:r>
        <w:rPr>
          <w:lang w:eastAsia="ja-JP"/>
        </w:rPr>
        <w:t xml:space="preserve"> </w:t>
      </w:r>
      <w:r w:rsidRPr="00FB39DF">
        <w:rPr>
          <w:lang w:eastAsia="ja-JP"/>
        </w:rPr>
        <w:t>from the VCS.</w:t>
      </w:r>
      <w:r>
        <w:rPr>
          <w:lang w:eastAsia="ja-JP"/>
        </w:rPr>
        <w:t xml:space="preserve"> </w:t>
      </w:r>
      <w:r w:rsidR="00FB39DF">
        <w:rPr>
          <w:lang w:eastAsia="ja-JP"/>
        </w:rPr>
        <w:t>T</w:t>
      </w:r>
      <w:r>
        <w:rPr>
          <w:lang w:eastAsia="ja-JP"/>
        </w:rPr>
        <w:t xml:space="preserve">he department could </w:t>
      </w:r>
      <w:r w:rsidR="00FB39DF">
        <w:rPr>
          <w:lang w:eastAsia="ja-JP"/>
        </w:rPr>
        <w:t xml:space="preserve">also </w:t>
      </w:r>
      <w:r>
        <w:rPr>
          <w:lang w:eastAsia="ja-JP"/>
        </w:rPr>
        <w:t>pursue the non-compliance under Chapter 5 of the Act, with the associated penalties.</w:t>
      </w:r>
    </w:p>
    <w:p w14:paraId="335E5FD5" w14:textId="72B8E38B" w:rsidR="00AB0E44" w:rsidRDefault="00361FA3">
      <w:pPr>
        <w:rPr>
          <w:lang w:eastAsia="ja-JP"/>
        </w:rPr>
      </w:pPr>
      <w:r>
        <w:rPr>
          <w:lang w:eastAsia="ja-JP"/>
        </w:rPr>
        <w:fldChar w:fldCharType="begin"/>
      </w:r>
      <w:r>
        <w:rPr>
          <w:lang w:eastAsia="ja-JP"/>
        </w:rPr>
        <w:instrText xml:space="preserve"> REF _Ref514138627 \h </w:instrText>
      </w:r>
      <w:r>
        <w:rPr>
          <w:lang w:eastAsia="ja-JP"/>
        </w:rPr>
      </w:r>
      <w:r>
        <w:rPr>
          <w:lang w:eastAsia="ja-JP"/>
        </w:rPr>
        <w:fldChar w:fldCharType="separate"/>
      </w:r>
      <w:r w:rsidR="007F78D8">
        <w:t xml:space="preserve">Figure </w:t>
      </w:r>
      <w:r w:rsidR="007F78D8">
        <w:rPr>
          <w:noProof/>
        </w:rPr>
        <w:t>4</w:t>
      </w:r>
      <w:r>
        <w:rPr>
          <w:lang w:eastAsia="ja-JP"/>
        </w:rPr>
        <w:fldChar w:fldCharType="end"/>
      </w:r>
      <w:r>
        <w:rPr>
          <w:lang w:eastAsia="ja-JP"/>
        </w:rPr>
        <w:t xml:space="preserve"> shows the failure rate of different types of vessels on the VCS. There was an overall VCS failure rate of 2.7 per cent of total inspections</w:t>
      </w:r>
      <w:r w:rsidR="007C1DFE">
        <w:rPr>
          <w:lang w:eastAsia="ja-JP"/>
        </w:rPr>
        <w:t>.</w:t>
      </w:r>
      <w:r>
        <w:rPr>
          <w:lang w:eastAsia="ja-JP"/>
        </w:rPr>
        <w:t xml:space="preserve"> </w:t>
      </w:r>
      <w:r w:rsidR="007C1DFE">
        <w:rPr>
          <w:lang w:eastAsia="ja-JP"/>
        </w:rPr>
        <w:t>N</w:t>
      </w:r>
      <w:r>
        <w:rPr>
          <w:lang w:eastAsia="ja-JP"/>
        </w:rPr>
        <w:t>aval vessels (mainly foreign) fail</w:t>
      </w:r>
      <w:r w:rsidR="007C1DFE">
        <w:rPr>
          <w:lang w:eastAsia="ja-JP"/>
        </w:rPr>
        <w:t>ed</w:t>
      </w:r>
      <w:r>
        <w:rPr>
          <w:lang w:eastAsia="ja-JP"/>
        </w:rPr>
        <w:t xml:space="preserve"> at over twice this rate</w:t>
      </w:r>
      <w:r w:rsidR="007C1DFE">
        <w:rPr>
          <w:lang w:eastAsia="ja-JP"/>
        </w:rPr>
        <w:t>,</w:t>
      </w:r>
      <w:r>
        <w:rPr>
          <w:lang w:eastAsia="ja-JP"/>
        </w:rPr>
        <w:t xml:space="preserve"> and cruise ships fail</w:t>
      </w:r>
      <w:r w:rsidR="007C1DFE">
        <w:rPr>
          <w:lang w:eastAsia="ja-JP"/>
        </w:rPr>
        <w:t>ed</w:t>
      </w:r>
      <w:r>
        <w:rPr>
          <w:lang w:eastAsia="ja-JP"/>
        </w:rPr>
        <w:t xml:space="preserve"> less than </w:t>
      </w:r>
      <w:r w:rsidR="007C1DFE">
        <w:rPr>
          <w:lang w:eastAsia="ja-JP"/>
        </w:rPr>
        <w:t xml:space="preserve">1 </w:t>
      </w:r>
      <w:r>
        <w:rPr>
          <w:lang w:eastAsia="ja-JP"/>
        </w:rPr>
        <w:t xml:space="preserve">per cent of inspections. The biosecurity risk posed by naval vessels </w:t>
      </w:r>
      <w:r w:rsidR="00112BDD">
        <w:rPr>
          <w:lang w:eastAsia="ja-JP"/>
        </w:rPr>
        <w:t>i</w:t>
      </w:r>
      <w:r>
        <w:rPr>
          <w:lang w:eastAsia="ja-JP"/>
        </w:rPr>
        <w:t xml:space="preserve">s considered separately in the </w:t>
      </w:r>
      <w:r w:rsidRPr="005B196A">
        <w:rPr>
          <w:lang w:eastAsia="ja-JP"/>
        </w:rPr>
        <w:t xml:space="preserve">Inspector-General’s review of military </w:t>
      </w:r>
      <w:r w:rsidRPr="00FF637F">
        <w:rPr>
          <w:lang w:eastAsia="ja-JP"/>
        </w:rPr>
        <w:t>biosecurity</w:t>
      </w:r>
      <w:r w:rsidR="001D7D52" w:rsidRPr="00FF637F">
        <w:rPr>
          <w:rStyle w:val="Hyperlink"/>
          <w:color w:val="auto"/>
          <w:u w:val="none"/>
          <w:lang w:eastAsia="ja-JP"/>
        </w:rPr>
        <w:t xml:space="preserve"> (I</w:t>
      </w:r>
      <w:r w:rsidR="00AE5434">
        <w:rPr>
          <w:rStyle w:val="Hyperlink"/>
          <w:color w:val="auto"/>
          <w:u w:val="none"/>
          <w:lang w:eastAsia="ja-JP"/>
        </w:rPr>
        <w:t>nspector-</w:t>
      </w:r>
      <w:r w:rsidR="001D7D52" w:rsidRPr="00FF637F">
        <w:rPr>
          <w:rStyle w:val="Hyperlink"/>
          <w:color w:val="auto"/>
          <w:u w:val="none"/>
          <w:lang w:eastAsia="ja-JP"/>
        </w:rPr>
        <w:t>G</w:t>
      </w:r>
      <w:r w:rsidR="00AE5434">
        <w:rPr>
          <w:rStyle w:val="Hyperlink"/>
          <w:color w:val="auto"/>
          <w:u w:val="none"/>
          <w:lang w:eastAsia="ja-JP"/>
        </w:rPr>
        <w:t xml:space="preserve">eneral of </w:t>
      </w:r>
      <w:r w:rsidR="001D7D52" w:rsidRPr="00FF637F">
        <w:rPr>
          <w:rStyle w:val="Hyperlink"/>
          <w:color w:val="auto"/>
          <w:u w:val="none"/>
          <w:lang w:eastAsia="ja-JP"/>
        </w:rPr>
        <w:t>B</w:t>
      </w:r>
      <w:r w:rsidR="00AE5434">
        <w:rPr>
          <w:rStyle w:val="Hyperlink"/>
          <w:color w:val="auto"/>
          <w:u w:val="none"/>
          <w:lang w:eastAsia="ja-JP"/>
        </w:rPr>
        <w:t>iosecurity</w:t>
      </w:r>
      <w:r w:rsidR="001D7D52" w:rsidRPr="00FF637F">
        <w:rPr>
          <w:rStyle w:val="Hyperlink"/>
          <w:color w:val="auto"/>
          <w:u w:val="none"/>
          <w:lang w:eastAsia="ja-JP"/>
        </w:rPr>
        <w:t xml:space="preserve"> 2018)</w:t>
      </w:r>
      <w:r w:rsidRPr="00FF637F">
        <w:rPr>
          <w:lang w:eastAsia="ja-JP"/>
        </w:rPr>
        <w:t>.</w:t>
      </w:r>
    </w:p>
    <w:p w14:paraId="468F4931" w14:textId="77777777" w:rsidR="00AB0E44" w:rsidRDefault="00361FA3">
      <w:pPr>
        <w:pStyle w:val="Caption"/>
        <w:rPr>
          <w:lang w:eastAsia="ja-JP"/>
        </w:rPr>
      </w:pPr>
      <w:bookmarkStart w:id="49" w:name="_Ref514138627"/>
      <w:bookmarkStart w:id="50" w:name="_Toc521069574"/>
      <w:r>
        <w:t xml:space="preserve">Figure </w:t>
      </w:r>
      <w:r w:rsidR="00F21B3D">
        <w:rPr>
          <w:noProof/>
        </w:rPr>
        <w:fldChar w:fldCharType="begin"/>
      </w:r>
      <w:r w:rsidR="00F21B3D">
        <w:rPr>
          <w:noProof/>
        </w:rPr>
        <w:instrText xml:space="preserve"> SEQ Figure \* ARABIC </w:instrText>
      </w:r>
      <w:r w:rsidR="00F21B3D">
        <w:rPr>
          <w:noProof/>
        </w:rPr>
        <w:fldChar w:fldCharType="separate"/>
      </w:r>
      <w:r w:rsidR="007F78D8">
        <w:rPr>
          <w:noProof/>
        </w:rPr>
        <w:t>4</w:t>
      </w:r>
      <w:r w:rsidR="00F21B3D">
        <w:rPr>
          <w:noProof/>
        </w:rPr>
        <w:fldChar w:fldCharType="end"/>
      </w:r>
      <w:bookmarkEnd w:id="49"/>
      <w:r>
        <w:rPr>
          <w:lang w:eastAsia="ja-JP"/>
        </w:rPr>
        <w:t xml:space="preserve"> Vessel compliance scheme fail by ship type, 2017</w:t>
      </w:r>
      <w:bookmarkEnd w:id="50"/>
    </w:p>
    <w:p w14:paraId="01F7BC57" w14:textId="77777777" w:rsidR="00AB0E44" w:rsidRDefault="00361FA3">
      <w:pPr>
        <w:rPr>
          <w:lang w:eastAsia="ja-JP"/>
        </w:rPr>
      </w:pPr>
      <w:r>
        <w:rPr>
          <w:noProof/>
          <w:lang w:eastAsia="en-AU"/>
        </w:rPr>
        <w:drawing>
          <wp:inline distT="0" distB="0" distL="0" distR="0" wp14:anchorId="51BD7D61" wp14:editId="79CFD271">
            <wp:extent cx="5172075" cy="2653760"/>
            <wp:effectExtent l="0" t="0" r="0" b="0"/>
            <wp:docPr id="16" name="Picture 16" descr="Graph showing failure rate of Vessel Compliance Scheme as percentage of total inpections and the average for all vessel types. Highest failure rate was recoded for naval vessels at 5.5%.&#10;Overall, vessel inspection failure rate was un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2962" cy="2654215"/>
                    </a:xfrm>
                    <a:prstGeom prst="rect">
                      <a:avLst/>
                    </a:prstGeom>
                    <a:noFill/>
                  </pic:spPr>
                </pic:pic>
              </a:graphicData>
            </a:graphic>
          </wp:inline>
        </w:drawing>
      </w:r>
    </w:p>
    <w:p w14:paraId="1800F96D" w14:textId="77777777" w:rsidR="00AB0E44" w:rsidRDefault="00361FA3">
      <w:pPr>
        <w:pStyle w:val="FigureTableNoteSource"/>
        <w:rPr>
          <w:lang w:eastAsia="ja-JP"/>
        </w:rPr>
      </w:pPr>
      <w:r>
        <w:rPr>
          <w:lang w:eastAsia="ja-JP"/>
        </w:rPr>
        <w:t>Source: Department of Agriculture and Water Resources</w:t>
      </w:r>
    </w:p>
    <w:p w14:paraId="786D7754" w14:textId="7AF1C2A4" w:rsidR="00AB0E44" w:rsidRDefault="00361FA3" w:rsidP="00D85E2E">
      <w:pPr>
        <w:spacing w:before="240"/>
        <w:rPr>
          <w:lang w:eastAsia="ja-JP"/>
        </w:rPr>
      </w:pPr>
      <w:r w:rsidRPr="00FB39DF">
        <w:rPr>
          <w:lang w:eastAsia="ja-JP"/>
        </w:rPr>
        <w:t xml:space="preserve">The VCS aims to </w:t>
      </w:r>
      <w:r w:rsidR="007C1DFE" w:rsidRPr="00FB39DF">
        <w:rPr>
          <w:lang w:eastAsia="ja-JP"/>
        </w:rPr>
        <w:t>give</w:t>
      </w:r>
      <w:r w:rsidR="007C1DFE">
        <w:rPr>
          <w:lang w:eastAsia="ja-JP"/>
        </w:rPr>
        <w:t xml:space="preserve"> vessel masters and crew a clear indication of the types of </w:t>
      </w:r>
      <w:r>
        <w:rPr>
          <w:lang w:eastAsia="ja-JP"/>
        </w:rPr>
        <w:t xml:space="preserve">risks </w:t>
      </w:r>
      <w:r w:rsidR="007C1DFE">
        <w:rPr>
          <w:lang w:eastAsia="ja-JP"/>
        </w:rPr>
        <w:t xml:space="preserve">that </w:t>
      </w:r>
      <w:r>
        <w:rPr>
          <w:lang w:eastAsia="ja-JP"/>
        </w:rPr>
        <w:t xml:space="preserve">biosecurity officers focus on as part of the inspections and the consequences of non-compliance. This ensures </w:t>
      </w:r>
      <w:r w:rsidR="007C1DFE">
        <w:rPr>
          <w:lang w:eastAsia="ja-JP"/>
        </w:rPr>
        <w:t xml:space="preserve">that </w:t>
      </w:r>
      <w:r>
        <w:rPr>
          <w:lang w:eastAsia="ja-JP"/>
        </w:rPr>
        <w:t>vessel masters and crew are better able to prepare the vessel</w:t>
      </w:r>
      <w:r w:rsidR="007C1DFE">
        <w:rPr>
          <w:lang w:eastAsia="ja-JP"/>
        </w:rPr>
        <w:t xml:space="preserve">, improve </w:t>
      </w:r>
      <w:r>
        <w:rPr>
          <w:lang w:eastAsia="ja-JP"/>
        </w:rPr>
        <w:t xml:space="preserve">their chances of qualifying as ‘compliant’ </w:t>
      </w:r>
      <w:r w:rsidR="007C1DFE">
        <w:rPr>
          <w:lang w:eastAsia="ja-JP"/>
        </w:rPr>
        <w:t xml:space="preserve">and </w:t>
      </w:r>
      <w:r>
        <w:rPr>
          <w:lang w:eastAsia="ja-JP"/>
        </w:rPr>
        <w:t>take advantage of reduced intervention and associated benefits.</w:t>
      </w:r>
    </w:p>
    <w:p w14:paraId="1A87D338" w14:textId="5CB5D4CF" w:rsidR="00AB0E44" w:rsidRDefault="00361FA3" w:rsidP="00AD7DC1">
      <w:pPr>
        <w:pStyle w:val="Heading3"/>
      </w:pPr>
      <w:bookmarkStart w:id="51" w:name="_Toc521069542"/>
      <w:r>
        <w:t xml:space="preserve">Improvements to </w:t>
      </w:r>
      <w:r w:rsidR="00AD7DC1" w:rsidRPr="00AD7DC1">
        <w:t>Maritime Arrivals Reporting System</w:t>
      </w:r>
      <w:bookmarkEnd w:id="51"/>
    </w:p>
    <w:p w14:paraId="67BECF00" w14:textId="34DC65AD" w:rsidR="00AB0E44" w:rsidRDefault="007C1DFE">
      <w:pPr>
        <w:rPr>
          <w:lang w:eastAsia="ja-JP"/>
        </w:rPr>
      </w:pPr>
      <w:r>
        <w:t xml:space="preserve">MARS and the VCS are managing shipping biosecurity risks much better than was previously possible, and they have </w:t>
      </w:r>
      <w:r w:rsidR="00361FA3">
        <w:t>been well</w:t>
      </w:r>
      <w:r>
        <w:t xml:space="preserve"> </w:t>
      </w:r>
      <w:r w:rsidR="00361FA3">
        <w:t>received by the shipping industry</w:t>
      </w:r>
      <w:r>
        <w:t>.</w:t>
      </w:r>
      <w:r w:rsidR="00361FA3">
        <w:t xml:space="preserve"> More </w:t>
      </w:r>
      <w:r w:rsidR="00361FA3">
        <w:rPr>
          <w:lang w:eastAsia="ja-JP"/>
        </w:rPr>
        <w:t xml:space="preserve">consistent and thorough risk assessments can be undertaken for all vessels before they arrive at Australian ports. </w:t>
      </w:r>
      <w:r>
        <w:rPr>
          <w:lang w:eastAsia="ja-JP"/>
        </w:rPr>
        <w:t>Also</w:t>
      </w:r>
      <w:r w:rsidR="00361FA3">
        <w:rPr>
          <w:lang w:eastAsia="ja-JP"/>
        </w:rPr>
        <w:t>, the MARS educational material has increased biosecurity awareness among shipping companies and ships’ masters, enabling them to better understand and comply with Australian requirements.</w:t>
      </w:r>
    </w:p>
    <w:p w14:paraId="1E183407" w14:textId="5E7F8212" w:rsidR="00AB0E44" w:rsidRDefault="00361FA3">
      <w:pPr>
        <w:rPr>
          <w:lang w:eastAsia="ja-JP"/>
        </w:rPr>
      </w:pPr>
      <w:r>
        <w:rPr>
          <w:lang w:eastAsia="ja-JP"/>
        </w:rPr>
        <w:t xml:space="preserve">While MARS captures data on the last port of embarkation before the vessel sailed to Australia, there is no data on previous ports of call. </w:t>
      </w:r>
      <w:r w:rsidR="00FB39DF">
        <w:rPr>
          <w:lang w:eastAsia="ja-JP"/>
        </w:rPr>
        <w:t>If high-</w:t>
      </w:r>
      <w:r w:rsidR="007C1DFE">
        <w:rPr>
          <w:lang w:eastAsia="ja-JP"/>
        </w:rPr>
        <w:t xml:space="preserve">risk countries or ports have been visited </w:t>
      </w:r>
      <w:r w:rsidR="00A110D0">
        <w:rPr>
          <w:lang w:eastAsia="ja-JP"/>
        </w:rPr>
        <w:t>there may be a</w:t>
      </w:r>
      <w:r>
        <w:rPr>
          <w:lang w:eastAsia="ja-JP"/>
        </w:rPr>
        <w:t xml:space="preserve"> significant hitchhiker risk depending on the time of year. </w:t>
      </w:r>
      <w:r w:rsidR="00A110D0">
        <w:rPr>
          <w:szCs w:val="24"/>
          <w:lang w:eastAsia="ja-JP"/>
        </w:rPr>
        <w:t xml:space="preserve">This risk could be better managed </w:t>
      </w:r>
      <w:r w:rsidR="00A110D0">
        <w:rPr>
          <w:lang w:eastAsia="ja-JP"/>
        </w:rPr>
        <w:t xml:space="preserve">if MARS had </w:t>
      </w:r>
      <w:r>
        <w:rPr>
          <w:lang w:eastAsia="ja-JP"/>
        </w:rPr>
        <w:t xml:space="preserve">the capability to </w:t>
      </w:r>
      <w:r>
        <w:rPr>
          <w:szCs w:val="24"/>
          <w:lang w:eastAsia="ja-JP"/>
        </w:rPr>
        <w:t>require ships’ masters to list up to five prior overseas ports of call when submitting a Pre-Arrival Report.</w:t>
      </w:r>
    </w:p>
    <w:p w14:paraId="2190C224" w14:textId="1440EAA7" w:rsidR="00AB0E44" w:rsidRDefault="00361FA3">
      <w:r>
        <w:rPr>
          <w:lang w:eastAsia="ja-JP"/>
        </w:rPr>
        <w:t>Initial MARS development focused on communication between persons directly responsible for the ships and the biosecurity staff responsible for arranging and carrying out inspections and oversighting any necessary treatments before clearance of the ship. Provision for higher-level data analysis was given second priority. There is a wealth of data rapidly accumulating in MARS and considerable opportunity for both improved management of operations and better overall risk management.</w:t>
      </w:r>
      <w:r>
        <w:t xml:space="preserve"> Additional software development is underway to prepare summary reports for decision makers and operational staff at different levels of the department as well as industry in order to maximise the usefulness of the system.</w:t>
      </w:r>
    </w:p>
    <w:p w14:paraId="4974B180" w14:textId="77777777" w:rsidR="00AB0E44" w:rsidRDefault="00361FA3" w:rsidP="00484107">
      <w:pPr>
        <w:pStyle w:val="Caption"/>
        <w:spacing w:before="240"/>
        <w:rPr>
          <w:lang w:eastAsia="ja-JP"/>
        </w:rPr>
      </w:pPr>
      <w:r>
        <w:t xml:space="preserve">Recommendation </w:t>
      </w:r>
      <w:r w:rsidR="00F21B3D">
        <w:rPr>
          <w:noProof/>
        </w:rPr>
        <w:fldChar w:fldCharType="begin"/>
      </w:r>
      <w:r w:rsidR="00F21B3D">
        <w:rPr>
          <w:noProof/>
        </w:rPr>
        <w:instrText xml:space="preserve"> SEQ Recommendation \* ARABIC </w:instrText>
      </w:r>
      <w:r w:rsidR="00F21B3D">
        <w:rPr>
          <w:noProof/>
        </w:rPr>
        <w:fldChar w:fldCharType="separate"/>
      </w:r>
      <w:r w:rsidR="007F78D8">
        <w:rPr>
          <w:noProof/>
        </w:rPr>
        <w:t>1</w:t>
      </w:r>
      <w:r w:rsidR="00F21B3D">
        <w:rPr>
          <w:noProof/>
        </w:rPr>
        <w:fldChar w:fldCharType="end"/>
      </w:r>
    </w:p>
    <w:p w14:paraId="5838B73F" w14:textId="77777777" w:rsidR="008E69C3" w:rsidRPr="008E69C3" w:rsidRDefault="008E69C3" w:rsidP="008E69C3">
      <w:pPr>
        <w:pStyle w:val="BoxText"/>
      </w:pPr>
      <w:r w:rsidRPr="008E69C3">
        <w:t>The department should modify the MARS software so it can provide:</w:t>
      </w:r>
    </w:p>
    <w:p w14:paraId="12DAC5A7" w14:textId="77777777" w:rsidR="008E69C3" w:rsidRPr="008E69C3" w:rsidRDefault="008E69C3" w:rsidP="008E69C3">
      <w:pPr>
        <w:pStyle w:val="BoxTextBullet"/>
        <w:tabs>
          <w:tab w:val="clear" w:pos="227"/>
          <w:tab w:val="left" w:pos="426"/>
        </w:tabs>
        <w:ind w:left="426" w:hanging="426"/>
        <w:rPr>
          <w:szCs w:val="20"/>
          <w:lang w:eastAsia="ja-JP"/>
        </w:rPr>
      </w:pPr>
      <w:r w:rsidRPr="008E69C3">
        <w:rPr>
          <w:szCs w:val="20"/>
          <w:lang w:eastAsia="ja-JP"/>
        </w:rPr>
        <w:t>ability for ships’ masters to list up to five prior overseas ports of call when submitting a Pre-Arrival Report,</w:t>
      </w:r>
    </w:p>
    <w:p w14:paraId="6DDD625E" w14:textId="77777777" w:rsidR="008E69C3" w:rsidRPr="008E69C3" w:rsidRDefault="008E69C3" w:rsidP="008E69C3">
      <w:pPr>
        <w:pStyle w:val="BoxTextBullet"/>
        <w:tabs>
          <w:tab w:val="clear" w:pos="227"/>
          <w:tab w:val="left" w:pos="426"/>
        </w:tabs>
        <w:ind w:left="426" w:hanging="426"/>
        <w:rPr>
          <w:szCs w:val="20"/>
          <w:lang w:eastAsia="ja-JP"/>
        </w:rPr>
      </w:pPr>
      <w:r w:rsidRPr="008E69C3">
        <w:rPr>
          <w:szCs w:val="20"/>
          <w:lang w:eastAsia="ja-JP"/>
        </w:rPr>
        <w:t>real-time reporting and visualisation of MARS inspection data and missed inspections, including reasons by port and ship type, for all biosecurity officers and managers, and</w:t>
      </w:r>
    </w:p>
    <w:p w14:paraId="6113B405" w14:textId="77777777" w:rsidR="008E69C3" w:rsidRPr="008E69C3" w:rsidRDefault="008E69C3" w:rsidP="008E69C3">
      <w:pPr>
        <w:pStyle w:val="BoxTextBullet"/>
        <w:tabs>
          <w:tab w:val="clear" w:pos="227"/>
          <w:tab w:val="left" w:pos="426"/>
        </w:tabs>
        <w:ind w:left="426" w:hanging="426"/>
      </w:pPr>
      <w:proofErr w:type="gramStart"/>
      <w:r w:rsidRPr="008E69C3">
        <w:rPr>
          <w:szCs w:val="20"/>
          <w:lang w:eastAsia="ja-JP"/>
        </w:rPr>
        <w:t>better</w:t>
      </w:r>
      <w:proofErr w:type="gramEnd"/>
      <w:r w:rsidRPr="008E69C3">
        <w:rPr>
          <w:szCs w:val="20"/>
          <w:lang w:eastAsia="ja-JP"/>
        </w:rPr>
        <w:t xml:space="preserve"> summary reports for departmental decision-makers and operational staff, and industry, to facilitate timely and targeted risk management.</w:t>
      </w:r>
    </w:p>
    <w:p w14:paraId="5F0E95CB" w14:textId="77777777" w:rsidR="000C11D5" w:rsidRPr="000C11D5" w:rsidRDefault="008E69C3" w:rsidP="000C11D5">
      <w:pPr>
        <w:pStyle w:val="BoxText"/>
        <w:rPr>
          <w:rStyle w:val="Strong"/>
          <w:b w:val="0"/>
        </w:rPr>
      </w:pPr>
      <w:r w:rsidRPr="00EC3265">
        <w:rPr>
          <w:rStyle w:val="Strong"/>
          <w:bCs w:val="0"/>
        </w:rPr>
        <w:t>Department’s response</w:t>
      </w:r>
      <w:r w:rsidRPr="00EC3265">
        <w:rPr>
          <w:rStyle w:val="Strong"/>
        </w:rPr>
        <w:t>:</w:t>
      </w:r>
      <w:r w:rsidR="000C11D5">
        <w:rPr>
          <w:rStyle w:val="Strong"/>
          <w:b w:val="0"/>
        </w:rPr>
        <w:t xml:space="preserve"> </w:t>
      </w:r>
      <w:r w:rsidR="000C11D5" w:rsidRPr="000C11D5">
        <w:rPr>
          <w:rStyle w:val="Strong"/>
          <w:b w:val="0"/>
        </w:rPr>
        <w:t xml:space="preserve">Agreed. </w:t>
      </w:r>
    </w:p>
    <w:p w14:paraId="19B28A06" w14:textId="4D956490" w:rsidR="00AB0E44" w:rsidRPr="000C11D5" w:rsidRDefault="000C11D5" w:rsidP="000C11D5">
      <w:pPr>
        <w:pStyle w:val="BoxText"/>
        <w:rPr>
          <w:rStyle w:val="Strong"/>
          <w:b w:val="0"/>
        </w:rPr>
      </w:pPr>
      <w:r w:rsidRPr="000C11D5">
        <w:rPr>
          <w:rStyle w:val="Strong"/>
          <w:b w:val="0"/>
        </w:rPr>
        <w:t>The above recommended modifications have been prioritised for future MARS releases.</w:t>
      </w:r>
    </w:p>
    <w:p w14:paraId="7165DAD3" w14:textId="77777777" w:rsidR="00AB0E44" w:rsidRDefault="00361FA3">
      <w:pPr>
        <w:pStyle w:val="Heading2"/>
        <w:rPr>
          <w:lang w:eastAsia="x-none"/>
        </w:rPr>
      </w:pPr>
      <w:bookmarkStart w:id="52" w:name="_Toc509213809"/>
      <w:bookmarkStart w:id="53" w:name="_Toc509213810"/>
      <w:bookmarkStart w:id="54" w:name="_Toc509213811"/>
      <w:bookmarkStart w:id="55" w:name="_Toc509213812"/>
      <w:bookmarkStart w:id="56" w:name="_Toc509213813"/>
      <w:bookmarkStart w:id="57" w:name="_Toc521069543"/>
      <w:bookmarkEnd w:id="52"/>
      <w:bookmarkEnd w:id="53"/>
      <w:bookmarkEnd w:id="54"/>
      <w:bookmarkEnd w:id="55"/>
      <w:bookmarkEnd w:id="56"/>
      <w:r>
        <w:t>Sea container entry pathway</w:t>
      </w:r>
      <w:bookmarkEnd w:id="57"/>
    </w:p>
    <w:p w14:paraId="6B88B7E7" w14:textId="77777777" w:rsidR="00AB0E44" w:rsidRDefault="00361FA3">
      <w:pPr>
        <w:pStyle w:val="Heading3"/>
      </w:pPr>
      <w:bookmarkStart w:id="58" w:name="_Toc521069544"/>
      <w:r>
        <w:t>Sea container arrivals</w:t>
      </w:r>
      <w:bookmarkEnd w:id="58"/>
    </w:p>
    <w:p w14:paraId="7703FE71" w14:textId="53B6D578" w:rsidR="00AB0E44" w:rsidRDefault="00361FA3">
      <w:pPr>
        <w:rPr>
          <w:rFonts w:cs="Calibri"/>
          <w:color w:val="000000"/>
          <w:szCs w:val="24"/>
          <w:lang w:eastAsia="en-AU"/>
        </w:rPr>
      </w:pPr>
      <w:r>
        <w:rPr>
          <w:rFonts w:cs="Calibri"/>
          <w:color w:val="000000"/>
          <w:szCs w:val="24"/>
          <w:lang w:eastAsia="en-AU"/>
        </w:rPr>
        <w:t>On average, a sea container lasts for about 18 years and is used for four to five trips per year. Each container passes through about 13 ports annually</w:t>
      </w:r>
      <w:r w:rsidR="00600887">
        <w:rPr>
          <w:rFonts w:cs="Calibri"/>
          <w:color w:val="000000"/>
          <w:szCs w:val="24"/>
          <w:lang w:eastAsia="en-AU"/>
        </w:rPr>
        <w:t xml:space="preserve">. In 2015 there was </w:t>
      </w:r>
      <w:r>
        <w:rPr>
          <w:rFonts w:cs="Calibri"/>
          <w:color w:val="000000"/>
          <w:szCs w:val="24"/>
          <w:lang w:eastAsia="en-AU"/>
        </w:rPr>
        <w:t xml:space="preserve">a worldwide annual throughput of about 679 million </w:t>
      </w:r>
      <w:r w:rsidR="00600887">
        <w:rPr>
          <w:rFonts w:cs="Calibri"/>
          <w:color w:val="000000"/>
          <w:szCs w:val="24"/>
          <w:lang w:eastAsia="en-AU"/>
        </w:rPr>
        <w:t>20</w:t>
      </w:r>
      <w:r>
        <w:rPr>
          <w:rFonts w:cs="Calibri"/>
          <w:color w:val="000000"/>
          <w:szCs w:val="24"/>
          <w:lang w:eastAsia="en-AU"/>
        </w:rPr>
        <w:t>-foot equivalent units (TEU) (</w:t>
      </w:r>
      <w:proofErr w:type="spellStart"/>
      <w:r>
        <w:rPr>
          <w:rFonts w:cs="Calibri"/>
          <w:color w:val="000000"/>
          <w:szCs w:val="24"/>
          <w:lang w:eastAsia="en-AU"/>
        </w:rPr>
        <w:t>Brokerhoff</w:t>
      </w:r>
      <w:proofErr w:type="spellEnd"/>
      <w:r>
        <w:rPr>
          <w:rFonts w:cs="Calibri"/>
          <w:color w:val="000000"/>
          <w:szCs w:val="24"/>
          <w:lang w:eastAsia="en-AU"/>
        </w:rPr>
        <w:t xml:space="preserve"> et al. 2016).</w:t>
      </w:r>
    </w:p>
    <w:p w14:paraId="6F453A0C" w14:textId="39FE4867" w:rsidR="00AB0E44" w:rsidRDefault="00600887">
      <w:pPr>
        <w:rPr>
          <w:rFonts w:cs="Calibri"/>
          <w:color w:val="000000"/>
          <w:szCs w:val="24"/>
          <w:lang w:eastAsia="en-AU"/>
        </w:rPr>
      </w:pPr>
      <w:r>
        <w:rPr>
          <w:rFonts w:cs="Calibri"/>
          <w:color w:val="000000"/>
          <w:szCs w:val="24"/>
          <w:lang w:eastAsia="en-AU"/>
        </w:rPr>
        <w:t xml:space="preserve">The </w:t>
      </w:r>
      <w:r w:rsidR="00FB39DF">
        <w:rPr>
          <w:rFonts w:cs="Calibri"/>
          <w:color w:val="000000"/>
          <w:szCs w:val="24"/>
          <w:lang w:eastAsia="en-AU"/>
        </w:rPr>
        <w:t>number</w:t>
      </w:r>
      <w:r>
        <w:rPr>
          <w:rFonts w:cs="Calibri"/>
          <w:color w:val="000000"/>
          <w:szCs w:val="24"/>
          <w:lang w:eastAsia="en-AU"/>
        </w:rPr>
        <w:t xml:space="preserve"> of c</w:t>
      </w:r>
      <w:r w:rsidR="00361FA3">
        <w:rPr>
          <w:rFonts w:cs="Calibri"/>
          <w:color w:val="000000"/>
          <w:szCs w:val="24"/>
          <w:lang w:eastAsia="en-AU"/>
        </w:rPr>
        <w:t xml:space="preserve">ontainerised freight imports to Australia </w:t>
      </w:r>
      <w:r>
        <w:rPr>
          <w:rFonts w:cs="Calibri"/>
          <w:color w:val="000000"/>
          <w:szCs w:val="24"/>
          <w:lang w:eastAsia="en-AU"/>
        </w:rPr>
        <w:t xml:space="preserve">has </w:t>
      </w:r>
      <w:r w:rsidR="00361FA3">
        <w:rPr>
          <w:rFonts w:cs="Calibri"/>
          <w:color w:val="000000"/>
          <w:szCs w:val="24"/>
          <w:lang w:eastAsia="en-AU"/>
        </w:rPr>
        <w:t>grown significantly over the past 10 years</w:t>
      </w:r>
      <w:r>
        <w:rPr>
          <w:rFonts w:cs="Calibri"/>
          <w:color w:val="000000"/>
          <w:szCs w:val="24"/>
          <w:lang w:eastAsia="en-AU"/>
        </w:rPr>
        <w:t>.</w:t>
      </w:r>
      <w:r w:rsidR="00361FA3">
        <w:rPr>
          <w:rFonts w:cs="Calibri"/>
          <w:color w:val="000000"/>
          <w:szCs w:val="24"/>
          <w:lang w:eastAsia="en-AU"/>
        </w:rPr>
        <w:t xml:space="preserve"> </w:t>
      </w:r>
      <w:r>
        <w:rPr>
          <w:rFonts w:cs="Calibri"/>
          <w:color w:val="000000"/>
          <w:szCs w:val="24"/>
          <w:lang w:eastAsia="en-AU"/>
        </w:rPr>
        <w:t xml:space="preserve">In 2016–17 there were </w:t>
      </w:r>
      <w:r w:rsidR="00361FA3">
        <w:rPr>
          <w:rFonts w:cs="Calibri"/>
          <w:color w:val="000000"/>
          <w:szCs w:val="24"/>
          <w:lang w:eastAsia="en-AU"/>
        </w:rPr>
        <w:t>over three million</w:t>
      </w:r>
      <w:r>
        <w:rPr>
          <w:rFonts w:cs="Calibri"/>
          <w:color w:val="000000"/>
          <w:szCs w:val="24"/>
          <w:lang w:eastAsia="en-AU"/>
        </w:rPr>
        <w:t xml:space="preserve"> containerised freight imports</w:t>
      </w:r>
      <w:r w:rsidR="00361FA3">
        <w:rPr>
          <w:rFonts w:cs="Calibri"/>
          <w:color w:val="000000"/>
          <w:szCs w:val="24"/>
          <w:lang w:eastAsia="en-AU"/>
        </w:rPr>
        <w:t>. In 2014 the</w:t>
      </w:r>
      <w:r w:rsidR="00FB39DF">
        <w:rPr>
          <w:rFonts w:cs="Calibri"/>
          <w:color w:val="000000"/>
          <w:szCs w:val="24"/>
          <w:lang w:eastAsia="en-AU"/>
        </w:rPr>
        <w:t xml:space="preserve"> number was </w:t>
      </w:r>
      <w:r w:rsidR="00361FA3">
        <w:rPr>
          <w:rFonts w:cs="Calibri"/>
          <w:color w:val="000000"/>
          <w:szCs w:val="24"/>
          <w:lang w:eastAsia="en-AU"/>
        </w:rPr>
        <w:t xml:space="preserve">forecast to grow at an average rate of 5.1 per cent for the next 20 years, so that </w:t>
      </w:r>
      <w:r w:rsidR="00FB39DF">
        <w:rPr>
          <w:rFonts w:cs="Calibri"/>
          <w:color w:val="000000"/>
          <w:szCs w:val="24"/>
          <w:lang w:eastAsia="en-AU"/>
        </w:rPr>
        <w:t xml:space="preserve">the number of </w:t>
      </w:r>
      <w:r w:rsidR="00361FA3">
        <w:rPr>
          <w:rFonts w:cs="Calibri"/>
          <w:color w:val="000000"/>
          <w:szCs w:val="24"/>
          <w:lang w:eastAsia="en-AU"/>
        </w:rPr>
        <w:t>imported container</w:t>
      </w:r>
      <w:r w:rsidR="00FB39DF">
        <w:rPr>
          <w:rFonts w:cs="Calibri"/>
          <w:color w:val="000000"/>
          <w:szCs w:val="24"/>
          <w:lang w:eastAsia="en-AU"/>
        </w:rPr>
        <w:t xml:space="preserve">s </w:t>
      </w:r>
      <w:r w:rsidR="00361FA3">
        <w:rPr>
          <w:rFonts w:cs="Calibri"/>
          <w:color w:val="000000"/>
          <w:szCs w:val="24"/>
          <w:lang w:eastAsia="en-AU"/>
        </w:rPr>
        <w:t xml:space="preserve">would reach 9.8 million TEU in 2032–33 compared </w:t>
      </w:r>
      <w:r>
        <w:rPr>
          <w:rFonts w:cs="Calibri"/>
          <w:color w:val="000000"/>
          <w:szCs w:val="24"/>
          <w:lang w:eastAsia="en-AU"/>
        </w:rPr>
        <w:t xml:space="preserve">with </w:t>
      </w:r>
      <w:r w:rsidR="00361FA3">
        <w:rPr>
          <w:rFonts w:cs="Calibri"/>
          <w:color w:val="000000"/>
          <w:szCs w:val="24"/>
          <w:lang w:eastAsia="en-AU"/>
        </w:rPr>
        <w:t>2.5 million TEU in 2012–13 (BITRE 2014).</w:t>
      </w:r>
    </w:p>
    <w:p w14:paraId="4DD0C815" w14:textId="77777777" w:rsidR="00AB0E44" w:rsidRDefault="00361FA3">
      <w:pPr>
        <w:rPr>
          <w:rFonts w:cs="Calibri"/>
          <w:color w:val="000000"/>
          <w:szCs w:val="24"/>
          <w:lang w:eastAsia="en-AU"/>
        </w:rPr>
      </w:pPr>
      <w:r>
        <w:rPr>
          <w:rFonts w:cs="Calibri"/>
          <w:color w:val="000000"/>
          <w:szCs w:val="24"/>
          <w:lang w:eastAsia="en-AU"/>
        </w:rPr>
        <w:t>From 2010 to 2017 over 21 million containers arrived in Australia, almost half from China (</w:t>
      </w:r>
      <w:r>
        <w:rPr>
          <w:rFonts w:cs="Calibri"/>
          <w:color w:val="000000"/>
          <w:szCs w:val="24"/>
          <w:lang w:eastAsia="en-AU"/>
        </w:rPr>
        <w:fldChar w:fldCharType="begin"/>
      </w:r>
      <w:r>
        <w:rPr>
          <w:rFonts w:cs="Calibri"/>
          <w:color w:val="000000"/>
          <w:szCs w:val="24"/>
          <w:lang w:eastAsia="en-AU"/>
        </w:rPr>
        <w:instrText xml:space="preserve"> REF _Ref514138678 \h </w:instrText>
      </w:r>
      <w:r>
        <w:rPr>
          <w:rFonts w:cs="Calibri"/>
          <w:color w:val="000000"/>
          <w:szCs w:val="24"/>
          <w:lang w:eastAsia="en-AU"/>
        </w:rPr>
      </w:r>
      <w:r>
        <w:rPr>
          <w:rFonts w:cs="Calibri"/>
          <w:color w:val="000000"/>
          <w:szCs w:val="24"/>
          <w:lang w:eastAsia="en-AU"/>
        </w:rPr>
        <w:fldChar w:fldCharType="separate"/>
      </w:r>
      <w:r w:rsidR="007F78D8">
        <w:t xml:space="preserve">Figure </w:t>
      </w:r>
      <w:r w:rsidR="007F78D8">
        <w:rPr>
          <w:noProof/>
        </w:rPr>
        <w:t>5</w:t>
      </w:r>
      <w:r>
        <w:rPr>
          <w:rFonts w:cs="Calibri"/>
          <w:color w:val="000000"/>
          <w:szCs w:val="24"/>
          <w:lang w:eastAsia="en-AU"/>
        </w:rPr>
        <w:fldChar w:fldCharType="end"/>
      </w:r>
      <w:r>
        <w:rPr>
          <w:rFonts w:cs="Calibri"/>
          <w:color w:val="000000"/>
          <w:szCs w:val="24"/>
          <w:lang w:eastAsia="en-AU"/>
        </w:rPr>
        <w:t>). Sydney and Melbourne received over 72 per cent of container arrivals (</w:t>
      </w:r>
      <w:r>
        <w:rPr>
          <w:rFonts w:cs="Calibri"/>
          <w:color w:val="000000"/>
          <w:szCs w:val="24"/>
          <w:lang w:eastAsia="en-AU"/>
        </w:rPr>
        <w:fldChar w:fldCharType="begin"/>
      </w:r>
      <w:r>
        <w:rPr>
          <w:rFonts w:cs="Calibri"/>
          <w:color w:val="000000"/>
          <w:szCs w:val="24"/>
          <w:lang w:eastAsia="en-AU"/>
        </w:rPr>
        <w:instrText xml:space="preserve"> REF _Ref514138688 \h </w:instrText>
      </w:r>
      <w:r>
        <w:rPr>
          <w:rFonts w:cs="Calibri"/>
          <w:color w:val="000000"/>
          <w:szCs w:val="24"/>
          <w:lang w:eastAsia="en-AU"/>
        </w:rPr>
      </w:r>
      <w:r>
        <w:rPr>
          <w:rFonts w:cs="Calibri"/>
          <w:color w:val="000000"/>
          <w:szCs w:val="24"/>
          <w:lang w:eastAsia="en-AU"/>
        </w:rPr>
        <w:fldChar w:fldCharType="separate"/>
      </w:r>
      <w:r w:rsidR="007F78D8">
        <w:t xml:space="preserve">Figure </w:t>
      </w:r>
      <w:r w:rsidR="007F78D8">
        <w:rPr>
          <w:noProof/>
        </w:rPr>
        <w:t>6</w:t>
      </w:r>
      <w:r>
        <w:rPr>
          <w:rFonts w:cs="Calibri"/>
          <w:color w:val="000000"/>
          <w:szCs w:val="24"/>
          <w:lang w:eastAsia="en-AU"/>
        </w:rPr>
        <w:fldChar w:fldCharType="end"/>
      </w:r>
      <w:r>
        <w:rPr>
          <w:rFonts w:cs="Calibri"/>
          <w:color w:val="000000"/>
          <w:szCs w:val="24"/>
          <w:lang w:eastAsia="en-AU"/>
        </w:rPr>
        <w:t>).</w:t>
      </w:r>
    </w:p>
    <w:p w14:paraId="5D98B2DB" w14:textId="3FE09184" w:rsidR="00AB0E44" w:rsidRDefault="00361FA3">
      <w:pPr>
        <w:pStyle w:val="Caption"/>
      </w:pPr>
      <w:bookmarkStart w:id="59" w:name="_Ref514138678"/>
      <w:bookmarkStart w:id="60" w:name="_Toc521069575"/>
      <w:r>
        <w:t xml:space="preserve">Figure </w:t>
      </w:r>
      <w:r w:rsidR="000F1D5A">
        <w:rPr>
          <w:noProof/>
        </w:rPr>
        <w:fldChar w:fldCharType="begin"/>
      </w:r>
      <w:r w:rsidR="000F1D5A">
        <w:rPr>
          <w:noProof/>
        </w:rPr>
        <w:instrText xml:space="preserve"> SEQ Figure \* ARABIC </w:instrText>
      </w:r>
      <w:r w:rsidR="000F1D5A">
        <w:rPr>
          <w:noProof/>
        </w:rPr>
        <w:fldChar w:fldCharType="separate"/>
      </w:r>
      <w:r w:rsidR="007F78D8">
        <w:rPr>
          <w:noProof/>
        </w:rPr>
        <w:t>5</w:t>
      </w:r>
      <w:r w:rsidR="000F1D5A">
        <w:rPr>
          <w:noProof/>
        </w:rPr>
        <w:fldChar w:fldCharType="end"/>
      </w:r>
      <w:bookmarkEnd w:id="59"/>
      <w:r>
        <w:t xml:space="preserve"> Top five countries of origin for container arrivals, 2010–</w:t>
      </w:r>
      <w:r w:rsidR="00FB39DF">
        <w:t>20</w:t>
      </w:r>
      <w:r>
        <w:t>17</w:t>
      </w:r>
      <w:bookmarkEnd w:id="60"/>
    </w:p>
    <w:p w14:paraId="4612649C" w14:textId="12214846" w:rsidR="00AB0E44" w:rsidRDefault="009B616B">
      <w:pPr>
        <w:rPr>
          <w:rFonts w:cs="Calibri"/>
          <w:color w:val="000000"/>
          <w:szCs w:val="24"/>
          <w:lang w:eastAsia="en-AU"/>
        </w:rPr>
      </w:pPr>
      <w:r>
        <w:rPr>
          <w:noProof/>
          <w:lang w:eastAsia="en-AU"/>
        </w:rPr>
        <w:drawing>
          <wp:inline distT="0" distB="0" distL="0" distR="0" wp14:anchorId="21DE6199" wp14:editId="327622A9">
            <wp:extent cx="4572000" cy="2881312"/>
            <wp:effectExtent l="0" t="0" r="0" b="0"/>
            <wp:docPr id="8" name="Chart 8" descr="Top five countries that exported containers to Australia (in descending order) are: China 47.5%, USA 8.7%, New Zealand 5.6%, Thailand 5.3% and Malaysia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AAA8179" w14:textId="253B4F18" w:rsidR="00AB0E44" w:rsidRDefault="00361FA3">
      <w:pPr>
        <w:pStyle w:val="FigureTableNoteSource"/>
        <w:rPr>
          <w:lang w:eastAsia="en-AU"/>
        </w:rPr>
      </w:pPr>
      <w:r>
        <w:rPr>
          <w:lang w:eastAsia="en-AU"/>
        </w:rPr>
        <w:t>Source: Department of Home Affairs</w:t>
      </w:r>
    </w:p>
    <w:p w14:paraId="0A35DFC5" w14:textId="77777777" w:rsidR="00AB0E44" w:rsidRDefault="00361FA3">
      <w:pPr>
        <w:pStyle w:val="Caption"/>
      </w:pPr>
      <w:bookmarkStart w:id="61" w:name="_Ref514138688"/>
      <w:bookmarkStart w:id="62" w:name="_Toc521069576"/>
      <w:r>
        <w:t xml:space="preserve">Figure </w:t>
      </w:r>
      <w:r w:rsidR="00F21B3D">
        <w:rPr>
          <w:noProof/>
        </w:rPr>
        <w:fldChar w:fldCharType="begin"/>
      </w:r>
      <w:r w:rsidR="00F21B3D">
        <w:rPr>
          <w:noProof/>
        </w:rPr>
        <w:instrText xml:space="preserve"> SEQ Figure \* ARABIC </w:instrText>
      </w:r>
      <w:r w:rsidR="00F21B3D">
        <w:rPr>
          <w:noProof/>
        </w:rPr>
        <w:fldChar w:fldCharType="separate"/>
      </w:r>
      <w:r w:rsidR="007F78D8">
        <w:rPr>
          <w:noProof/>
        </w:rPr>
        <w:t>6</w:t>
      </w:r>
      <w:r w:rsidR="00F21B3D">
        <w:rPr>
          <w:noProof/>
        </w:rPr>
        <w:fldChar w:fldCharType="end"/>
      </w:r>
      <w:bookmarkEnd w:id="61"/>
      <w:r>
        <w:t xml:space="preserve"> Top five ports of discharge for shipping containers, 2010–2017</w:t>
      </w:r>
      <w:bookmarkEnd w:id="62"/>
    </w:p>
    <w:p w14:paraId="4FD62FC1" w14:textId="26B0E919" w:rsidR="00AB0E44" w:rsidRDefault="001D0094">
      <w:r>
        <w:rPr>
          <w:noProof/>
          <w:lang w:eastAsia="en-AU"/>
        </w:rPr>
        <w:drawing>
          <wp:inline distT="0" distB="0" distL="0" distR="0" wp14:anchorId="5E134A1F" wp14:editId="48A7E1D0">
            <wp:extent cx="4074795" cy="2447589"/>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4795" cy="2447589"/>
                    </a:xfrm>
                    <a:prstGeom prst="rect">
                      <a:avLst/>
                    </a:prstGeom>
                    <a:noFill/>
                  </pic:spPr>
                </pic:pic>
              </a:graphicData>
            </a:graphic>
          </wp:inline>
        </w:drawing>
      </w:r>
    </w:p>
    <w:p w14:paraId="66F2D8E0" w14:textId="541FF0D3" w:rsidR="00AB0E44" w:rsidRDefault="00361FA3">
      <w:pPr>
        <w:pStyle w:val="FigureTableNoteSource"/>
      </w:pPr>
      <w:r>
        <w:rPr>
          <w:lang w:eastAsia="en-AU"/>
        </w:rPr>
        <w:t>Source: Department of Home Affairs</w:t>
      </w:r>
    </w:p>
    <w:p w14:paraId="4D0439F0" w14:textId="77777777" w:rsidR="00513C6C" w:rsidRPr="00513C6C" w:rsidRDefault="00513C6C" w:rsidP="00522784">
      <w:pPr>
        <w:pStyle w:val="Heading3"/>
        <w:rPr>
          <w:rFonts w:eastAsia="Calibri"/>
        </w:rPr>
      </w:pPr>
      <w:bookmarkStart w:id="63" w:name="_Toc521069545"/>
      <w:r w:rsidRPr="00513C6C">
        <w:rPr>
          <w:rFonts w:eastAsia="Calibri"/>
        </w:rPr>
        <w:t>Sea container risk management policy, 2010</w:t>
      </w:r>
      <w:r w:rsidRPr="00522784">
        <w:rPr>
          <w:rFonts w:eastAsia="Calibri"/>
        </w:rPr>
        <w:t>–20</w:t>
      </w:r>
      <w:r w:rsidRPr="00513C6C">
        <w:rPr>
          <w:rFonts w:eastAsia="Calibri"/>
        </w:rPr>
        <w:t>18</w:t>
      </w:r>
      <w:bookmarkEnd w:id="63"/>
    </w:p>
    <w:p w14:paraId="362F78D7" w14:textId="77777777" w:rsidR="00513C6C" w:rsidRDefault="00513C6C" w:rsidP="00522784">
      <w:pPr>
        <w:pStyle w:val="Heading4"/>
      </w:pPr>
      <w:r>
        <w:rPr>
          <w:lang w:val="en-AU"/>
        </w:rPr>
        <w:t>Phasing in a risk-based policy</w:t>
      </w:r>
    </w:p>
    <w:p w14:paraId="563BA2FA" w14:textId="77777777" w:rsidR="00513C6C" w:rsidRPr="000E2F7D" w:rsidRDefault="00513C6C" w:rsidP="00513C6C">
      <w:pPr>
        <w:rPr>
          <w:lang w:eastAsia="en-AU"/>
        </w:rPr>
      </w:pPr>
      <w:r>
        <w:rPr>
          <w:lang w:eastAsia="ja-JP"/>
        </w:rPr>
        <w:t>Until 2009 all containers were supposed to be inspected at the wharf gate before leaving the port in order to detect obvious external soil contamination or hitchhikers such as giant African snails. For wharf-gate inspection, a truck carrying a container stops at the exit of a wharf or terminal, and an inspector walks around the truck examining the areas of three or four sides (back, front, driver’s side and, when possible, the bottom) of the container that are visible without unloading the truck. This takes about three to five minutes per container.</w:t>
      </w:r>
    </w:p>
    <w:p w14:paraId="53C0C288" w14:textId="77777777" w:rsidR="00AB0E44" w:rsidRDefault="00361FA3" w:rsidP="00522784">
      <w:pPr>
        <w:rPr>
          <w:lang w:eastAsia="ja-JP"/>
        </w:rPr>
      </w:pPr>
      <w:r>
        <w:rPr>
          <w:lang w:eastAsia="ja-JP"/>
        </w:rPr>
        <w:t>Beale et al. (2008) recommended a move away from mandatory inspection of all containers since 98 per cent of containers passed inspection.</w:t>
      </w:r>
    </w:p>
    <w:p w14:paraId="7FBF987F" w14:textId="10DF85A0" w:rsidR="00AB0E44" w:rsidRDefault="00361FA3" w:rsidP="005C6AC1">
      <w:pPr>
        <w:rPr>
          <w:lang w:eastAsia="ja-JP"/>
        </w:rPr>
      </w:pPr>
      <w:r>
        <w:rPr>
          <w:lang w:eastAsia="ja-JP"/>
        </w:rPr>
        <w:t xml:space="preserve">In 2010 the department formulated </w:t>
      </w:r>
      <w:r w:rsidRPr="00E36FF1">
        <w:rPr>
          <w:lang w:eastAsia="ja-JP"/>
        </w:rPr>
        <w:t>the</w:t>
      </w:r>
      <w:r w:rsidRPr="005932C1">
        <w:rPr>
          <w:lang w:eastAsia="ja-JP"/>
        </w:rPr>
        <w:t xml:space="preserve"> </w:t>
      </w:r>
      <w:r w:rsidRPr="005B196A">
        <w:rPr>
          <w:lang w:eastAsia="ja-JP"/>
        </w:rPr>
        <w:t>Sea Container Risk Management Policy (SCRMP)</w:t>
      </w:r>
      <w:r>
        <w:rPr>
          <w:lang w:eastAsia="ja-JP"/>
        </w:rPr>
        <w:t xml:space="preserve"> to detect and manage biosecurity risk material on the outside and inside of sea containers entering Australia. It introduced a targeted risk-based approach, with external risks being managed by more intensive inspection of all containers coming from ‘high-risk’ countries (known as country action list </w:t>
      </w:r>
      <w:r w:rsidR="00600887">
        <w:rPr>
          <w:lang w:eastAsia="ja-JP"/>
        </w:rPr>
        <w:t>(</w:t>
      </w:r>
      <w:r>
        <w:rPr>
          <w:lang w:eastAsia="ja-JP"/>
        </w:rPr>
        <w:t>CAL</w:t>
      </w:r>
      <w:r w:rsidR="00600887">
        <w:rPr>
          <w:lang w:eastAsia="ja-JP"/>
        </w:rPr>
        <w:t>)</w:t>
      </w:r>
      <w:r>
        <w:rPr>
          <w:lang w:eastAsia="ja-JP"/>
        </w:rPr>
        <w:t xml:space="preserve"> countries) and a lower intensity and rate of routine wharf-gate inspection of other containers</w:t>
      </w:r>
      <w:r w:rsidR="00BF7431">
        <w:rPr>
          <w:lang w:eastAsia="ja-JP"/>
        </w:rPr>
        <w:t xml:space="preserve"> (</w:t>
      </w:r>
      <w:r w:rsidR="00BF7431">
        <w:rPr>
          <w:lang w:eastAsia="ja-JP"/>
        </w:rPr>
        <w:fldChar w:fldCharType="begin"/>
      </w:r>
      <w:r w:rsidR="00BF7431">
        <w:rPr>
          <w:lang w:eastAsia="ja-JP"/>
        </w:rPr>
        <w:instrText xml:space="preserve"> REF _Ref514147201 \h </w:instrText>
      </w:r>
      <w:r w:rsidR="00BF7431">
        <w:rPr>
          <w:lang w:eastAsia="ja-JP"/>
        </w:rPr>
      </w:r>
      <w:r w:rsidR="00BF7431">
        <w:rPr>
          <w:lang w:eastAsia="ja-JP"/>
        </w:rPr>
        <w:fldChar w:fldCharType="separate"/>
      </w:r>
      <w:r w:rsidR="007F78D8">
        <w:t xml:space="preserve">Figure </w:t>
      </w:r>
      <w:r w:rsidR="007F78D8">
        <w:rPr>
          <w:noProof/>
        </w:rPr>
        <w:t>7</w:t>
      </w:r>
      <w:r w:rsidR="00BF7431">
        <w:rPr>
          <w:lang w:eastAsia="ja-JP"/>
        </w:rPr>
        <w:fldChar w:fldCharType="end"/>
      </w:r>
      <w:r w:rsidR="00BF7431">
        <w:rPr>
          <w:lang w:eastAsia="ja-JP"/>
        </w:rPr>
        <w:t>)</w:t>
      </w:r>
      <w:r>
        <w:rPr>
          <w:lang w:eastAsia="ja-JP"/>
        </w:rPr>
        <w:t>. The SCRMP ha</w:t>
      </w:r>
      <w:r w:rsidR="009C0A41">
        <w:rPr>
          <w:lang w:eastAsia="ja-JP"/>
        </w:rPr>
        <w:t>d</w:t>
      </w:r>
      <w:r>
        <w:rPr>
          <w:lang w:eastAsia="ja-JP"/>
        </w:rPr>
        <w:t xml:space="preserve"> two phases</w:t>
      </w:r>
      <w:r w:rsidR="00651F60">
        <w:rPr>
          <w:lang w:eastAsia="ja-JP"/>
        </w:rPr>
        <w:t>:</w:t>
      </w:r>
      <w:r w:rsidR="00600887">
        <w:rPr>
          <w:lang w:eastAsia="ja-JP"/>
        </w:rPr>
        <w:t xml:space="preserve"> </w:t>
      </w:r>
    </w:p>
    <w:p w14:paraId="744A3014" w14:textId="7E862827" w:rsidR="00AB0E44" w:rsidRPr="00654E71" w:rsidRDefault="00351964" w:rsidP="00654E71">
      <w:r>
        <w:t>In P</w:t>
      </w:r>
      <w:r w:rsidR="00361FA3">
        <w:t xml:space="preserve">hase </w:t>
      </w:r>
      <w:r w:rsidR="00361FA3" w:rsidRPr="00654E71">
        <w:t>1</w:t>
      </w:r>
      <w:r>
        <w:t>,</w:t>
      </w:r>
      <w:r w:rsidR="00361FA3">
        <w:t xml:space="preserve"> government inspections and surveillance </w:t>
      </w:r>
      <w:r>
        <w:t>were to be undertaken, including</w:t>
      </w:r>
      <w:r w:rsidR="00361FA3" w:rsidRPr="00654E71">
        <w:t>:</w:t>
      </w:r>
    </w:p>
    <w:p w14:paraId="5D23577D" w14:textId="2AE1081D" w:rsidR="00AB0E44" w:rsidRDefault="00361FA3">
      <w:pPr>
        <w:pStyle w:val="ListBullet"/>
      </w:pPr>
      <w:r>
        <w:t>six-sided inspection on the wharf of all containers arriving from a CAL country</w:t>
      </w:r>
    </w:p>
    <w:p w14:paraId="2FE049BA" w14:textId="416F3CCB" w:rsidR="00AB0E44" w:rsidRDefault="00361FA3">
      <w:pPr>
        <w:pStyle w:val="ListBullet"/>
      </w:pPr>
      <w:r>
        <w:t>wharf</w:t>
      </w:r>
      <w:r w:rsidR="007A5BC3">
        <w:t>-</w:t>
      </w:r>
      <w:r>
        <w:t>gate inspection of 30 per cent of all other containers</w:t>
      </w:r>
    </w:p>
    <w:p w14:paraId="4A792CF3" w14:textId="637BFD0E" w:rsidR="00AB0E44" w:rsidRDefault="00361FA3">
      <w:pPr>
        <w:pStyle w:val="ListBullet"/>
      </w:pPr>
      <w:r>
        <w:t>rural tailgate inspection of all containers moving to a rural postcode</w:t>
      </w:r>
    </w:p>
    <w:p w14:paraId="25BE51F4" w14:textId="26A7DC9A" w:rsidR="00AB0E44" w:rsidRDefault="00361FA3">
      <w:pPr>
        <w:pStyle w:val="ListBullet"/>
      </w:pPr>
      <w:r>
        <w:t>rural transit inspection of all containers being moved by rail, or a voluntary proportion of containers being moved by road, between major metropolitan areas</w:t>
      </w:r>
    </w:p>
    <w:p w14:paraId="115AB1CB" w14:textId="77777777" w:rsidR="00AB0E44" w:rsidRDefault="00361FA3">
      <w:pPr>
        <w:pStyle w:val="ListBullet"/>
      </w:pPr>
      <w:proofErr w:type="gramStart"/>
      <w:r>
        <w:t>surveillance</w:t>
      </w:r>
      <w:proofErr w:type="gramEnd"/>
      <w:r>
        <w:t xml:space="preserve"> of empty containers at container parks, including targeted inspections of containers leaving the wharf (stack run outs) to container parks.</w:t>
      </w:r>
    </w:p>
    <w:p w14:paraId="5F637C68" w14:textId="365C81CB" w:rsidR="00AB0E44" w:rsidRPr="00654E71" w:rsidRDefault="00BE77B7" w:rsidP="00654E71">
      <w:r>
        <w:t>In</w:t>
      </w:r>
      <w:r w:rsidR="00361FA3">
        <w:t xml:space="preserve"> </w:t>
      </w:r>
      <w:r w:rsidR="00651F60">
        <w:t>P</w:t>
      </w:r>
      <w:r w:rsidR="00361FA3">
        <w:t xml:space="preserve">hase </w:t>
      </w:r>
      <w:r w:rsidR="00361FA3" w:rsidRPr="00654E71">
        <w:t>2</w:t>
      </w:r>
      <w:r w:rsidR="00361FA3">
        <w:t xml:space="preserve">, </w:t>
      </w:r>
      <w:r w:rsidR="00351964">
        <w:rPr>
          <w:lang w:eastAsia="ja-JP"/>
        </w:rPr>
        <w:t xml:space="preserve">risk pathways </w:t>
      </w:r>
      <w:r w:rsidR="00092CA2">
        <w:t>were to</w:t>
      </w:r>
      <w:r w:rsidR="00361FA3">
        <w:t xml:space="preserve"> be better targeted</w:t>
      </w:r>
      <w:r w:rsidR="00361FA3" w:rsidRPr="00654E71">
        <w:t xml:space="preserve"> by</w:t>
      </w:r>
      <w:r w:rsidR="00351964">
        <w:t xml:space="preserve"> </w:t>
      </w:r>
      <w:r w:rsidR="00351964">
        <w:rPr>
          <w:lang w:eastAsia="ja-JP"/>
        </w:rPr>
        <w:t>expanding offshore and onshore industry partnership arrangements, which would allow</w:t>
      </w:r>
      <w:r w:rsidR="00361FA3" w:rsidRPr="00654E71">
        <w:t>:</w:t>
      </w:r>
    </w:p>
    <w:p w14:paraId="06A87C73" w14:textId="46C3D3C8" w:rsidR="00AB0E44" w:rsidRDefault="00361FA3">
      <w:pPr>
        <w:pStyle w:val="ListBullet"/>
      </w:pPr>
      <w:r>
        <w:t>reducing the proportion of routine wharf</w:t>
      </w:r>
      <w:r w:rsidR="007A5BC3">
        <w:t>-</w:t>
      </w:r>
      <w:r>
        <w:t>gate inspections on a risk basis</w:t>
      </w:r>
    </w:p>
    <w:p w14:paraId="08BAF304" w14:textId="61A06F27" w:rsidR="00AB0E44" w:rsidRDefault="00361FA3">
      <w:pPr>
        <w:pStyle w:val="ListBullet"/>
      </w:pPr>
      <w:r>
        <w:t>modifying the handling of containers moving through or to a rural destination by:</w:t>
      </w:r>
    </w:p>
    <w:p w14:paraId="07098C84" w14:textId="62D520A7" w:rsidR="00AB0E44" w:rsidRDefault="00361FA3">
      <w:pPr>
        <w:pStyle w:val="ListBullet2"/>
      </w:pPr>
      <w:r>
        <w:t>inspecting only containers not destined for an approved arrangement site</w:t>
      </w:r>
    </w:p>
    <w:p w14:paraId="14604FF0" w14:textId="77777777" w:rsidR="00AB0E44" w:rsidRDefault="00361FA3">
      <w:pPr>
        <w:pStyle w:val="ListBullet2"/>
      </w:pPr>
      <w:r>
        <w:t>a more targeted approach to containers moving by rail and road</w:t>
      </w:r>
    </w:p>
    <w:p w14:paraId="4DE77591" w14:textId="25529FAE" w:rsidR="00AB0E44" w:rsidRDefault="00361FA3">
      <w:pPr>
        <w:pStyle w:val="ListBullet"/>
      </w:pPr>
      <w:proofErr w:type="gramStart"/>
      <w:r>
        <w:t>possible</w:t>
      </w:r>
      <w:proofErr w:type="gramEnd"/>
      <w:r>
        <w:t xml:space="preserve"> surveillance and third</w:t>
      </w:r>
      <w:r w:rsidR="00600887">
        <w:t>-</w:t>
      </w:r>
      <w:r>
        <w:t>party industry arrangements for external inspections, including a revised approach based on the analysis of available data.</w:t>
      </w:r>
    </w:p>
    <w:p w14:paraId="43960B2D" w14:textId="77777777" w:rsidR="00AB0E44" w:rsidRDefault="00361FA3" w:rsidP="00651F60">
      <w:pPr>
        <w:pStyle w:val="Caption"/>
        <w:spacing w:after="240"/>
        <w:rPr>
          <w:lang w:eastAsia="ja-JP"/>
        </w:rPr>
      </w:pPr>
      <w:bookmarkStart w:id="64" w:name="_Ref514147201"/>
      <w:bookmarkStart w:id="65" w:name="_Toc521069577"/>
      <w:r>
        <w:t xml:space="preserve">Figure </w:t>
      </w:r>
      <w:r w:rsidR="00F21B3D">
        <w:rPr>
          <w:noProof/>
        </w:rPr>
        <w:fldChar w:fldCharType="begin"/>
      </w:r>
      <w:r w:rsidR="00F21B3D">
        <w:rPr>
          <w:noProof/>
        </w:rPr>
        <w:instrText xml:space="preserve"> SEQ Figure \* ARABIC </w:instrText>
      </w:r>
      <w:r w:rsidR="00F21B3D">
        <w:rPr>
          <w:noProof/>
        </w:rPr>
        <w:fldChar w:fldCharType="separate"/>
      </w:r>
      <w:r w:rsidR="007F78D8">
        <w:rPr>
          <w:noProof/>
        </w:rPr>
        <w:t>7</w:t>
      </w:r>
      <w:r w:rsidR="00F21B3D">
        <w:rPr>
          <w:noProof/>
        </w:rPr>
        <w:fldChar w:fldCharType="end"/>
      </w:r>
      <w:bookmarkEnd w:id="64"/>
      <w:r>
        <w:rPr>
          <w:lang w:eastAsia="ja-JP"/>
        </w:rPr>
        <w:t xml:space="preserve"> Sea container external and internal risk management</w:t>
      </w:r>
      <w:bookmarkEnd w:id="65"/>
    </w:p>
    <w:p w14:paraId="6E378C78" w14:textId="6537137B" w:rsidR="00AB0E44" w:rsidRDefault="002203FA">
      <w:pPr>
        <w:rPr>
          <w:lang w:eastAsia="ja-JP"/>
        </w:rPr>
      </w:pPr>
      <w:r>
        <w:rPr>
          <w:noProof/>
          <w:lang w:eastAsia="en-AU"/>
        </w:rPr>
        <w:drawing>
          <wp:inline distT="0" distB="0" distL="0" distR="0" wp14:anchorId="77962E72" wp14:editId="27DD4016">
            <wp:extent cx="5142865" cy="5969658"/>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5856" cy="5984737"/>
                    </a:xfrm>
                    <a:prstGeom prst="rect">
                      <a:avLst/>
                    </a:prstGeom>
                    <a:noFill/>
                  </pic:spPr>
                </pic:pic>
              </a:graphicData>
            </a:graphic>
          </wp:inline>
        </w:drawing>
      </w:r>
    </w:p>
    <w:p w14:paraId="6414D09A" w14:textId="77777777" w:rsidR="00AB0E44" w:rsidRDefault="00361FA3">
      <w:pPr>
        <w:pStyle w:val="FigureTableNoteSource"/>
        <w:rPr>
          <w:lang w:eastAsia="ja-JP"/>
        </w:rPr>
      </w:pPr>
      <w:r>
        <w:rPr>
          <w:lang w:eastAsia="ja-JP"/>
        </w:rPr>
        <w:t>Source: Department of Agriculture and Water Resources</w:t>
      </w:r>
    </w:p>
    <w:p w14:paraId="0D938B46" w14:textId="6FEB8853" w:rsidR="00AB0E44" w:rsidRDefault="00361FA3">
      <w:pPr>
        <w:pStyle w:val="Heading4"/>
        <w:spacing w:before="360"/>
        <w:ind w:left="992" w:hanging="992"/>
        <w:rPr>
          <w:lang w:eastAsia="ja-JP"/>
        </w:rPr>
      </w:pPr>
      <w:r>
        <w:rPr>
          <w:lang w:val="en-AU" w:eastAsia="ja-JP"/>
        </w:rPr>
        <w:t>High-risk source countries</w:t>
      </w:r>
    </w:p>
    <w:p w14:paraId="7052C269" w14:textId="1BD34AB1" w:rsidR="00AB0E44" w:rsidRDefault="00361FA3">
      <w:pPr>
        <w:rPr>
          <w:lang w:eastAsia="ja-JP"/>
        </w:rPr>
      </w:pPr>
      <w:r>
        <w:rPr>
          <w:lang w:eastAsia="ja-JP"/>
        </w:rPr>
        <w:t xml:space="preserve">In 2010 </w:t>
      </w:r>
      <w:r w:rsidR="00600887">
        <w:rPr>
          <w:lang w:eastAsia="ja-JP"/>
        </w:rPr>
        <w:t xml:space="preserve">the </w:t>
      </w:r>
      <w:r w:rsidR="00DD475B" w:rsidRPr="00DD475B">
        <w:rPr>
          <w:b/>
          <w:lang w:eastAsia="ja-JP"/>
        </w:rPr>
        <w:t>C</w:t>
      </w:r>
      <w:r w:rsidR="0086603B" w:rsidRPr="00DD475B">
        <w:rPr>
          <w:b/>
          <w:lang w:eastAsia="ja-JP"/>
        </w:rPr>
        <w:t xml:space="preserve">ountry </w:t>
      </w:r>
      <w:r w:rsidR="00DD475B" w:rsidRPr="00DD475B">
        <w:rPr>
          <w:b/>
          <w:lang w:eastAsia="ja-JP"/>
        </w:rPr>
        <w:t>A</w:t>
      </w:r>
      <w:r w:rsidR="0086603B" w:rsidRPr="00DD475B">
        <w:rPr>
          <w:b/>
          <w:lang w:eastAsia="ja-JP"/>
        </w:rPr>
        <w:t xml:space="preserve">ction </w:t>
      </w:r>
      <w:r w:rsidR="00DD475B" w:rsidRPr="00DD475B">
        <w:rPr>
          <w:b/>
          <w:lang w:eastAsia="ja-JP"/>
        </w:rPr>
        <w:t>L</w:t>
      </w:r>
      <w:r w:rsidR="0086603B" w:rsidRPr="00DD475B">
        <w:rPr>
          <w:b/>
          <w:lang w:eastAsia="ja-JP"/>
        </w:rPr>
        <w:t xml:space="preserve">ist </w:t>
      </w:r>
      <w:r w:rsidR="00DD475B" w:rsidRPr="00DD475B">
        <w:rPr>
          <w:b/>
          <w:lang w:eastAsia="ja-JP"/>
        </w:rPr>
        <w:t>(CAL</w:t>
      </w:r>
      <w:r w:rsidR="00DD475B">
        <w:rPr>
          <w:lang w:eastAsia="ja-JP"/>
        </w:rPr>
        <w:t xml:space="preserve">) </w:t>
      </w:r>
      <w:r>
        <w:rPr>
          <w:lang w:eastAsia="ja-JP"/>
        </w:rPr>
        <w:t>defined the 43 countries deemed to pose the highest biosecurity risk due to the presence of giant African snails in those countries (</w:t>
      </w:r>
      <w:r>
        <w:rPr>
          <w:lang w:eastAsia="ja-JP"/>
        </w:rPr>
        <w:fldChar w:fldCharType="begin"/>
      </w:r>
      <w:r>
        <w:rPr>
          <w:lang w:eastAsia="ja-JP"/>
        </w:rPr>
        <w:instrText xml:space="preserve"> REF _Ref514147286 \h </w:instrText>
      </w:r>
      <w:r>
        <w:rPr>
          <w:lang w:eastAsia="ja-JP"/>
        </w:rPr>
      </w:r>
      <w:r>
        <w:rPr>
          <w:lang w:eastAsia="ja-JP"/>
        </w:rPr>
        <w:fldChar w:fldCharType="separate"/>
      </w:r>
      <w:r w:rsidR="007F78D8">
        <w:t xml:space="preserve">Map </w:t>
      </w:r>
      <w:r w:rsidR="007F78D8">
        <w:rPr>
          <w:noProof/>
        </w:rPr>
        <w:t>2</w:t>
      </w:r>
      <w:r>
        <w:rPr>
          <w:lang w:eastAsia="ja-JP"/>
        </w:rPr>
        <w:fldChar w:fldCharType="end"/>
      </w:r>
      <w:r>
        <w:rPr>
          <w:lang w:eastAsia="ja-JP"/>
        </w:rPr>
        <w:t>). Sea containers (and non-containerised (break</w:t>
      </w:r>
      <w:r w:rsidR="00600887">
        <w:rPr>
          <w:lang w:eastAsia="ja-JP"/>
        </w:rPr>
        <w:t>-</w:t>
      </w:r>
      <w:r>
        <w:rPr>
          <w:lang w:eastAsia="ja-JP"/>
        </w:rPr>
        <w:t>bulk) cargo) loaded in CAL countries were considered to be at higher risk of external contamination than containers from other destinations</w:t>
      </w:r>
      <w:r w:rsidR="00F1712F">
        <w:rPr>
          <w:lang w:eastAsia="ja-JP"/>
        </w:rPr>
        <w:t>.</w:t>
      </w:r>
      <w:r>
        <w:rPr>
          <w:lang w:eastAsia="ja-JP"/>
        </w:rPr>
        <w:t xml:space="preserve"> </w:t>
      </w:r>
      <w:r w:rsidR="00F1712F">
        <w:rPr>
          <w:lang w:eastAsia="ja-JP"/>
        </w:rPr>
        <w:t xml:space="preserve">Therefore, they were </w:t>
      </w:r>
      <w:r>
        <w:rPr>
          <w:lang w:eastAsia="ja-JP"/>
        </w:rPr>
        <w:t>subjected to additional intervention and screening when unloaded in Australia. Measures were devised mainly to target giant African snails, with the assumption that this would largely manage other external contamination risks as well.</w:t>
      </w:r>
    </w:p>
    <w:p w14:paraId="31F92903" w14:textId="1DE1E585" w:rsidR="00AB0E44" w:rsidRDefault="00361FA3">
      <w:pPr>
        <w:pStyle w:val="Caption"/>
        <w:rPr>
          <w:lang w:eastAsia="ja-JP"/>
        </w:rPr>
      </w:pPr>
      <w:bookmarkStart w:id="66" w:name="_Ref514147286"/>
      <w:bookmarkStart w:id="67" w:name="_Toc521069591"/>
      <w:r>
        <w:t xml:space="preserve">Map </w:t>
      </w:r>
      <w:r w:rsidR="00F21B3D">
        <w:rPr>
          <w:noProof/>
        </w:rPr>
        <w:fldChar w:fldCharType="begin"/>
      </w:r>
      <w:r w:rsidR="00F21B3D">
        <w:rPr>
          <w:noProof/>
        </w:rPr>
        <w:instrText xml:space="preserve"> SEQ Map \* ARABIC </w:instrText>
      </w:r>
      <w:r w:rsidR="00F21B3D">
        <w:rPr>
          <w:noProof/>
        </w:rPr>
        <w:fldChar w:fldCharType="separate"/>
      </w:r>
      <w:r w:rsidR="007F78D8">
        <w:rPr>
          <w:noProof/>
        </w:rPr>
        <w:t>2</w:t>
      </w:r>
      <w:r w:rsidR="00F21B3D">
        <w:rPr>
          <w:noProof/>
        </w:rPr>
        <w:fldChar w:fldCharType="end"/>
      </w:r>
      <w:bookmarkEnd w:id="66"/>
      <w:r>
        <w:t xml:space="preserve"> </w:t>
      </w:r>
      <w:r>
        <w:rPr>
          <w:lang w:eastAsia="ja-JP"/>
        </w:rPr>
        <w:t xml:space="preserve">Country action list </w:t>
      </w:r>
      <w:r w:rsidR="004832CA">
        <w:rPr>
          <w:lang w:eastAsia="ja-JP"/>
        </w:rPr>
        <w:t xml:space="preserve">(CAL) </w:t>
      </w:r>
      <w:r>
        <w:rPr>
          <w:lang w:eastAsia="ja-JP"/>
        </w:rPr>
        <w:t>countries</w:t>
      </w:r>
      <w:bookmarkEnd w:id="67"/>
    </w:p>
    <w:p w14:paraId="3EA71D19" w14:textId="15436C2F" w:rsidR="00AB0E44" w:rsidRDefault="002F0E90">
      <w:pPr>
        <w:rPr>
          <w:lang w:eastAsia="ja-JP"/>
        </w:rPr>
      </w:pPr>
      <w:r>
        <w:rPr>
          <w:noProof/>
          <w:lang w:eastAsia="en-AU"/>
        </w:rPr>
        <w:drawing>
          <wp:inline distT="0" distB="0" distL="0" distR="0" wp14:anchorId="66DD6630" wp14:editId="1732DC8B">
            <wp:extent cx="5876290" cy="2362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6290" cy="2362200"/>
                    </a:xfrm>
                    <a:prstGeom prst="rect">
                      <a:avLst/>
                    </a:prstGeom>
                    <a:noFill/>
                  </pic:spPr>
                </pic:pic>
              </a:graphicData>
            </a:graphic>
          </wp:inline>
        </w:drawing>
      </w:r>
    </w:p>
    <w:p w14:paraId="2C142D16" w14:textId="77777777" w:rsidR="00AB0E44" w:rsidRDefault="00361FA3">
      <w:pPr>
        <w:pStyle w:val="FigureTableNoteSource"/>
        <w:rPr>
          <w:lang w:eastAsia="ja-JP"/>
        </w:rPr>
      </w:pPr>
      <w:r>
        <w:rPr>
          <w:lang w:eastAsia="ja-JP"/>
        </w:rPr>
        <w:t>Source: Department of Agriculture and Water Resources</w:t>
      </w:r>
    </w:p>
    <w:p w14:paraId="1D127924" w14:textId="218AC165" w:rsidR="00AB0E44" w:rsidRDefault="006653BB">
      <w:pPr>
        <w:spacing w:before="360"/>
        <w:rPr>
          <w:lang w:eastAsia="ja-JP"/>
        </w:rPr>
      </w:pPr>
      <w:r w:rsidRPr="00654E71">
        <w:rPr>
          <w:b/>
          <w:lang w:eastAsia="ja-JP"/>
        </w:rPr>
        <w:t>CAL container segregation on wharf</w:t>
      </w:r>
      <w:r>
        <w:rPr>
          <w:lang w:eastAsia="ja-JP"/>
        </w:rPr>
        <w:t>—</w:t>
      </w:r>
      <w:r w:rsidR="00361FA3">
        <w:rPr>
          <w:lang w:eastAsia="ja-JP"/>
        </w:rPr>
        <w:t>CAL containers offloaded from a vessel are stored together on the wharf in a segregated area until every CAL container has been offloaded</w:t>
      </w:r>
      <w:r w:rsidR="00342F1C">
        <w:rPr>
          <w:lang w:eastAsia="ja-JP"/>
        </w:rPr>
        <w:t>.</w:t>
      </w:r>
      <w:r w:rsidR="00361FA3">
        <w:rPr>
          <w:lang w:eastAsia="ja-JP"/>
        </w:rPr>
        <w:t xml:space="preserve"> </w:t>
      </w:r>
      <w:r w:rsidR="00342F1C">
        <w:rPr>
          <w:lang w:eastAsia="ja-JP"/>
        </w:rPr>
        <w:t>T</w:t>
      </w:r>
      <w:r w:rsidR="00361FA3">
        <w:rPr>
          <w:lang w:eastAsia="ja-JP"/>
        </w:rPr>
        <w:t xml:space="preserve">hey are </w:t>
      </w:r>
      <w:r w:rsidR="00342F1C">
        <w:rPr>
          <w:lang w:eastAsia="ja-JP"/>
        </w:rPr>
        <w:t xml:space="preserve">then </w:t>
      </w:r>
      <w:r w:rsidR="00361FA3">
        <w:rPr>
          <w:lang w:eastAsia="ja-JP"/>
        </w:rPr>
        <w:t xml:space="preserve">presented for inspection as a group. Inspection may occur up to a few days after </w:t>
      </w:r>
      <w:r w:rsidR="00342F1C">
        <w:rPr>
          <w:lang w:eastAsia="ja-JP"/>
        </w:rPr>
        <w:t xml:space="preserve">the containers are </w:t>
      </w:r>
      <w:r w:rsidR="00361FA3">
        <w:rPr>
          <w:lang w:eastAsia="ja-JP"/>
        </w:rPr>
        <w:t>offloaded depending on volumes to be inspected, the availability of biosecurity officers and the presentation of the containers by stevedores. For example, containers offloaded on weekends would usually be inspected on a subsequent weekday and</w:t>
      </w:r>
      <w:r w:rsidR="00C54E0A">
        <w:rPr>
          <w:lang w:eastAsia="ja-JP"/>
        </w:rPr>
        <w:t>,</w:t>
      </w:r>
      <w:r w:rsidR="00361FA3">
        <w:rPr>
          <w:lang w:eastAsia="ja-JP"/>
        </w:rPr>
        <w:t xml:space="preserve"> if the number of profiled containers is large</w:t>
      </w:r>
      <w:r w:rsidR="00C54E0A">
        <w:rPr>
          <w:lang w:eastAsia="ja-JP"/>
        </w:rPr>
        <w:t>,</w:t>
      </w:r>
      <w:r w:rsidR="00361FA3">
        <w:rPr>
          <w:lang w:eastAsia="ja-JP"/>
        </w:rPr>
        <w:t xml:space="preserve"> it may take more than one day to inspect them all.</w:t>
      </w:r>
      <w:r w:rsidR="0086603B">
        <w:rPr>
          <w:lang w:eastAsia="ja-JP"/>
        </w:rPr>
        <w:t xml:space="preserve"> </w:t>
      </w:r>
    </w:p>
    <w:p w14:paraId="68BE0CE1" w14:textId="390C8C6C" w:rsidR="00AB0E44" w:rsidRDefault="00361FA3">
      <w:pPr>
        <w:rPr>
          <w:lang w:eastAsia="ja-JP"/>
        </w:rPr>
      </w:pPr>
      <w:r>
        <w:rPr>
          <w:lang w:eastAsia="ja-JP"/>
        </w:rPr>
        <w:t xml:space="preserve">CAL containers awaiting inspection must be surrounded by a ring of salt or snail baits to prevent snails </w:t>
      </w:r>
      <w:r w:rsidR="00342F1C">
        <w:rPr>
          <w:lang w:eastAsia="ja-JP"/>
        </w:rPr>
        <w:t xml:space="preserve">from </w:t>
      </w:r>
      <w:r>
        <w:rPr>
          <w:lang w:eastAsia="ja-JP"/>
        </w:rPr>
        <w:t>moving to other areas of the wharf or beyond (</w:t>
      </w:r>
      <w:r>
        <w:rPr>
          <w:lang w:eastAsia="ja-JP"/>
        </w:rPr>
        <w:fldChar w:fldCharType="begin"/>
      </w:r>
      <w:r>
        <w:rPr>
          <w:lang w:eastAsia="ja-JP"/>
        </w:rPr>
        <w:instrText xml:space="preserve"> REF _Ref514147316 \h </w:instrText>
      </w:r>
      <w:r>
        <w:rPr>
          <w:lang w:eastAsia="ja-JP"/>
        </w:rPr>
      </w:r>
      <w:r>
        <w:rPr>
          <w:lang w:eastAsia="ja-JP"/>
        </w:rPr>
        <w:fldChar w:fldCharType="separate"/>
      </w:r>
      <w:r w:rsidR="007F78D8">
        <w:t xml:space="preserve">Figure </w:t>
      </w:r>
      <w:r w:rsidR="007F78D8">
        <w:rPr>
          <w:noProof/>
        </w:rPr>
        <w:t>8</w:t>
      </w:r>
      <w:r>
        <w:rPr>
          <w:lang w:eastAsia="ja-JP"/>
        </w:rPr>
        <w:fldChar w:fldCharType="end"/>
      </w:r>
      <w:r>
        <w:rPr>
          <w:lang w:eastAsia="ja-JP"/>
        </w:rPr>
        <w:t>). Salt or bait rings must be monitored before the inspection to ensure that they remain intact</w:t>
      </w:r>
      <w:r w:rsidR="00C54E0A">
        <w:rPr>
          <w:lang w:eastAsia="ja-JP"/>
        </w:rPr>
        <w:t xml:space="preserve"> (</w:t>
      </w:r>
      <w:r>
        <w:rPr>
          <w:lang w:eastAsia="ja-JP"/>
        </w:rPr>
        <w:t xml:space="preserve">rain, wind or vehicles may compromise salt rings </w:t>
      </w:r>
      <w:r w:rsidR="00C54E0A">
        <w:rPr>
          <w:lang w:eastAsia="ja-JP"/>
        </w:rPr>
        <w:t xml:space="preserve">and </w:t>
      </w:r>
      <w:r>
        <w:rPr>
          <w:lang w:eastAsia="ja-JP"/>
        </w:rPr>
        <w:t>large infestations of snails may exhaust baits</w:t>
      </w:r>
      <w:r w:rsidR="00C54E0A">
        <w:rPr>
          <w:lang w:eastAsia="ja-JP"/>
        </w:rPr>
        <w:t>)</w:t>
      </w:r>
      <w:r>
        <w:rPr>
          <w:lang w:eastAsia="ja-JP"/>
        </w:rPr>
        <w:t>.</w:t>
      </w:r>
    </w:p>
    <w:p w14:paraId="31BAB78F" w14:textId="77777777" w:rsidR="0086603B" w:rsidRDefault="0086603B" w:rsidP="00BE77B7">
      <w:pPr>
        <w:rPr>
          <w:b/>
          <w:lang w:eastAsia="ja-JP"/>
        </w:rPr>
      </w:pPr>
      <w:r>
        <w:rPr>
          <w:b/>
          <w:lang w:eastAsia="ja-JP"/>
        </w:rPr>
        <w:t>Six-sided</w:t>
      </w:r>
      <w:r>
        <w:rPr>
          <w:lang w:eastAsia="ja-JP"/>
        </w:rPr>
        <w:t xml:space="preserve"> </w:t>
      </w:r>
      <w:r>
        <w:rPr>
          <w:b/>
          <w:lang w:eastAsia="ja-JP"/>
        </w:rPr>
        <w:t>inspection for CAL containers</w:t>
      </w:r>
      <w:r w:rsidRPr="00654E71">
        <w:rPr>
          <w:lang w:eastAsia="ja-JP"/>
        </w:rPr>
        <w:t>—</w:t>
      </w:r>
      <w:proofErr w:type="gramStart"/>
      <w:r>
        <w:rPr>
          <w:lang w:eastAsia="ja-JP"/>
        </w:rPr>
        <w:t>Each</w:t>
      </w:r>
      <w:proofErr w:type="gramEnd"/>
      <w:r>
        <w:rPr>
          <w:lang w:eastAsia="ja-JP"/>
        </w:rPr>
        <w:t xml:space="preserve"> container is placed on a stand with a ladder, enabling a biosecurity officer to inspect its top, bottom and four vertical sides. Inspectors pay particular attention to nooks and crevices where small insects and contamination could lodge—for example, forklift tine holes, top and bottom locking holes, reinforcing ribs and ledges, door seal areas, and cables and reefer motor areas. A six-sided inspection takes about 10 minutes. Hourly throughput depends on local handling arrangements for the containers and how fast stevedores can present them for inspection.</w:t>
      </w:r>
    </w:p>
    <w:p w14:paraId="750ABE52" w14:textId="77777777" w:rsidR="00831167" w:rsidRDefault="00831167" w:rsidP="00831167">
      <w:pPr>
        <w:rPr>
          <w:lang w:eastAsia="ja-JP"/>
        </w:rPr>
      </w:pPr>
      <w:r w:rsidRPr="00342F1C">
        <w:rPr>
          <w:lang w:eastAsia="ja-JP"/>
        </w:rPr>
        <w:t>After the container has been inspected, it is either released or treated to address any risks found. Inspection outcomes are recorded and reported to the Cargo National Coordination Centre, which can l</w:t>
      </w:r>
      <w:r w:rsidRPr="00342F1C">
        <w:t xml:space="preserve">ift the electronic hold in </w:t>
      </w:r>
      <w:r>
        <w:t xml:space="preserve">the </w:t>
      </w:r>
      <w:r>
        <w:rPr>
          <w:lang w:eastAsia="ja-JP"/>
        </w:rPr>
        <w:t>Integrated Cargo System (</w:t>
      </w:r>
      <w:r w:rsidRPr="00342F1C">
        <w:t>ICS</w:t>
      </w:r>
      <w:r>
        <w:t>)</w:t>
      </w:r>
      <w:r w:rsidRPr="00342F1C">
        <w:t>. The container can then be removed from the wharf</w:t>
      </w:r>
      <w:r w:rsidRPr="00342F1C">
        <w:rPr>
          <w:lang w:eastAsia="ja-JP"/>
        </w:rPr>
        <w:t>.</w:t>
      </w:r>
    </w:p>
    <w:p w14:paraId="46DD455C" w14:textId="38344427" w:rsidR="0086603B" w:rsidRDefault="00831167" w:rsidP="00831167">
      <w:pPr>
        <w:rPr>
          <w:lang w:eastAsia="ja-JP"/>
        </w:rPr>
      </w:pPr>
      <w:r>
        <w:rPr>
          <w:lang w:eastAsia="ja-JP"/>
        </w:rPr>
        <w:t>Empty CAL containers may be inspected internally at the wharf by a biosecurity officer or by department-accredited employees at a class 2.6 approved arrangement site (empty shipping container parks).</w:t>
      </w:r>
    </w:p>
    <w:p w14:paraId="5E00F36C" w14:textId="3173CC80" w:rsidR="00AB0E44" w:rsidRDefault="00361FA3">
      <w:pPr>
        <w:pStyle w:val="Caption"/>
        <w:rPr>
          <w:b w:val="0"/>
          <w:lang w:eastAsia="ja-JP"/>
        </w:rPr>
      </w:pPr>
      <w:bookmarkStart w:id="68" w:name="_Ref514147316"/>
      <w:bookmarkStart w:id="69" w:name="_Toc521069578"/>
      <w:r>
        <w:t xml:space="preserve">Figure </w:t>
      </w:r>
      <w:r w:rsidR="00F21B3D">
        <w:rPr>
          <w:noProof/>
        </w:rPr>
        <w:fldChar w:fldCharType="begin"/>
      </w:r>
      <w:r w:rsidR="00F21B3D">
        <w:rPr>
          <w:noProof/>
        </w:rPr>
        <w:instrText xml:space="preserve"> SEQ Figure \* ARABIC </w:instrText>
      </w:r>
      <w:r w:rsidR="00F21B3D">
        <w:rPr>
          <w:noProof/>
        </w:rPr>
        <w:fldChar w:fldCharType="separate"/>
      </w:r>
      <w:r w:rsidR="007F78D8">
        <w:rPr>
          <w:noProof/>
        </w:rPr>
        <w:t>8</w:t>
      </w:r>
      <w:r w:rsidR="00F21B3D">
        <w:rPr>
          <w:noProof/>
        </w:rPr>
        <w:fldChar w:fldCharType="end"/>
      </w:r>
      <w:bookmarkEnd w:id="68"/>
      <w:r>
        <w:t xml:space="preserve"> </w:t>
      </w:r>
      <w:r>
        <w:rPr>
          <w:lang w:eastAsia="ja-JP"/>
        </w:rPr>
        <w:t>Ring</w:t>
      </w:r>
      <w:r w:rsidR="00342F1C">
        <w:rPr>
          <w:lang w:eastAsia="ja-JP"/>
        </w:rPr>
        <w:t>-</w:t>
      </w:r>
      <w:r>
        <w:rPr>
          <w:lang w:eastAsia="ja-JP"/>
        </w:rPr>
        <w:t>salting around segregated CAL containers awaiting inspection</w:t>
      </w:r>
      <w:bookmarkEnd w:id="69"/>
    </w:p>
    <w:p w14:paraId="65874E59" w14:textId="77777777" w:rsidR="00AB0E44" w:rsidRDefault="00361FA3">
      <w:pPr>
        <w:rPr>
          <w:lang w:eastAsia="ja-JP"/>
        </w:rPr>
      </w:pPr>
      <w:r>
        <w:rPr>
          <w:noProof/>
          <w:lang w:eastAsia="en-AU"/>
        </w:rPr>
        <w:drawing>
          <wp:inline distT="0" distB="0" distL="0" distR="0" wp14:anchorId="030C0C8A" wp14:editId="132B7B06">
            <wp:extent cx="3440430" cy="2194560"/>
            <wp:effectExtent l="0" t="0" r="7620" b="0"/>
            <wp:docPr id="14" name="Picture 14" descr="This picture shows ring salting done around containers imported from CAL countries, at first point of entry by biosecurity officers. This minimises chances of snails escaping from imported containers to nearby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lt ringed containers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48054" cy="2199423"/>
                    </a:xfrm>
                    <a:prstGeom prst="rect">
                      <a:avLst/>
                    </a:prstGeom>
                  </pic:spPr>
                </pic:pic>
              </a:graphicData>
            </a:graphic>
          </wp:inline>
        </w:drawing>
      </w:r>
      <w:r>
        <w:rPr>
          <w:lang w:eastAsia="ja-JP"/>
        </w:rPr>
        <w:t xml:space="preserve"> </w:t>
      </w:r>
      <w:r>
        <w:rPr>
          <w:noProof/>
          <w:lang w:eastAsia="en-AU"/>
        </w:rPr>
        <w:drawing>
          <wp:inline distT="0" distB="0" distL="0" distR="0" wp14:anchorId="29466C7A" wp14:editId="47A57C69">
            <wp:extent cx="2223753" cy="2083435"/>
            <wp:effectExtent l="0" t="6350" r="0" b="0"/>
            <wp:docPr id="31" name="Picture 31" descr="This picture is a subset of the other picture, showing ring salting done around containers imported from CAL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lt ringed containers 2.JPG"/>
                    <pic:cNvPicPr/>
                  </pic:nvPicPr>
                  <pic:blipFill rotWithShape="1">
                    <a:blip r:embed="rId32" cstate="print">
                      <a:extLst>
                        <a:ext uri="{28A0092B-C50C-407E-A947-70E740481C1C}">
                          <a14:useLocalDpi xmlns:a14="http://schemas.microsoft.com/office/drawing/2010/main" val="0"/>
                        </a:ext>
                      </a:extLst>
                    </a:blip>
                    <a:srcRect l="25676" t="12243" b="16836"/>
                    <a:stretch/>
                  </pic:blipFill>
                  <pic:spPr bwMode="auto">
                    <a:xfrm rot="5400000">
                      <a:off x="0" y="0"/>
                      <a:ext cx="2247903" cy="2106061"/>
                    </a:xfrm>
                    <a:prstGeom prst="rect">
                      <a:avLst/>
                    </a:prstGeom>
                    <a:ln>
                      <a:noFill/>
                    </a:ln>
                    <a:extLst>
                      <a:ext uri="{53640926-AAD7-44D8-BBD7-CCE9431645EC}">
                        <a14:shadowObscured xmlns:a14="http://schemas.microsoft.com/office/drawing/2010/main"/>
                      </a:ext>
                    </a:extLst>
                  </pic:spPr>
                </pic:pic>
              </a:graphicData>
            </a:graphic>
          </wp:inline>
        </w:drawing>
      </w:r>
    </w:p>
    <w:p w14:paraId="12D59D8D" w14:textId="77777777" w:rsidR="00AB0E44" w:rsidRDefault="00361FA3">
      <w:pPr>
        <w:pStyle w:val="FigureTableNoteSource"/>
        <w:rPr>
          <w:lang w:eastAsia="ja-JP"/>
        </w:rPr>
      </w:pPr>
      <w:r>
        <w:rPr>
          <w:lang w:eastAsia="ja-JP"/>
        </w:rPr>
        <w:t>Source: Department of Agriculture and Water Resources</w:t>
      </w:r>
    </w:p>
    <w:p w14:paraId="792907BE" w14:textId="0D6CE701" w:rsidR="00AB0E44" w:rsidRDefault="00361FA3">
      <w:pPr>
        <w:pStyle w:val="Heading4"/>
        <w:spacing w:before="360"/>
        <w:ind w:left="992" w:hanging="992"/>
      </w:pPr>
      <w:r>
        <w:t xml:space="preserve">Sea </w:t>
      </w:r>
      <w:r w:rsidR="00E36FF1">
        <w:rPr>
          <w:lang w:val="en-AU"/>
        </w:rPr>
        <w:t>C</w:t>
      </w:r>
      <w:r>
        <w:rPr>
          <w:lang w:val="en-AU"/>
        </w:rPr>
        <w:t xml:space="preserve">ontainer </w:t>
      </w:r>
      <w:r w:rsidR="00E36FF1">
        <w:rPr>
          <w:lang w:val="en-AU"/>
        </w:rPr>
        <w:t>H</w:t>
      </w:r>
      <w:r>
        <w:rPr>
          <w:lang w:val="en-AU"/>
        </w:rPr>
        <w:t>ygiene</w:t>
      </w:r>
      <w:r>
        <w:t xml:space="preserve"> </w:t>
      </w:r>
      <w:r w:rsidR="00E36FF1">
        <w:rPr>
          <w:lang w:val="en-AU"/>
        </w:rPr>
        <w:t>S</w:t>
      </w:r>
      <w:r>
        <w:rPr>
          <w:lang w:val="en-AU"/>
        </w:rPr>
        <w:t>ystem</w:t>
      </w:r>
    </w:p>
    <w:p w14:paraId="58DA497C" w14:textId="50D57E86" w:rsidR="00C54E0A" w:rsidRDefault="00361FA3">
      <w:pPr>
        <w:rPr>
          <w:lang w:eastAsia="ja-JP"/>
        </w:rPr>
      </w:pPr>
      <w:r>
        <w:rPr>
          <w:lang w:eastAsia="ja-JP"/>
        </w:rPr>
        <w:t xml:space="preserve">The offshore </w:t>
      </w:r>
      <w:r w:rsidR="00E36FF1">
        <w:rPr>
          <w:b/>
          <w:lang w:eastAsia="ja-JP"/>
        </w:rPr>
        <w:t>S</w:t>
      </w:r>
      <w:r w:rsidRPr="006653BB">
        <w:rPr>
          <w:b/>
          <w:lang w:eastAsia="ja-JP"/>
        </w:rPr>
        <w:t xml:space="preserve">ea </w:t>
      </w:r>
      <w:r w:rsidR="00E36FF1">
        <w:rPr>
          <w:b/>
          <w:lang w:eastAsia="ja-JP"/>
        </w:rPr>
        <w:t>C</w:t>
      </w:r>
      <w:r w:rsidRPr="006653BB">
        <w:rPr>
          <w:b/>
          <w:lang w:eastAsia="ja-JP"/>
        </w:rPr>
        <w:t xml:space="preserve">ontainer </w:t>
      </w:r>
      <w:r w:rsidR="00E36FF1">
        <w:rPr>
          <w:b/>
          <w:lang w:eastAsia="ja-JP"/>
        </w:rPr>
        <w:t>H</w:t>
      </w:r>
      <w:r w:rsidRPr="006653BB">
        <w:rPr>
          <w:b/>
          <w:lang w:eastAsia="ja-JP"/>
        </w:rPr>
        <w:t xml:space="preserve">ygiene </w:t>
      </w:r>
      <w:r w:rsidR="00E36FF1">
        <w:rPr>
          <w:b/>
          <w:lang w:eastAsia="ja-JP"/>
        </w:rPr>
        <w:t>S</w:t>
      </w:r>
      <w:r w:rsidRPr="006653BB">
        <w:rPr>
          <w:b/>
          <w:lang w:eastAsia="ja-JP"/>
        </w:rPr>
        <w:t>ystem (SCHS)</w:t>
      </w:r>
      <w:r>
        <w:rPr>
          <w:b/>
          <w:lang w:eastAsia="ja-JP"/>
        </w:rPr>
        <w:t xml:space="preserve"> </w:t>
      </w:r>
      <w:r>
        <w:rPr>
          <w:lang w:eastAsia="ja-JP"/>
        </w:rPr>
        <w:t>manage</w:t>
      </w:r>
      <w:r w:rsidR="00C54E0A">
        <w:rPr>
          <w:lang w:eastAsia="ja-JP"/>
        </w:rPr>
        <w:t>s</w:t>
      </w:r>
      <w:r>
        <w:rPr>
          <w:lang w:eastAsia="ja-JP"/>
        </w:rPr>
        <w:t xml:space="preserve"> biosecurity risks of sea containers from high</w:t>
      </w:r>
      <w:r w:rsidR="00C54E0A">
        <w:rPr>
          <w:lang w:eastAsia="ja-JP"/>
        </w:rPr>
        <w:t>-</w:t>
      </w:r>
      <w:r>
        <w:rPr>
          <w:lang w:eastAsia="ja-JP"/>
        </w:rPr>
        <w:t xml:space="preserve">risk ports of loading. </w:t>
      </w:r>
      <w:r w:rsidR="00C54E0A">
        <w:rPr>
          <w:lang w:eastAsia="ja-JP"/>
        </w:rPr>
        <w:t>SCHS was developed by New Zealand in 2006 and implemented by Australia in 2010</w:t>
      </w:r>
      <w:r w:rsidR="00342F1C">
        <w:rPr>
          <w:lang w:eastAsia="ja-JP"/>
        </w:rPr>
        <w:t>.</w:t>
      </w:r>
    </w:p>
    <w:p w14:paraId="361B068D" w14:textId="6FFD3067" w:rsidR="00AB0E44" w:rsidRDefault="00361FA3">
      <w:pPr>
        <w:rPr>
          <w:lang w:eastAsia="ja-JP"/>
        </w:rPr>
      </w:pPr>
      <w:r>
        <w:rPr>
          <w:lang w:eastAsia="ja-JP"/>
        </w:rPr>
        <w:t xml:space="preserve">Shipping lines or port authorities wishing to participate must design and implement an offshore process to ensure that containers are cleaned externally and internally, treated externally with insecticide for pests and stored in a designated storage area at the port of loading. By managing hitchhiker and contamination risks offshore, industry participants can ensure reduced </w:t>
      </w:r>
      <w:r w:rsidR="00C54E0A">
        <w:rPr>
          <w:lang w:eastAsia="ja-JP"/>
        </w:rPr>
        <w:t xml:space="preserve">rates of inspection </w:t>
      </w:r>
      <w:r>
        <w:rPr>
          <w:lang w:eastAsia="ja-JP"/>
        </w:rPr>
        <w:t xml:space="preserve">on arrival, </w:t>
      </w:r>
      <w:r w:rsidR="00C54E0A">
        <w:rPr>
          <w:lang w:eastAsia="ja-JP"/>
        </w:rPr>
        <w:t xml:space="preserve">and </w:t>
      </w:r>
      <w:r>
        <w:rPr>
          <w:lang w:eastAsia="ja-JP"/>
        </w:rPr>
        <w:t xml:space="preserve">Australian and New Zealand authorities </w:t>
      </w:r>
      <w:r w:rsidR="00C54E0A">
        <w:rPr>
          <w:lang w:eastAsia="ja-JP"/>
        </w:rPr>
        <w:t xml:space="preserve">can </w:t>
      </w:r>
      <w:r>
        <w:rPr>
          <w:lang w:eastAsia="ja-JP"/>
        </w:rPr>
        <w:t>have enhanced confidence that high biosecurity risks are minimised.</w:t>
      </w:r>
    </w:p>
    <w:p w14:paraId="45D712E2" w14:textId="54A8E0B8" w:rsidR="00AB0E44" w:rsidRDefault="00361FA3">
      <w:pPr>
        <w:rPr>
          <w:lang w:eastAsia="ja-JP"/>
        </w:rPr>
      </w:pPr>
      <w:r>
        <w:rPr>
          <w:lang w:eastAsia="ja-JP"/>
        </w:rPr>
        <w:fldChar w:fldCharType="begin"/>
      </w:r>
      <w:r>
        <w:rPr>
          <w:lang w:eastAsia="ja-JP"/>
        </w:rPr>
        <w:instrText xml:space="preserve"> REF _Ref514145002 \h </w:instrText>
      </w:r>
      <w:r>
        <w:rPr>
          <w:lang w:eastAsia="ja-JP"/>
        </w:rPr>
      </w:r>
      <w:r>
        <w:rPr>
          <w:lang w:eastAsia="ja-JP"/>
        </w:rPr>
        <w:fldChar w:fldCharType="separate"/>
      </w:r>
      <w:r w:rsidR="007F78D8">
        <w:t xml:space="preserve">Figure </w:t>
      </w:r>
      <w:r w:rsidR="007F78D8">
        <w:rPr>
          <w:noProof/>
        </w:rPr>
        <w:t>9</w:t>
      </w:r>
      <w:r>
        <w:rPr>
          <w:lang w:eastAsia="ja-JP"/>
        </w:rPr>
        <w:fldChar w:fldCharType="end"/>
      </w:r>
      <w:r>
        <w:rPr>
          <w:lang w:eastAsia="ja-JP"/>
        </w:rPr>
        <w:t xml:space="preserve"> shows how compliance with </w:t>
      </w:r>
      <w:r w:rsidR="00C54E0A">
        <w:rPr>
          <w:lang w:eastAsia="ja-JP"/>
        </w:rPr>
        <w:t xml:space="preserve">SCHS </w:t>
      </w:r>
      <w:r>
        <w:rPr>
          <w:lang w:eastAsia="ja-JP"/>
        </w:rPr>
        <w:t xml:space="preserve">leads to lower rates of inspection. When a participant first enters the scheme, all containers receive on-arrival inspection. </w:t>
      </w:r>
      <w:r w:rsidR="00C54E0A">
        <w:rPr>
          <w:lang w:eastAsia="ja-JP"/>
        </w:rPr>
        <w:t>T</w:t>
      </w:r>
      <w:r>
        <w:rPr>
          <w:lang w:eastAsia="ja-JP"/>
        </w:rPr>
        <w:t>hree-monthly reviews</w:t>
      </w:r>
      <w:r w:rsidR="00C54E0A">
        <w:rPr>
          <w:lang w:eastAsia="ja-JP"/>
        </w:rPr>
        <w:t xml:space="preserve"> are then carried out, and </w:t>
      </w:r>
      <w:r>
        <w:rPr>
          <w:lang w:eastAsia="ja-JP"/>
        </w:rPr>
        <w:t xml:space="preserve">inspection rates may be reduced in three stages down to 5 per cent. </w:t>
      </w:r>
      <w:r w:rsidR="00C54E0A">
        <w:rPr>
          <w:lang w:eastAsia="ja-JP"/>
        </w:rPr>
        <w:t>If there is any n</w:t>
      </w:r>
      <w:r>
        <w:rPr>
          <w:lang w:eastAsia="ja-JP"/>
        </w:rPr>
        <w:t>on-compliance</w:t>
      </w:r>
      <w:r w:rsidR="00C54E0A">
        <w:rPr>
          <w:lang w:eastAsia="ja-JP"/>
        </w:rPr>
        <w:t>,</w:t>
      </w:r>
      <w:r>
        <w:rPr>
          <w:lang w:eastAsia="ja-JP"/>
        </w:rPr>
        <w:t xml:space="preserve"> the inspection rate </w:t>
      </w:r>
      <w:r w:rsidR="00C54E0A">
        <w:rPr>
          <w:lang w:eastAsia="ja-JP"/>
        </w:rPr>
        <w:t xml:space="preserve">is </w:t>
      </w:r>
      <w:r>
        <w:rPr>
          <w:lang w:eastAsia="ja-JP"/>
        </w:rPr>
        <w:t xml:space="preserve">increased to the next level. </w:t>
      </w:r>
      <w:r w:rsidR="00C54E0A">
        <w:rPr>
          <w:lang w:eastAsia="ja-JP"/>
        </w:rPr>
        <w:t xml:space="preserve">If </w:t>
      </w:r>
      <w:r>
        <w:rPr>
          <w:lang w:eastAsia="ja-JP"/>
        </w:rPr>
        <w:t xml:space="preserve">mobile pests (ants or snails) </w:t>
      </w:r>
      <w:r w:rsidR="00C54E0A">
        <w:rPr>
          <w:lang w:eastAsia="ja-JP"/>
        </w:rPr>
        <w:t xml:space="preserve">are detected, the inspection rate is </w:t>
      </w:r>
      <w:r>
        <w:rPr>
          <w:lang w:eastAsia="ja-JP"/>
        </w:rPr>
        <w:t>immediate</w:t>
      </w:r>
      <w:r w:rsidR="00C54E0A">
        <w:rPr>
          <w:lang w:eastAsia="ja-JP"/>
        </w:rPr>
        <w:t>ly</w:t>
      </w:r>
      <w:r>
        <w:rPr>
          <w:lang w:eastAsia="ja-JP"/>
        </w:rPr>
        <w:t xml:space="preserve"> increase</w:t>
      </w:r>
      <w:r w:rsidR="00C54E0A">
        <w:rPr>
          <w:lang w:eastAsia="ja-JP"/>
        </w:rPr>
        <w:t>d</w:t>
      </w:r>
      <w:r>
        <w:rPr>
          <w:lang w:eastAsia="ja-JP"/>
        </w:rPr>
        <w:t xml:space="preserve"> to 100 per cent for one month. Any serious or ongoing failure to meet scheme requirements may cause indefinite suspension.</w:t>
      </w:r>
    </w:p>
    <w:p w14:paraId="66FC42C3" w14:textId="77777777" w:rsidR="00AB0E44" w:rsidRDefault="00361FA3" w:rsidP="00BE77B7">
      <w:pPr>
        <w:pStyle w:val="Caption"/>
        <w:spacing w:before="0" w:after="0"/>
        <w:rPr>
          <w:lang w:eastAsia="ja-JP"/>
        </w:rPr>
      </w:pPr>
      <w:bookmarkStart w:id="70" w:name="_Ref514145002"/>
      <w:bookmarkStart w:id="71" w:name="_Toc521069579"/>
      <w:r>
        <w:t xml:space="preserve">Figure </w:t>
      </w:r>
      <w:r w:rsidR="00F21B3D">
        <w:rPr>
          <w:noProof/>
        </w:rPr>
        <w:fldChar w:fldCharType="begin"/>
      </w:r>
      <w:r w:rsidR="00F21B3D">
        <w:rPr>
          <w:noProof/>
        </w:rPr>
        <w:instrText xml:space="preserve"> SEQ Figure \* ARABIC </w:instrText>
      </w:r>
      <w:r w:rsidR="00F21B3D">
        <w:rPr>
          <w:noProof/>
        </w:rPr>
        <w:fldChar w:fldCharType="separate"/>
      </w:r>
      <w:r w:rsidR="007F78D8">
        <w:rPr>
          <w:noProof/>
        </w:rPr>
        <w:t>9</w:t>
      </w:r>
      <w:r w:rsidR="00F21B3D">
        <w:rPr>
          <w:noProof/>
        </w:rPr>
        <w:fldChar w:fldCharType="end"/>
      </w:r>
      <w:bookmarkEnd w:id="70"/>
      <w:r>
        <w:rPr>
          <w:noProof/>
        </w:rPr>
        <w:t xml:space="preserve"> Compliance-based intervention in the Sea Container Hygiene System</w:t>
      </w:r>
      <w:bookmarkEnd w:id="71"/>
    </w:p>
    <w:p w14:paraId="769A2ACC" w14:textId="775F80DC" w:rsidR="00AB0E44" w:rsidRDefault="006A1BF0">
      <w:r>
        <w:rPr>
          <w:noProof/>
          <w:lang w:eastAsia="en-AU"/>
        </w:rPr>
        <w:drawing>
          <wp:inline distT="0" distB="0" distL="0" distR="0" wp14:anchorId="464372A0" wp14:editId="7B32EB18">
            <wp:extent cx="3244133" cy="1792810"/>
            <wp:effectExtent l="0" t="0" r="0" b="0"/>
            <wp:docPr id="28" name="Picture 28" descr="This figure shows how compliance with the scheme leads to lower rates of inspection. When a participant first enters the scheme, all containers receive on-arrival inspection. Via three-monthly reviews, inspection rates may be reduced in three stages down to 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1643" cy="1796960"/>
                    </a:xfrm>
                    <a:prstGeom prst="rect">
                      <a:avLst/>
                    </a:prstGeom>
                    <a:noFill/>
                  </pic:spPr>
                </pic:pic>
              </a:graphicData>
            </a:graphic>
          </wp:inline>
        </w:drawing>
      </w:r>
    </w:p>
    <w:p w14:paraId="1368CCE6" w14:textId="77777777" w:rsidR="00AB0E44" w:rsidRDefault="00361FA3">
      <w:pPr>
        <w:pStyle w:val="FigureTableNoteSource"/>
      </w:pPr>
      <w:r>
        <w:t>Source: Department of Agriculture and Water Resources</w:t>
      </w:r>
    </w:p>
    <w:p w14:paraId="76CF3387" w14:textId="77777777" w:rsidR="00BE77B7" w:rsidRDefault="00361FA3" w:rsidP="00BE77B7">
      <w:pPr>
        <w:spacing w:before="240"/>
        <w:rPr>
          <w:lang w:eastAsia="ja-JP"/>
        </w:rPr>
      </w:pPr>
      <w:r>
        <w:rPr>
          <w:lang w:eastAsia="ja-JP"/>
        </w:rPr>
        <w:t>SCHS normally operates through voluntary agreements with individual shipping lines or port authorities rather than between governments. However, Australia has also formalised a memorandum of understanding with the Mauritian national plant protection organisation to provide certification of exported containers.</w:t>
      </w:r>
    </w:p>
    <w:p w14:paraId="36893F8A" w14:textId="05F8B30A" w:rsidR="00AB0E44" w:rsidRDefault="00361FA3" w:rsidP="00BE77B7">
      <w:r>
        <w:rPr>
          <w:lang w:eastAsia="ja-JP"/>
        </w:rPr>
        <w:t>SCHS operates in a subset of CAL ports in the Pacific</w:t>
      </w:r>
      <w:r w:rsidR="003B7429">
        <w:rPr>
          <w:lang w:eastAsia="ja-JP"/>
        </w:rPr>
        <w:t>.</w:t>
      </w:r>
      <w:r>
        <w:rPr>
          <w:lang w:eastAsia="ja-JP"/>
        </w:rPr>
        <w:t xml:space="preserve"> </w:t>
      </w:r>
      <w:r w:rsidR="003B7429">
        <w:rPr>
          <w:lang w:eastAsia="ja-JP"/>
        </w:rPr>
        <w:t xml:space="preserve">There are </w:t>
      </w:r>
      <w:r>
        <w:rPr>
          <w:lang w:eastAsia="ja-JP"/>
        </w:rPr>
        <w:t xml:space="preserve">approved facilities in Papua New Guinea (Port Moresby and </w:t>
      </w:r>
      <w:proofErr w:type="spellStart"/>
      <w:r>
        <w:rPr>
          <w:lang w:eastAsia="ja-JP"/>
        </w:rPr>
        <w:t>Lae</w:t>
      </w:r>
      <w:proofErr w:type="spellEnd"/>
      <w:r>
        <w:rPr>
          <w:lang w:eastAsia="ja-JP"/>
        </w:rPr>
        <w:t xml:space="preserve">), the Solomon Islands (Honiara) and Samoa (Apia). Australia has accredited specific ports in </w:t>
      </w:r>
      <w:r w:rsidR="003B7429">
        <w:rPr>
          <w:lang w:eastAsia="ja-JP"/>
        </w:rPr>
        <w:t xml:space="preserve">Papua New Guinea </w:t>
      </w:r>
      <w:r>
        <w:rPr>
          <w:lang w:eastAsia="ja-JP"/>
        </w:rPr>
        <w:t>and the Solomon Island</w:t>
      </w:r>
      <w:r w:rsidR="00342F1C">
        <w:rPr>
          <w:lang w:eastAsia="ja-JP"/>
        </w:rPr>
        <w:t>s</w:t>
      </w:r>
      <w:r>
        <w:rPr>
          <w:lang w:eastAsia="ja-JP"/>
        </w:rPr>
        <w:t xml:space="preserve"> and a participating shipping line</w:t>
      </w:r>
      <w:r w:rsidR="003B7429">
        <w:rPr>
          <w:lang w:eastAsia="ja-JP"/>
        </w:rPr>
        <w:t>—</w:t>
      </w:r>
      <w:r>
        <w:rPr>
          <w:lang w:eastAsia="ja-JP"/>
        </w:rPr>
        <w:t>Swire Shipping</w:t>
      </w:r>
      <w:r w:rsidR="003B7429">
        <w:rPr>
          <w:lang w:eastAsia="ja-JP"/>
        </w:rPr>
        <w:t>.</w:t>
      </w:r>
      <w:r>
        <w:rPr>
          <w:lang w:eastAsia="ja-JP"/>
        </w:rPr>
        <w:t xml:space="preserve"> New Zealand focuses on Samoa and Tonga</w:t>
      </w:r>
      <w:r w:rsidR="003B7429">
        <w:rPr>
          <w:lang w:eastAsia="ja-JP"/>
        </w:rPr>
        <w:t>.</w:t>
      </w:r>
      <w:r>
        <w:rPr>
          <w:lang w:eastAsia="ja-JP"/>
        </w:rPr>
        <w:t xml:space="preserve"> </w:t>
      </w:r>
      <w:r w:rsidR="003B7429">
        <w:rPr>
          <w:lang w:eastAsia="ja-JP"/>
        </w:rPr>
        <w:t>In 2016 b</w:t>
      </w:r>
      <w:r>
        <w:rPr>
          <w:lang w:eastAsia="ja-JP"/>
        </w:rPr>
        <w:t>oth countries collaborated to a</w:t>
      </w:r>
      <w:r>
        <w:t>pprove two facilities at the Fijian Port of Suva from April 2018.</w:t>
      </w:r>
      <w:r>
        <w:rPr>
          <w:lang w:eastAsia="ja-JP"/>
        </w:rPr>
        <w:t xml:space="preserve"> Vanuatu and New Caledonia are also under consideration. </w:t>
      </w:r>
      <w:r>
        <w:rPr>
          <w:lang w:eastAsia="ja-JP"/>
        </w:rPr>
        <w:fldChar w:fldCharType="begin"/>
      </w:r>
      <w:r>
        <w:rPr>
          <w:lang w:eastAsia="ja-JP"/>
        </w:rPr>
        <w:instrText xml:space="preserve"> REF _Ref514226087 \h </w:instrText>
      </w:r>
      <w:r w:rsidR="00342F1C">
        <w:rPr>
          <w:lang w:eastAsia="ja-JP"/>
        </w:rPr>
        <w:instrText xml:space="preserve"> \* MERGEFORMAT </w:instrText>
      </w:r>
      <w:r>
        <w:rPr>
          <w:lang w:eastAsia="ja-JP"/>
        </w:rPr>
      </w:r>
      <w:r>
        <w:rPr>
          <w:lang w:eastAsia="ja-JP"/>
        </w:rPr>
        <w:fldChar w:fldCharType="separate"/>
      </w:r>
      <w:r w:rsidR="007F78D8">
        <w:t xml:space="preserve">Figure </w:t>
      </w:r>
      <w:r w:rsidR="007F78D8">
        <w:rPr>
          <w:noProof/>
        </w:rPr>
        <w:t>10</w:t>
      </w:r>
      <w:r>
        <w:rPr>
          <w:lang w:eastAsia="ja-JP"/>
        </w:rPr>
        <w:fldChar w:fldCharType="end"/>
      </w:r>
      <w:r>
        <w:rPr>
          <w:lang w:eastAsia="ja-JP"/>
        </w:rPr>
        <w:t xml:space="preserve"> provides an overview of SCHS.</w:t>
      </w:r>
      <w:bookmarkStart w:id="72" w:name="_Ref513743998"/>
    </w:p>
    <w:p w14:paraId="4A575C83" w14:textId="77777777" w:rsidR="00AB0E44" w:rsidRDefault="00361FA3">
      <w:pPr>
        <w:pStyle w:val="Caption"/>
        <w:rPr>
          <w:lang w:eastAsia="ja-JP"/>
        </w:rPr>
      </w:pPr>
      <w:bookmarkStart w:id="73" w:name="_Ref514226087"/>
      <w:bookmarkStart w:id="74" w:name="_Toc521069580"/>
      <w:bookmarkEnd w:id="72"/>
      <w:r>
        <w:t xml:space="preserve">Figure </w:t>
      </w:r>
      <w:r w:rsidR="00F21B3D">
        <w:rPr>
          <w:noProof/>
        </w:rPr>
        <w:fldChar w:fldCharType="begin"/>
      </w:r>
      <w:r w:rsidR="00F21B3D">
        <w:rPr>
          <w:noProof/>
        </w:rPr>
        <w:instrText xml:space="preserve"> SEQ Figure \* ARABIC </w:instrText>
      </w:r>
      <w:r w:rsidR="00F21B3D">
        <w:rPr>
          <w:noProof/>
        </w:rPr>
        <w:fldChar w:fldCharType="separate"/>
      </w:r>
      <w:r w:rsidR="007F78D8">
        <w:rPr>
          <w:noProof/>
        </w:rPr>
        <w:t>10</w:t>
      </w:r>
      <w:r w:rsidR="00F21B3D">
        <w:rPr>
          <w:noProof/>
        </w:rPr>
        <w:fldChar w:fldCharType="end"/>
      </w:r>
      <w:bookmarkEnd w:id="73"/>
      <w:r>
        <w:rPr>
          <w:noProof/>
        </w:rPr>
        <w:t xml:space="preserve"> Sea Container Hygiene System overview</w:t>
      </w:r>
      <w:bookmarkEnd w:id="74"/>
    </w:p>
    <w:p w14:paraId="1484DD17" w14:textId="7853063C" w:rsidR="00AB0E44" w:rsidRDefault="00DF710F">
      <w:pPr>
        <w:rPr>
          <w:lang w:eastAsia="ja-JP"/>
        </w:rPr>
      </w:pPr>
      <w:r>
        <w:rPr>
          <w:noProof/>
          <w:lang w:eastAsia="en-AU"/>
        </w:rPr>
        <w:drawing>
          <wp:inline distT="0" distB="0" distL="0" distR="0" wp14:anchorId="7D6BD8E1" wp14:editId="6E25B4C2">
            <wp:extent cx="5454595" cy="3594065"/>
            <wp:effectExtent l="0" t="0" r="0" b="6985"/>
            <wp:docPr id="37" name="Picture 37" descr="This process overview shows the department's Sea Container Hygiene System. It includes the country of origin process for decontaminating containers and quality control, mving onto vessels, segregation and unloading of continers at destination ports for 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7462" cy="3609133"/>
                    </a:xfrm>
                    <a:prstGeom prst="rect">
                      <a:avLst/>
                    </a:prstGeom>
                    <a:noFill/>
                  </pic:spPr>
                </pic:pic>
              </a:graphicData>
            </a:graphic>
          </wp:inline>
        </w:drawing>
      </w:r>
    </w:p>
    <w:p w14:paraId="48228A7B" w14:textId="77777777" w:rsidR="00AB0E44" w:rsidRDefault="00361FA3">
      <w:pPr>
        <w:pStyle w:val="FigureTableNoteSource"/>
        <w:rPr>
          <w:lang w:eastAsia="ja-JP"/>
        </w:rPr>
      </w:pPr>
      <w:r>
        <w:rPr>
          <w:lang w:eastAsia="ja-JP"/>
        </w:rPr>
        <w:t>Source: Department of Agriculture and Water Resources</w:t>
      </w:r>
    </w:p>
    <w:p w14:paraId="70276354" w14:textId="77777777" w:rsidR="00AB0E44" w:rsidRDefault="00361FA3">
      <w:pPr>
        <w:pStyle w:val="Heading4"/>
        <w:spacing w:before="360"/>
        <w:rPr>
          <w:lang w:eastAsia="ja-JP"/>
        </w:rPr>
      </w:pPr>
      <w:r>
        <w:t>External container</w:t>
      </w:r>
      <w:r>
        <w:rPr>
          <w:lang w:val="en-AU"/>
        </w:rPr>
        <w:t xml:space="preserve"> </w:t>
      </w:r>
      <w:r>
        <w:t>inspection results</w:t>
      </w:r>
    </w:p>
    <w:p w14:paraId="321A74C5" w14:textId="0EA7879F" w:rsidR="00AB0E44" w:rsidRDefault="00361FA3">
      <w:pPr>
        <w:spacing w:after="0"/>
        <w:rPr>
          <w:lang w:eastAsia="ja-JP"/>
        </w:rPr>
      </w:pPr>
      <w:r>
        <w:rPr>
          <w:lang w:eastAsia="ja-JP"/>
        </w:rPr>
        <w:t>Between 2014 and 2017 10.7 per cent of the 11.3 million containers imported into Australia were inspected</w:t>
      </w:r>
      <w:r w:rsidR="003B7429">
        <w:rPr>
          <w:lang w:eastAsia="ja-JP"/>
        </w:rPr>
        <w:t>.</w:t>
      </w:r>
      <w:r>
        <w:rPr>
          <w:lang w:eastAsia="ja-JP"/>
        </w:rPr>
        <w:t xml:space="preserve"> </w:t>
      </w:r>
      <w:r w:rsidR="003B7429">
        <w:rPr>
          <w:lang w:eastAsia="ja-JP"/>
        </w:rPr>
        <w:t>C</w:t>
      </w:r>
      <w:r>
        <w:rPr>
          <w:lang w:eastAsia="ja-JP"/>
        </w:rPr>
        <w:t>ontamination was found on 1.9 per cent of those inspected (</w:t>
      </w:r>
      <w:r>
        <w:rPr>
          <w:lang w:eastAsia="ja-JP"/>
        </w:rPr>
        <w:fldChar w:fldCharType="begin"/>
      </w:r>
      <w:r>
        <w:rPr>
          <w:lang w:eastAsia="ja-JP"/>
        </w:rPr>
        <w:instrText xml:space="preserve"> REF _Ref514148078 \h </w:instrText>
      </w:r>
      <w:r>
        <w:rPr>
          <w:lang w:eastAsia="ja-JP"/>
        </w:rPr>
      </w:r>
      <w:r>
        <w:rPr>
          <w:lang w:eastAsia="ja-JP"/>
        </w:rPr>
        <w:fldChar w:fldCharType="separate"/>
      </w:r>
      <w:r w:rsidR="007F78D8">
        <w:t xml:space="preserve">Table </w:t>
      </w:r>
      <w:r w:rsidR="007F78D8">
        <w:rPr>
          <w:noProof/>
        </w:rPr>
        <w:t>4</w:t>
      </w:r>
      <w:r>
        <w:rPr>
          <w:lang w:eastAsia="ja-JP"/>
        </w:rPr>
        <w:fldChar w:fldCharType="end"/>
      </w:r>
      <w:r>
        <w:rPr>
          <w:lang w:eastAsia="ja-JP"/>
        </w:rPr>
        <w:t>).</w:t>
      </w:r>
    </w:p>
    <w:p w14:paraId="3BFE68BB" w14:textId="3EE5572D" w:rsidR="00AB0E44" w:rsidRDefault="006653BB">
      <w:pPr>
        <w:spacing w:after="0"/>
        <w:rPr>
          <w:lang w:eastAsia="ja-JP"/>
        </w:rPr>
      </w:pPr>
      <w:r>
        <w:rPr>
          <w:b/>
          <w:lang w:eastAsia="ja-JP"/>
        </w:rPr>
        <w:t>High external risk (CAL) container inspection results</w:t>
      </w:r>
      <w:r>
        <w:rPr>
          <w:lang w:eastAsia="ja-JP"/>
        </w:rPr>
        <w:t>—</w:t>
      </w:r>
      <w:proofErr w:type="gramStart"/>
      <w:r w:rsidR="00361FA3">
        <w:rPr>
          <w:lang w:eastAsia="ja-JP"/>
        </w:rPr>
        <w:t>Between</w:t>
      </w:r>
      <w:proofErr w:type="gramEnd"/>
      <w:r w:rsidR="00361FA3">
        <w:rPr>
          <w:lang w:eastAsia="ja-JP"/>
        </w:rPr>
        <w:t xml:space="preserve"> 2009–10 and 2016–17 Australia received containers from 38 of the 43 CAL countries and the department conducted 381,828 CAL inspections</w:t>
      </w:r>
      <w:r w:rsidR="003B7429">
        <w:rPr>
          <w:lang w:eastAsia="ja-JP"/>
        </w:rPr>
        <w:t>.</w:t>
      </w:r>
      <w:r w:rsidR="00361FA3">
        <w:rPr>
          <w:lang w:eastAsia="ja-JP"/>
        </w:rPr>
        <w:t xml:space="preserve"> </w:t>
      </w:r>
      <w:r w:rsidR="003B7429">
        <w:rPr>
          <w:lang w:eastAsia="ja-JP"/>
        </w:rPr>
        <w:t>O</w:t>
      </w:r>
      <w:r w:rsidR="00361FA3">
        <w:rPr>
          <w:lang w:eastAsia="ja-JP"/>
        </w:rPr>
        <w:t xml:space="preserve">f </w:t>
      </w:r>
      <w:r w:rsidR="003B7429">
        <w:rPr>
          <w:lang w:eastAsia="ja-JP"/>
        </w:rPr>
        <w:t xml:space="preserve">these, </w:t>
      </w:r>
      <w:r w:rsidR="00361FA3">
        <w:rPr>
          <w:lang w:eastAsia="ja-JP"/>
        </w:rPr>
        <w:t xml:space="preserve">about 20 per cent were non-compliant. </w:t>
      </w:r>
      <w:r w:rsidR="00361FA3">
        <w:rPr>
          <w:lang w:eastAsia="ja-JP"/>
        </w:rPr>
        <w:fldChar w:fldCharType="begin"/>
      </w:r>
      <w:r w:rsidR="00361FA3">
        <w:rPr>
          <w:lang w:eastAsia="ja-JP"/>
        </w:rPr>
        <w:instrText xml:space="preserve"> REF _Ref514148116 \h </w:instrText>
      </w:r>
      <w:r w:rsidR="00361FA3">
        <w:rPr>
          <w:lang w:eastAsia="ja-JP"/>
        </w:rPr>
      </w:r>
      <w:r w:rsidR="00361FA3">
        <w:rPr>
          <w:lang w:eastAsia="ja-JP"/>
        </w:rPr>
        <w:fldChar w:fldCharType="separate"/>
      </w:r>
      <w:r w:rsidR="007F78D8">
        <w:t xml:space="preserve">Table </w:t>
      </w:r>
      <w:r w:rsidR="007F78D8">
        <w:rPr>
          <w:noProof/>
        </w:rPr>
        <w:t>5</w:t>
      </w:r>
      <w:r w:rsidR="00361FA3">
        <w:rPr>
          <w:lang w:eastAsia="ja-JP"/>
        </w:rPr>
        <w:fldChar w:fldCharType="end"/>
      </w:r>
      <w:r w:rsidR="00361FA3">
        <w:rPr>
          <w:lang w:eastAsia="ja-JP"/>
        </w:rPr>
        <w:t xml:space="preserve"> shows that the overall failure rate of inspections from CAL countries halved </w:t>
      </w:r>
      <w:r w:rsidR="003B7429">
        <w:rPr>
          <w:lang w:eastAsia="ja-JP"/>
        </w:rPr>
        <w:t xml:space="preserve">between </w:t>
      </w:r>
      <w:r w:rsidR="00361FA3">
        <w:rPr>
          <w:lang w:eastAsia="ja-JP"/>
        </w:rPr>
        <w:t xml:space="preserve">2009–10 </w:t>
      </w:r>
      <w:r w:rsidR="003B7429">
        <w:rPr>
          <w:lang w:eastAsia="ja-JP"/>
        </w:rPr>
        <w:t xml:space="preserve">and </w:t>
      </w:r>
      <w:r w:rsidR="00361FA3">
        <w:rPr>
          <w:lang w:eastAsia="ja-JP"/>
        </w:rPr>
        <w:t>2016–17, mostly due to less low</w:t>
      </w:r>
      <w:r w:rsidR="003B7429">
        <w:rPr>
          <w:lang w:eastAsia="ja-JP"/>
        </w:rPr>
        <w:t>-</w:t>
      </w:r>
      <w:r w:rsidR="00361FA3">
        <w:rPr>
          <w:lang w:eastAsia="ja-JP"/>
        </w:rPr>
        <w:t>level contamination.</w:t>
      </w:r>
    </w:p>
    <w:p w14:paraId="2A04AC7F" w14:textId="20C682AD" w:rsidR="00AB0E44" w:rsidRDefault="00361FA3">
      <w:pPr>
        <w:spacing w:after="0"/>
        <w:rPr>
          <w:lang w:eastAsia="ja-JP"/>
        </w:rPr>
      </w:pPr>
      <w:r>
        <w:rPr>
          <w:lang w:eastAsia="ja-JP"/>
        </w:rPr>
        <w:t xml:space="preserve">In 2015–16, 43 per cent of all CAL containers entering Australia had been treated in SCHS facilities in </w:t>
      </w:r>
      <w:r w:rsidR="003B7429">
        <w:rPr>
          <w:lang w:eastAsia="ja-JP"/>
        </w:rPr>
        <w:t xml:space="preserve">Papua New Guinea </w:t>
      </w:r>
      <w:r>
        <w:rPr>
          <w:lang w:eastAsia="ja-JP"/>
        </w:rPr>
        <w:t>and the Solomon Islands. Due to SCHS compliance, 37 per cent of these were exempted from full CAL inspection levels. This treatment is likely to have contributed to the improved performance found by CAL container inspection on arrival by 2017.</w:t>
      </w:r>
    </w:p>
    <w:p w14:paraId="105A4075" w14:textId="334872B7" w:rsidR="00AB0E44" w:rsidRDefault="00361FA3">
      <w:pPr>
        <w:pStyle w:val="Caption"/>
      </w:pPr>
      <w:bookmarkStart w:id="75" w:name="_Ref514148078"/>
      <w:bookmarkStart w:id="76" w:name="_Toc521069595"/>
      <w:r>
        <w:t xml:space="preserve">Table </w:t>
      </w:r>
      <w:r w:rsidR="00F21B3D">
        <w:rPr>
          <w:noProof/>
        </w:rPr>
        <w:fldChar w:fldCharType="begin"/>
      </w:r>
      <w:r w:rsidR="00F21B3D">
        <w:rPr>
          <w:noProof/>
        </w:rPr>
        <w:instrText xml:space="preserve"> SEQ Table \* ARABIC </w:instrText>
      </w:r>
      <w:r w:rsidR="00F21B3D">
        <w:rPr>
          <w:noProof/>
        </w:rPr>
        <w:fldChar w:fldCharType="separate"/>
      </w:r>
      <w:r w:rsidR="007F78D8">
        <w:rPr>
          <w:noProof/>
        </w:rPr>
        <w:t>4</w:t>
      </w:r>
      <w:r w:rsidR="00F21B3D">
        <w:rPr>
          <w:noProof/>
        </w:rPr>
        <w:fldChar w:fldCharType="end"/>
      </w:r>
      <w:bookmarkEnd w:id="75"/>
      <w:r>
        <w:t xml:space="preserve"> Types of contamination incidents from all container inspections, 2014–</w:t>
      </w:r>
      <w:r w:rsidR="00342F1C">
        <w:t>20</w:t>
      </w:r>
      <w:r>
        <w:t>17</w:t>
      </w:r>
      <w:bookmarkEnd w:id="76"/>
    </w:p>
    <w:tbl>
      <w:tblPr>
        <w:tblStyle w:val="Style1"/>
        <w:tblW w:w="0" w:type="auto"/>
        <w:tblLook w:val="04A0" w:firstRow="1" w:lastRow="0" w:firstColumn="1" w:lastColumn="0" w:noHBand="0" w:noVBand="1"/>
      </w:tblPr>
      <w:tblGrid>
        <w:gridCol w:w="2268"/>
        <w:gridCol w:w="1560"/>
      </w:tblGrid>
      <w:tr w:rsidR="00AB0E44" w:rsidRPr="00342F1C" w14:paraId="5AF6F1AB" w14:textId="77777777" w:rsidTr="005E4BE4">
        <w:trPr>
          <w:cnfStyle w:val="100000000000" w:firstRow="1" w:lastRow="0" w:firstColumn="0" w:lastColumn="0" w:oddVBand="0" w:evenVBand="0" w:oddHBand="0" w:evenHBand="0" w:firstRowFirstColumn="0" w:firstRowLastColumn="0" w:lastRowFirstColumn="0" w:lastRowLastColumn="0"/>
          <w:trHeight w:val="271"/>
          <w:tblHeader/>
        </w:trPr>
        <w:tc>
          <w:tcPr>
            <w:cnfStyle w:val="001000000000" w:firstRow="0" w:lastRow="0" w:firstColumn="1" w:lastColumn="0" w:oddVBand="0" w:evenVBand="0" w:oddHBand="0" w:evenHBand="0" w:firstRowFirstColumn="0" w:firstRowLastColumn="0" w:lastRowFirstColumn="0" w:lastRowLastColumn="0"/>
            <w:tcW w:w="2268" w:type="dxa"/>
          </w:tcPr>
          <w:p w14:paraId="71678472" w14:textId="77777777" w:rsidR="00AB0E44" w:rsidRPr="00A560A6" w:rsidRDefault="00361FA3" w:rsidP="001C3214">
            <w:pPr>
              <w:pStyle w:val="TableHeading0"/>
            </w:pPr>
            <w:r w:rsidRPr="001C3214">
              <w:rPr>
                <w:b/>
              </w:rPr>
              <w:t>Contaminant</w:t>
            </w:r>
          </w:p>
        </w:tc>
        <w:tc>
          <w:tcPr>
            <w:tcW w:w="1560" w:type="dxa"/>
          </w:tcPr>
          <w:p w14:paraId="2B50EF3E" w14:textId="77777777" w:rsidR="00AB0E44" w:rsidRPr="00A560A6" w:rsidRDefault="00361FA3" w:rsidP="001C3214">
            <w:pPr>
              <w:pStyle w:val="TableHeading0"/>
              <w:cnfStyle w:val="100000000000" w:firstRow="1" w:lastRow="0" w:firstColumn="0" w:lastColumn="0" w:oddVBand="0" w:evenVBand="0" w:oddHBand="0" w:evenHBand="0" w:firstRowFirstColumn="0" w:firstRowLastColumn="0" w:lastRowFirstColumn="0" w:lastRowLastColumn="0"/>
            </w:pPr>
            <w:r w:rsidRPr="001C3214">
              <w:rPr>
                <w:b/>
              </w:rPr>
              <w:t>Frequency (%)</w:t>
            </w:r>
          </w:p>
        </w:tc>
      </w:tr>
      <w:tr w:rsidR="00AB0E44" w:rsidRPr="00342F1C" w14:paraId="513FE901" w14:textId="77777777" w:rsidTr="005E4BE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268" w:type="dxa"/>
          </w:tcPr>
          <w:p w14:paraId="4EA20649" w14:textId="77777777" w:rsidR="00AB0E44" w:rsidRPr="001C3214" w:rsidRDefault="00361FA3" w:rsidP="001C3214">
            <w:pPr>
              <w:pStyle w:val="Tabletext"/>
            </w:pPr>
            <w:r w:rsidRPr="001C3214">
              <w:t>Soil only</w:t>
            </w:r>
          </w:p>
        </w:tc>
        <w:tc>
          <w:tcPr>
            <w:tcW w:w="1560" w:type="dxa"/>
            <w:tcBorders>
              <w:top w:val="nil"/>
              <w:bottom w:val="nil"/>
            </w:tcBorders>
            <w:shd w:val="clear" w:color="auto" w:fill="auto"/>
          </w:tcPr>
          <w:p w14:paraId="38D7FE34" w14:textId="77777777" w:rsidR="00AB0E44" w:rsidRPr="001C3214" w:rsidRDefault="00361FA3" w:rsidP="001C3214">
            <w:pPr>
              <w:pStyle w:val="Tabletext"/>
              <w:cnfStyle w:val="000000100000" w:firstRow="0" w:lastRow="0" w:firstColumn="0" w:lastColumn="0" w:oddVBand="0" w:evenVBand="0" w:oddHBand="1" w:evenHBand="0" w:firstRowFirstColumn="0" w:firstRowLastColumn="0" w:lastRowFirstColumn="0" w:lastRowLastColumn="0"/>
            </w:pPr>
            <w:r w:rsidRPr="001C3214">
              <w:t>76.4</w:t>
            </w:r>
          </w:p>
        </w:tc>
      </w:tr>
      <w:tr w:rsidR="00AB0E44" w:rsidRPr="00342F1C" w14:paraId="4C14B497" w14:textId="77777777" w:rsidTr="005E4BE4">
        <w:trPr>
          <w:trHeight w:val="259"/>
        </w:trPr>
        <w:tc>
          <w:tcPr>
            <w:cnfStyle w:val="001000000000" w:firstRow="0" w:lastRow="0" w:firstColumn="1" w:lastColumn="0" w:oddVBand="0" w:evenVBand="0" w:oddHBand="0" w:evenHBand="0" w:firstRowFirstColumn="0" w:firstRowLastColumn="0" w:lastRowFirstColumn="0" w:lastRowLastColumn="0"/>
            <w:tcW w:w="2268" w:type="dxa"/>
          </w:tcPr>
          <w:p w14:paraId="1BDABC95" w14:textId="77777777" w:rsidR="00AB0E44" w:rsidRPr="001C3214" w:rsidRDefault="00361FA3" w:rsidP="001C3214">
            <w:pPr>
              <w:pStyle w:val="Tabletext"/>
            </w:pPr>
            <w:r w:rsidRPr="001C3214">
              <w:t>Plant material only</w:t>
            </w:r>
          </w:p>
        </w:tc>
        <w:tc>
          <w:tcPr>
            <w:tcW w:w="1560" w:type="dxa"/>
            <w:tcBorders>
              <w:top w:val="nil"/>
              <w:bottom w:val="nil"/>
            </w:tcBorders>
          </w:tcPr>
          <w:p w14:paraId="31816537" w14:textId="77777777" w:rsidR="00AB0E44" w:rsidRPr="001C3214" w:rsidRDefault="00361FA3" w:rsidP="001C3214">
            <w:pPr>
              <w:pStyle w:val="Tabletext"/>
              <w:cnfStyle w:val="000000000000" w:firstRow="0" w:lastRow="0" w:firstColumn="0" w:lastColumn="0" w:oddVBand="0" w:evenVBand="0" w:oddHBand="0" w:evenHBand="0" w:firstRowFirstColumn="0" w:firstRowLastColumn="0" w:lastRowFirstColumn="0" w:lastRowLastColumn="0"/>
            </w:pPr>
            <w:r w:rsidRPr="001C3214">
              <w:t>6.9</w:t>
            </w:r>
          </w:p>
        </w:tc>
      </w:tr>
      <w:tr w:rsidR="00AB0E44" w:rsidRPr="00342F1C" w14:paraId="7212A0F4" w14:textId="77777777" w:rsidTr="005E4BE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268" w:type="dxa"/>
          </w:tcPr>
          <w:p w14:paraId="5160D4E1" w14:textId="77777777" w:rsidR="00AB0E44" w:rsidRPr="001C3214" w:rsidRDefault="00361FA3" w:rsidP="001C3214">
            <w:pPr>
              <w:pStyle w:val="Tabletext"/>
            </w:pPr>
            <w:r w:rsidRPr="001C3214">
              <w:t>Soil and plant material</w:t>
            </w:r>
          </w:p>
        </w:tc>
        <w:tc>
          <w:tcPr>
            <w:tcW w:w="1560" w:type="dxa"/>
            <w:tcBorders>
              <w:top w:val="nil"/>
            </w:tcBorders>
            <w:shd w:val="clear" w:color="auto" w:fill="auto"/>
          </w:tcPr>
          <w:p w14:paraId="0AD39548" w14:textId="77777777" w:rsidR="00AB0E44" w:rsidRPr="001C3214" w:rsidRDefault="00361FA3" w:rsidP="001C3214">
            <w:pPr>
              <w:pStyle w:val="Tabletext"/>
              <w:cnfStyle w:val="000000100000" w:firstRow="0" w:lastRow="0" w:firstColumn="0" w:lastColumn="0" w:oddVBand="0" w:evenVBand="0" w:oddHBand="1" w:evenHBand="0" w:firstRowFirstColumn="0" w:firstRowLastColumn="0" w:lastRowFirstColumn="0" w:lastRowLastColumn="0"/>
            </w:pPr>
            <w:r w:rsidRPr="001C3214">
              <w:t>6.5</w:t>
            </w:r>
          </w:p>
        </w:tc>
      </w:tr>
      <w:tr w:rsidR="00AB0E44" w:rsidRPr="00342F1C" w14:paraId="5A3F7AEB" w14:textId="77777777" w:rsidTr="005E4BE4">
        <w:trPr>
          <w:trHeight w:val="271"/>
        </w:trPr>
        <w:tc>
          <w:tcPr>
            <w:cnfStyle w:val="001000000000" w:firstRow="0" w:lastRow="0" w:firstColumn="1" w:lastColumn="0" w:oddVBand="0" w:evenVBand="0" w:oddHBand="0" w:evenHBand="0" w:firstRowFirstColumn="0" w:firstRowLastColumn="0" w:lastRowFirstColumn="0" w:lastRowLastColumn="0"/>
            <w:tcW w:w="2268" w:type="dxa"/>
          </w:tcPr>
          <w:p w14:paraId="4FB59A84" w14:textId="77777777" w:rsidR="00AB0E44" w:rsidRPr="001C3214" w:rsidRDefault="00361FA3" w:rsidP="001C3214">
            <w:pPr>
              <w:pStyle w:val="Tabletext"/>
            </w:pPr>
            <w:r w:rsidRPr="001C3214">
              <w:t>Seeds only</w:t>
            </w:r>
          </w:p>
        </w:tc>
        <w:tc>
          <w:tcPr>
            <w:tcW w:w="1560" w:type="dxa"/>
          </w:tcPr>
          <w:p w14:paraId="04F586C2" w14:textId="77777777" w:rsidR="00AB0E44" w:rsidRPr="001C3214" w:rsidRDefault="00361FA3" w:rsidP="001C3214">
            <w:pPr>
              <w:pStyle w:val="Tabletext"/>
              <w:cnfStyle w:val="000000000000" w:firstRow="0" w:lastRow="0" w:firstColumn="0" w:lastColumn="0" w:oddVBand="0" w:evenVBand="0" w:oddHBand="0" w:evenHBand="0" w:firstRowFirstColumn="0" w:firstRowLastColumn="0" w:lastRowFirstColumn="0" w:lastRowLastColumn="0"/>
            </w:pPr>
            <w:r w:rsidRPr="001C3214">
              <w:t>3.6</w:t>
            </w:r>
          </w:p>
        </w:tc>
      </w:tr>
      <w:tr w:rsidR="00AB0E44" w:rsidRPr="00342F1C" w14:paraId="60D64239" w14:textId="77777777" w:rsidTr="005E4BE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68" w:type="dxa"/>
          </w:tcPr>
          <w:p w14:paraId="505B7D49" w14:textId="77777777" w:rsidR="00AB0E44" w:rsidRPr="001C3214" w:rsidRDefault="00361FA3" w:rsidP="001C3214">
            <w:pPr>
              <w:pStyle w:val="Tabletext"/>
            </w:pPr>
            <w:r w:rsidRPr="001C3214">
              <w:t>Snails only</w:t>
            </w:r>
          </w:p>
        </w:tc>
        <w:tc>
          <w:tcPr>
            <w:tcW w:w="1560" w:type="dxa"/>
            <w:shd w:val="clear" w:color="auto" w:fill="auto"/>
          </w:tcPr>
          <w:p w14:paraId="60E23348" w14:textId="77777777" w:rsidR="00AB0E44" w:rsidRPr="001C3214" w:rsidRDefault="00361FA3" w:rsidP="001C3214">
            <w:pPr>
              <w:pStyle w:val="Tabletext"/>
              <w:cnfStyle w:val="000000100000" w:firstRow="0" w:lastRow="0" w:firstColumn="0" w:lastColumn="0" w:oddVBand="0" w:evenVBand="0" w:oddHBand="1" w:evenHBand="0" w:firstRowFirstColumn="0" w:firstRowLastColumn="0" w:lastRowFirstColumn="0" w:lastRowLastColumn="0"/>
            </w:pPr>
            <w:r w:rsidRPr="001C3214">
              <w:t>1.3</w:t>
            </w:r>
          </w:p>
        </w:tc>
      </w:tr>
      <w:tr w:rsidR="00AB0E44" w:rsidRPr="00342F1C" w14:paraId="6E896970" w14:textId="77777777" w:rsidTr="005E4BE4">
        <w:trPr>
          <w:trHeight w:val="271"/>
        </w:trPr>
        <w:tc>
          <w:tcPr>
            <w:cnfStyle w:val="001000000000" w:firstRow="0" w:lastRow="0" w:firstColumn="1" w:lastColumn="0" w:oddVBand="0" w:evenVBand="0" w:oddHBand="0" w:evenHBand="0" w:firstRowFirstColumn="0" w:firstRowLastColumn="0" w:lastRowFirstColumn="0" w:lastRowLastColumn="0"/>
            <w:tcW w:w="2268" w:type="dxa"/>
          </w:tcPr>
          <w:p w14:paraId="16B76238" w14:textId="77777777" w:rsidR="00AB0E44" w:rsidRPr="001C3214" w:rsidRDefault="00361FA3" w:rsidP="001C3214">
            <w:pPr>
              <w:pStyle w:val="Tabletext"/>
            </w:pPr>
            <w:r w:rsidRPr="001C3214">
              <w:t>Insects only</w:t>
            </w:r>
          </w:p>
        </w:tc>
        <w:tc>
          <w:tcPr>
            <w:tcW w:w="1560" w:type="dxa"/>
            <w:tcBorders>
              <w:bottom w:val="nil"/>
            </w:tcBorders>
          </w:tcPr>
          <w:p w14:paraId="143FCC32" w14:textId="77777777" w:rsidR="00AB0E44" w:rsidRPr="001C3214" w:rsidRDefault="00361FA3" w:rsidP="001C3214">
            <w:pPr>
              <w:pStyle w:val="Tabletext"/>
              <w:cnfStyle w:val="000000000000" w:firstRow="0" w:lastRow="0" w:firstColumn="0" w:lastColumn="0" w:oddVBand="0" w:evenVBand="0" w:oddHBand="0" w:evenHBand="0" w:firstRowFirstColumn="0" w:firstRowLastColumn="0" w:lastRowFirstColumn="0" w:lastRowLastColumn="0"/>
            </w:pPr>
            <w:r w:rsidRPr="001C3214">
              <w:t>1.1</w:t>
            </w:r>
          </w:p>
        </w:tc>
      </w:tr>
      <w:tr w:rsidR="00AB0E44" w:rsidRPr="00342F1C" w14:paraId="394AFAE7" w14:textId="77777777" w:rsidTr="005E4BE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268" w:type="dxa"/>
          </w:tcPr>
          <w:p w14:paraId="289ECE46" w14:textId="77777777" w:rsidR="00AB0E44" w:rsidRPr="001C3214" w:rsidRDefault="00361FA3" w:rsidP="001C3214">
            <w:pPr>
              <w:pStyle w:val="Tabletext"/>
            </w:pPr>
            <w:r w:rsidRPr="001C3214">
              <w:t>Animal material only</w:t>
            </w:r>
          </w:p>
        </w:tc>
        <w:tc>
          <w:tcPr>
            <w:tcW w:w="1560" w:type="dxa"/>
            <w:tcBorders>
              <w:top w:val="nil"/>
              <w:bottom w:val="nil"/>
            </w:tcBorders>
            <w:shd w:val="clear" w:color="auto" w:fill="auto"/>
          </w:tcPr>
          <w:p w14:paraId="6F5C0C26" w14:textId="77777777" w:rsidR="00AB0E44" w:rsidRPr="001C3214" w:rsidRDefault="00361FA3" w:rsidP="001C3214">
            <w:pPr>
              <w:pStyle w:val="Tabletext"/>
              <w:cnfStyle w:val="000000100000" w:firstRow="0" w:lastRow="0" w:firstColumn="0" w:lastColumn="0" w:oddVBand="0" w:evenVBand="0" w:oddHBand="1" w:evenHBand="0" w:firstRowFirstColumn="0" w:firstRowLastColumn="0" w:lastRowFirstColumn="0" w:lastRowLastColumn="0"/>
            </w:pPr>
            <w:r w:rsidRPr="001C3214">
              <w:t>0.7</w:t>
            </w:r>
          </w:p>
        </w:tc>
      </w:tr>
      <w:tr w:rsidR="00AB0E44" w:rsidRPr="00342F1C" w14:paraId="72382DEE" w14:textId="77777777" w:rsidTr="005E4BE4">
        <w:trPr>
          <w:trHeight w:val="271"/>
        </w:trPr>
        <w:tc>
          <w:tcPr>
            <w:cnfStyle w:val="001000000000" w:firstRow="0" w:lastRow="0" w:firstColumn="1" w:lastColumn="0" w:oddVBand="0" w:evenVBand="0" w:oddHBand="0" w:evenHBand="0" w:firstRowFirstColumn="0" w:firstRowLastColumn="0" w:lastRowFirstColumn="0" w:lastRowLastColumn="0"/>
            <w:tcW w:w="2268" w:type="dxa"/>
          </w:tcPr>
          <w:p w14:paraId="0C883561" w14:textId="77777777" w:rsidR="00AB0E44" w:rsidRPr="001C3214" w:rsidRDefault="00361FA3" w:rsidP="001C3214">
            <w:pPr>
              <w:pStyle w:val="Tabletext"/>
            </w:pPr>
            <w:r w:rsidRPr="001C3214">
              <w:t>Other (including multiple)</w:t>
            </w:r>
          </w:p>
        </w:tc>
        <w:tc>
          <w:tcPr>
            <w:tcW w:w="1560" w:type="dxa"/>
            <w:tcBorders>
              <w:top w:val="nil"/>
            </w:tcBorders>
          </w:tcPr>
          <w:p w14:paraId="60748C53" w14:textId="77777777" w:rsidR="00AB0E44" w:rsidRPr="001C3214" w:rsidRDefault="00361FA3" w:rsidP="001C3214">
            <w:pPr>
              <w:pStyle w:val="Tabletext"/>
              <w:cnfStyle w:val="000000000000" w:firstRow="0" w:lastRow="0" w:firstColumn="0" w:lastColumn="0" w:oddVBand="0" w:evenVBand="0" w:oddHBand="0" w:evenHBand="0" w:firstRowFirstColumn="0" w:firstRowLastColumn="0" w:lastRowFirstColumn="0" w:lastRowLastColumn="0"/>
            </w:pPr>
            <w:r w:rsidRPr="001C3214">
              <w:t>3.5</w:t>
            </w:r>
          </w:p>
        </w:tc>
      </w:tr>
    </w:tbl>
    <w:p w14:paraId="7047053C" w14:textId="77777777" w:rsidR="00AB0E44" w:rsidRDefault="00361FA3">
      <w:pPr>
        <w:pStyle w:val="FigureTableNoteSource"/>
        <w:rPr>
          <w:lang w:eastAsia="ja-JP"/>
        </w:rPr>
      </w:pPr>
      <w:r>
        <w:rPr>
          <w:lang w:eastAsia="en-AU"/>
        </w:rPr>
        <w:t>Source: Department of Agriculture and Water Resources</w:t>
      </w:r>
    </w:p>
    <w:p w14:paraId="6FA0BFB6" w14:textId="1E217D47" w:rsidR="00AB0E44" w:rsidRDefault="00361FA3" w:rsidP="00800CCE">
      <w:pPr>
        <w:pStyle w:val="Caption"/>
        <w:rPr>
          <w:lang w:eastAsia="ja-JP"/>
        </w:rPr>
      </w:pPr>
      <w:bookmarkStart w:id="77" w:name="_Ref514148116"/>
      <w:bookmarkStart w:id="78" w:name="_Toc521069596"/>
      <w:r>
        <w:t xml:space="preserve">Table </w:t>
      </w:r>
      <w:r w:rsidR="00F21B3D">
        <w:rPr>
          <w:noProof/>
        </w:rPr>
        <w:fldChar w:fldCharType="begin"/>
      </w:r>
      <w:r w:rsidR="00F21B3D">
        <w:rPr>
          <w:noProof/>
        </w:rPr>
        <w:instrText xml:space="preserve"> SEQ Table \* ARABIC </w:instrText>
      </w:r>
      <w:r w:rsidR="00F21B3D">
        <w:rPr>
          <w:noProof/>
        </w:rPr>
        <w:fldChar w:fldCharType="separate"/>
      </w:r>
      <w:r w:rsidR="007F78D8">
        <w:rPr>
          <w:noProof/>
        </w:rPr>
        <w:t>5</w:t>
      </w:r>
      <w:r w:rsidR="00F21B3D">
        <w:rPr>
          <w:noProof/>
        </w:rPr>
        <w:fldChar w:fldCharType="end"/>
      </w:r>
      <w:bookmarkEnd w:id="77"/>
      <w:r>
        <w:rPr>
          <w:noProof/>
        </w:rPr>
        <w:t xml:space="preserve"> </w:t>
      </w:r>
      <w:r>
        <w:t>Inspection</w:t>
      </w:r>
      <w:r>
        <w:rPr>
          <w:noProof/>
        </w:rPr>
        <w:t xml:space="preserve"> </w:t>
      </w:r>
      <w:r>
        <w:t>outcomes</w:t>
      </w:r>
      <w:r>
        <w:rPr>
          <w:noProof/>
        </w:rPr>
        <w:t xml:space="preserve"> for </w:t>
      </w:r>
      <w:r w:rsidR="008D7BB7">
        <w:rPr>
          <w:noProof/>
        </w:rPr>
        <w:t>c</w:t>
      </w:r>
      <w:r>
        <w:rPr>
          <w:noProof/>
        </w:rPr>
        <w:t xml:space="preserve">ountry </w:t>
      </w:r>
      <w:r w:rsidR="008D7BB7">
        <w:rPr>
          <w:noProof/>
        </w:rPr>
        <w:t>a</w:t>
      </w:r>
      <w:r>
        <w:rPr>
          <w:noProof/>
        </w:rPr>
        <w:t xml:space="preserve">ction </w:t>
      </w:r>
      <w:r w:rsidR="008D7BB7">
        <w:rPr>
          <w:noProof/>
        </w:rPr>
        <w:t>l</w:t>
      </w:r>
      <w:r>
        <w:rPr>
          <w:noProof/>
        </w:rPr>
        <w:t>ist containers, 2009–10 to 2016–17</w:t>
      </w:r>
      <w:bookmarkEnd w:id="78"/>
    </w:p>
    <w:tbl>
      <w:tblPr>
        <w:tblStyle w:val="Style1"/>
        <w:tblW w:w="9352" w:type="dxa"/>
        <w:tblBorders>
          <w:top w:val="single" w:sz="4" w:space="0" w:color="auto"/>
          <w:bottom w:val="single" w:sz="4" w:space="0" w:color="auto"/>
        </w:tblBorders>
        <w:tblLook w:val="04A0" w:firstRow="1" w:lastRow="0" w:firstColumn="1" w:lastColumn="0" w:noHBand="0" w:noVBand="1"/>
      </w:tblPr>
      <w:tblGrid>
        <w:gridCol w:w="1869"/>
        <w:gridCol w:w="1021"/>
        <w:gridCol w:w="924"/>
        <w:gridCol w:w="923"/>
        <w:gridCol w:w="923"/>
        <w:gridCol w:w="923"/>
        <w:gridCol w:w="923"/>
        <w:gridCol w:w="923"/>
        <w:gridCol w:w="923"/>
      </w:tblGrid>
      <w:tr w:rsidR="00AB0E44" w14:paraId="338A2614" w14:textId="77777777" w:rsidTr="00800CCE">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0" w:type="auto"/>
          </w:tcPr>
          <w:p w14:paraId="04E79F22" w14:textId="77777777" w:rsidR="00AB0E44" w:rsidRDefault="00361FA3" w:rsidP="00800CCE">
            <w:pPr>
              <w:pStyle w:val="Tabletext"/>
              <w:rPr>
                <w:lang w:eastAsia="ja-JP"/>
              </w:rPr>
            </w:pPr>
            <w:r>
              <w:rPr>
                <w:lang w:eastAsia="ja-JP"/>
              </w:rPr>
              <w:t>Outcome</w:t>
            </w:r>
          </w:p>
        </w:tc>
        <w:tc>
          <w:tcPr>
            <w:tcW w:w="1020" w:type="dxa"/>
          </w:tcPr>
          <w:p w14:paraId="44D09220" w14:textId="77777777" w:rsidR="00AB0E44" w:rsidRDefault="00361FA3" w:rsidP="00800CCE">
            <w:pPr>
              <w:pStyle w:val="Tabletext"/>
              <w:jc w:val="right"/>
              <w:cnfStyle w:val="100000000000" w:firstRow="1" w:lastRow="0" w:firstColumn="0" w:lastColumn="0" w:oddVBand="0" w:evenVBand="0" w:oddHBand="0" w:evenHBand="0" w:firstRowFirstColumn="0" w:firstRowLastColumn="0" w:lastRowFirstColumn="0" w:lastRowLastColumn="0"/>
              <w:rPr>
                <w:lang w:eastAsia="ja-JP"/>
              </w:rPr>
            </w:pPr>
            <w:r>
              <w:rPr>
                <w:lang w:eastAsia="ja-JP"/>
              </w:rPr>
              <w:t>2009</w:t>
            </w:r>
            <w:r>
              <w:rPr>
                <w:b w:val="0"/>
                <w:bCs w:val="0"/>
                <w:lang w:eastAsia="ja-JP"/>
              </w:rPr>
              <w:t>–</w:t>
            </w:r>
            <w:r>
              <w:rPr>
                <w:lang w:eastAsia="ja-JP"/>
              </w:rPr>
              <w:t>10 (%)</w:t>
            </w:r>
          </w:p>
        </w:tc>
        <w:tc>
          <w:tcPr>
            <w:tcW w:w="0" w:type="auto"/>
          </w:tcPr>
          <w:p w14:paraId="1082A700" w14:textId="77777777" w:rsidR="00AB0E44" w:rsidRDefault="00361FA3" w:rsidP="00800CCE">
            <w:pPr>
              <w:pStyle w:val="Tabletext"/>
              <w:jc w:val="right"/>
              <w:cnfStyle w:val="100000000000" w:firstRow="1" w:lastRow="0" w:firstColumn="0" w:lastColumn="0" w:oddVBand="0" w:evenVBand="0" w:oddHBand="0" w:evenHBand="0" w:firstRowFirstColumn="0" w:firstRowLastColumn="0" w:lastRowFirstColumn="0" w:lastRowLastColumn="0"/>
              <w:rPr>
                <w:lang w:eastAsia="ja-JP"/>
              </w:rPr>
            </w:pPr>
            <w:r>
              <w:rPr>
                <w:lang w:eastAsia="ja-JP"/>
              </w:rPr>
              <w:t>2010</w:t>
            </w:r>
            <w:r>
              <w:rPr>
                <w:b w:val="0"/>
                <w:bCs w:val="0"/>
                <w:lang w:eastAsia="ja-JP"/>
              </w:rPr>
              <w:t>–</w:t>
            </w:r>
            <w:r>
              <w:rPr>
                <w:lang w:eastAsia="ja-JP"/>
              </w:rPr>
              <w:t>11 (%)</w:t>
            </w:r>
          </w:p>
        </w:tc>
        <w:tc>
          <w:tcPr>
            <w:tcW w:w="0" w:type="auto"/>
          </w:tcPr>
          <w:p w14:paraId="7F4D6883" w14:textId="77777777" w:rsidR="00AB0E44" w:rsidRDefault="00361FA3" w:rsidP="00800CCE">
            <w:pPr>
              <w:pStyle w:val="Tabletext"/>
              <w:jc w:val="right"/>
              <w:cnfStyle w:val="100000000000" w:firstRow="1" w:lastRow="0" w:firstColumn="0" w:lastColumn="0" w:oddVBand="0" w:evenVBand="0" w:oddHBand="0" w:evenHBand="0" w:firstRowFirstColumn="0" w:firstRowLastColumn="0" w:lastRowFirstColumn="0" w:lastRowLastColumn="0"/>
              <w:rPr>
                <w:lang w:eastAsia="ja-JP"/>
              </w:rPr>
            </w:pPr>
            <w:r>
              <w:rPr>
                <w:lang w:eastAsia="ja-JP"/>
              </w:rPr>
              <w:t>2011</w:t>
            </w:r>
            <w:r>
              <w:rPr>
                <w:b w:val="0"/>
                <w:bCs w:val="0"/>
                <w:lang w:eastAsia="ja-JP"/>
              </w:rPr>
              <w:t>–</w:t>
            </w:r>
            <w:r>
              <w:rPr>
                <w:lang w:eastAsia="ja-JP"/>
              </w:rPr>
              <w:t>12 (%)</w:t>
            </w:r>
          </w:p>
        </w:tc>
        <w:tc>
          <w:tcPr>
            <w:tcW w:w="0" w:type="auto"/>
          </w:tcPr>
          <w:p w14:paraId="57AF6EA9" w14:textId="77777777" w:rsidR="00AB0E44" w:rsidRDefault="00361FA3" w:rsidP="00800CCE">
            <w:pPr>
              <w:pStyle w:val="Tabletext"/>
              <w:jc w:val="right"/>
              <w:cnfStyle w:val="100000000000" w:firstRow="1" w:lastRow="0" w:firstColumn="0" w:lastColumn="0" w:oddVBand="0" w:evenVBand="0" w:oddHBand="0" w:evenHBand="0" w:firstRowFirstColumn="0" w:firstRowLastColumn="0" w:lastRowFirstColumn="0" w:lastRowLastColumn="0"/>
              <w:rPr>
                <w:lang w:eastAsia="ja-JP"/>
              </w:rPr>
            </w:pPr>
            <w:r>
              <w:rPr>
                <w:lang w:eastAsia="ja-JP"/>
              </w:rPr>
              <w:t>2012</w:t>
            </w:r>
            <w:r>
              <w:rPr>
                <w:b w:val="0"/>
                <w:bCs w:val="0"/>
                <w:lang w:eastAsia="ja-JP"/>
              </w:rPr>
              <w:t>–</w:t>
            </w:r>
            <w:r>
              <w:rPr>
                <w:lang w:eastAsia="ja-JP"/>
              </w:rPr>
              <w:t>13 (%)</w:t>
            </w:r>
          </w:p>
        </w:tc>
        <w:tc>
          <w:tcPr>
            <w:tcW w:w="0" w:type="auto"/>
          </w:tcPr>
          <w:p w14:paraId="00353A04" w14:textId="77777777" w:rsidR="00AB0E44" w:rsidRDefault="00361FA3" w:rsidP="00800CCE">
            <w:pPr>
              <w:pStyle w:val="Tabletext"/>
              <w:jc w:val="right"/>
              <w:cnfStyle w:val="100000000000" w:firstRow="1" w:lastRow="0" w:firstColumn="0" w:lastColumn="0" w:oddVBand="0" w:evenVBand="0" w:oddHBand="0" w:evenHBand="0" w:firstRowFirstColumn="0" w:firstRowLastColumn="0" w:lastRowFirstColumn="0" w:lastRowLastColumn="0"/>
              <w:rPr>
                <w:lang w:eastAsia="ja-JP"/>
              </w:rPr>
            </w:pPr>
            <w:r>
              <w:rPr>
                <w:lang w:eastAsia="ja-JP"/>
              </w:rPr>
              <w:t>2013</w:t>
            </w:r>
            <w:r>
              <w:rPr>
                <w:b w:val="0"/>
                <w:bCs w:val="0"/>
                <w:lang w:eastAsia="ja-JP"/>
              </w:rPr>
              <w:t>–</w:t>
            </w:r>
            <w:r>
              <w:rPr>
                <w:lang w:eastAsia="ja-JP"/>
              </w:rPr>
              <w:t>14 (%)</w:t>
            </w:r>
          </w:p>
        </w:tc>
        <w:tc>
          <w:tcPr>
            <w:tcW w:w="0" w:type="auto"/>
          </w:tcPr>
          <w:p w14:paraId="14FF5F28" w14:textId="77777777" w:rsidR="00AB0E44" w:rsidRDefault="00361FA3" w:rsidP="00800CCE">
            <w:pPr>
              <w:pStyle w:val="Tabletext"/>
              <w:jc w:val="right"/>
              <w:cnfStyle w:val="100000000000" w:firstRow="1" w:lastRow="0" w:firstColumn="0" w:lastColumn="0" w:oddVBand="0" w:evenVBand="0" w:oddHBand="0" w:evenHBand="0" w:firstRowFirstColumn="0" w:firstRowLastColumn="0" w:lastRowFirstColumn="0" w:lastRowLastColumn="0"/>
              <w:rPr>
                <w:lang w:eastAsia="ja-JP"/>
              </w:rPr>
            </w:pPr>
            <w:r>
              <w:rPr>
                <w:lang w:eastAsia="ja-JP"/>
              </w:rPr>
              <w:t>2014</w:t>
            </w:r>
            <w:r>
              <w:rPr>
                <w:b w:val="0"/>
                <w:bCs w:val="0"/>
                <w:lang w:eastAsia="ja-JP"/>
              </w:rPr>
              <w:t>–</w:t>
            </w:r>
            <w:r>
              <w:rPr>
                <w:lang w:eastAsia="ja-JP"/>
              </w:rPr>
              <w:t>15 (%)</w:t>
            </w:r>
          </w:p>
        </w:tc>
        <w:tc>
          <w:tcPr>
            <w:tcW w:w="0" w:type="auto"/>
          </w:tcPr>
          <w:p w14:paraId="23F241C0" w14:textId="77777777" w:rsidR="00AB0E44" w:rsidRDefault="00361FA3" w:rsidP="00800CCE">
            <w:pPr>
              <w:pStyle w:val="Tabletext"/>
              <w:jc w:val="right"/>
              <w:cnfStyle w:val="100000000000" w:firstRow="1" w:lastRow="0" w:firstColumn="0" w:lastColumn="0" w:oddVBand="0" w:evenVBand="0" w:oddHBand="0" w:evenHBand="0" w:firstRowFirstColumn="0" w:firstRowLastColumn="0" w:lastRowFirstColumn="0" w:lastRowLastColumn="0"/>
              <w:rPr>
                <w:lang w:eastAsia="ja-JP"/>
              </w:rPr>
            </w:pPr>
            <w:r>
              <w:rPr>
                <w:lang w:eastAsia="ja-JP"/>
              </w:rPr>
              <w:t>2015</w:t>
            </w:r>
            <w:r>
              <w:rPr>
                <w:b w:val="0"/>
                <w:bCs w:val="0"/>
                <w:lang w:eastAsia="ja-JP"/>
              </w:rPr>
              <w:t>–</w:t>
            </w:r>
            <w:r>
              <w:rPr>
                <w:lang w:eastAsia="ja-JP"/>
              </w:rPr>
              <w:t>16 (%)</w:t>
            </w:r>
          </w:p>
        </w:tc>
        <w:tc>
          <w:tcPr>
            <w:tcW w:w="0" w:type="auto"/>
          </w:tcPr>
          <w:p w14:paraId="1FD117C8" w14:textId="6E2E2F35" w:rsidR="00AB0E44" w:rsidRDefault="00361FA3" w:rsidP="00800CCE">
            <w:pPr>
              <w:pStyle w:val="Tabletext"/>
              <w:jc w:val="right"/>
              <w:cnfStyle w:val="100000000000" w:firstRow="1" w:lastRow="0" w:firstColumn="0" w:lastColumn="0" w:oddVBand="0" w:evenVBand="0" w:oddHBand="0" w:evenHBand="0" w:firstRowFirstColumn="0" w:firstRowLastColumn="0" w:lastRowFirstColumn="0" w:lastRowLastColumn="0"/>
              <w:rPr>
                <w:lang w:eastAsia="ja-JP"/>
              </w:rPr>
            </w:pPr>
            <w:r>
              <w:rPr>
                <w:lang w:eastAsia="ja-JP"/>
              </w:rPr>
              <w:t>2016</w:t>
            </w:r>
            <w:r>
              <w:rPr>
                <w:b w:val="0"/>
                <w:bCs w:val="0"/>
                <w:lang w:eastAsia="ja-JP"/>
              </w:rPr>
              <w:t>–</w:t>
            </w:r>
            <w:r>
              <w:rPr>
                <w:lang w:eastAsia="ja-JP"/>
              </w:rPr>
              <w:t>17 (%</w:t>
            </w:r>
            <w:r w:rsidR="001C3214">
              <w:rPr>
                <w:lang w:eastAsia="ja-JP"/>
              </w:rPr>
              <w:t>)</w:t>
            </w:r>
          </w:p>
        </w:tc>
      </w:tr>
      <w:tr w:rsidR="00AB0E44" w14:paraId="4D0C1551" w14:textId="77777777" w:rsidTr="00800CCE">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0" w:type="auto"/>
          </w:tcPr>
          <w:p w14:paraId="55E39F9C" w14:textId="77777777" w:rsidR="00AB0E44" w:rsidRDefault="00361FA3" w:rsidP="00800CCE">
            <w:pPr>
              <w:pStyle w:val="Tabletext"/>
              <w:rPr>
                <w:sz w:val="20"/>
                <w:szCs w:val="20"/>
                <w:lang w:eastAsia="ja-JP"/>
              </w:rPr>
            </w:pPr>
            <w:r>
              <w:rPr>
                <w:sz w:val="20"/>
                <w:szCs w:val="20"/>
                <w:lang w:eastAsia="ja-JP"/>
              </w:rPr>
              <w:t>Overall failure rate</w:t>
            </w:r>
          </w:p>
        </w:tc>
        <w:tc>
          <w:tcPr>
            <w:tcW w:w="1020" w:type="dxa"/>
            <w:shd w:val="clear" w:color="auto" w:fill="auto"/>
          </w:tcPr>
          <w:p w14:paraId="186F156A" w14:textId="046D1A24" w:rsidR="00AB0E44" w:rsidRDefault="00361FA3" w:rsidP="00800CCE">
            <w:pPr>
              <w:pStyle w:val="Tabletext"/>
              <w:jc w:val="right"/>
              <w:cnfStyle w:val="000000100000" w:firstRow="0" w:lastRow="0" w:firstColumn="0" w:lastColumn="0" w:oddVBand="0" w:evenVBand="0" w:oddHBand="1" w:evenHBand="0" w:firstRowFirstColumn="0" w:firstRowLastColumn="0" w:lastRowFirstColumn="0" w:lastRowLastColumn="0"/>
              <w:rPr>
                <w:sz w:val="20"/>
                <w:szCs w:val="20"/>
                <w:lang w:eastAsia="ja-JP"/>
              </w:rPr>
            </w:pPr>
            <w:r>
              <w:rPr>
                <w:sz w:val="20"/>
                <w:szCs w:val="20"/>
                <w:lang w:eastAsia="ja-JP"/>
              </w:rPr>
              <w:t>25.9</w:t>
            </w:r>
          </w:p>
        </w:tc>
        <w:tc>
          <w:tcPr>
            <w:tcW w:w="0" w:type="auto"/>
            <w:shd w:val="clear" w:color="auto" w:fill="auto"/>
          </w:tcPr>
          <w:p w14:paraId="78955301" w14:textId="68907C2A" w:rsidR="00AB0E44" w:rsidRDefault="00361FA3" w:rsidP="00800CCE">
            <w:pPr>
              <w:pStyle w:val="Tabletext"/>
              <w:jc w:val="right"/>
              <w:cnfStyle w:val="000000100000" w:firstRow="0" w:lastRow="0" w:firstColumn="0" w:lastColumn="0" w:oddVBand="0" w:evenVBand="0" w:oddHBand="1" w:evenHBand="0" w:firstRowFirstColumn="0" w:firstRowLastColumn="0" w:lastRowFirstColumn="0" w:lastRowLastColumn="0"/>
              <w:rPr>
                <w:sz w:val="20"/>
                <w:szCs w:val="20"/>
                <w:lang w:eastAsia="ja-JP"/>
              </w:rPr>
            </w:pPr>
            <w:r>
              <w:rPr>
                <w:sz w:val="20"/>
                <w:szCs w:val="20"/>
                <w:lang w:eastAsia="ja-JP"/>
              </w:rPr>
              <w:t>21.5</w:t>
            </w:r>
          </w:p>
        </w:tc>
        <w:tc>
          <w:tcPr>
            <w:tcW w:w="0" w:type="auto"/>
            <w:shd w:val="clear" w:color="auto" w:fill="auto"/>
          </w:tcPr>
          <w:p w14:paraId="139E42DB" w14:textId="09F85418" w:rsidR="00AB0E44" w:rsidRDefault="00361FA3" w:rsidP="00800CCE">
            <w:pPr>
              <w:pStyle w:val="Tabletext"/>
              <w:jc w:val="right"/>
              <w:cnfStyle w:val="000000100000" w:firstRow="0" w:lastRow="0" w:firstColumn="0" w:lastColumn="0" w:oddVBand="0" w:evenVBand="0" w:oddHBand="1" w:evenHBand="0" w:firstRowFirstColumn="0" w:firstRowLastColumn="0" w:lastRowFirstColumn="0" w:lastRowLastColumn="0"/>
              <w:rPr>
                <w:sz w:val="20"/>
                <w:szCs w:val="20"/>
                <w:lang w:eastAsia="ja-JP"/>
              </w:rPr>
            </w:pPr>
            <w:r>
              <w:rPr>
                <w:sz w:val="20"/>
                <w:szCs w:val="20"/>
                <w:lang w:eastAsia="ja-JP"/>
              </w:rPr>
              <w:t>21.8</w:t>
            </w:r>
          </w:p>
        </w:tc>
        <w:tc>
          <w:tcPr>
            <w:tcW w:w="0" w:type="auto"/>
            <w:shd w:val="clear" w:color="auto" w:fill="auto"/>
          </w:tcPr>
          <w:p w14:paraId="397777D8" w14:textId="16BEC15D" w:rsidR="00AB0E44" w:rsidRDefault="00361FA3" w:rsidP="00800CCE">
            <w:pPr>
              <w:pStyle w:val="Tabletext"/>
              <w:jc w:val="right"/>
              <w:cnfStyle w:val="000000100000" w:firstRow="0" w:lastRow="0" w:firstColumn="0" w:lastColumn="0" w:oddVBand="0" w:evenVBand="0" w:oddHBand="1" w:evenHBand="0" w:firstRowFirstColumn="0" w:firstRowLastColumn="0" w:lastRowFirstColumn="0" w:lastRowLastColumn="0"/>
              <w:rPr>
                <w:sz w:val="20"/>
                <w:szCs w:val="20"/>
                <w:lang w:eastAsia="ja-JP"/>
              </w:rPr>
            </w:pPr>
            <w:r>
              <w:rPr>
                <w:sz w:val="20"/>
                <w:szCs w:val="20"/>
                <w:lang w:eastAsia="ja-JP"/>
              </w:rPr>
              <w:t>24.6</w:t>
            </w:r>
          </w:p>
        </w:tc>
        <w:tc>
          <w:tcPr>
            <w:tcW w:w="0" w:type="auto"/>
            <w:shd w:val="clear" w:color="auto" w:fill="auto"/>
          </w:tcPr>
          <w:p w14:paraId="373D5A5C" w14:textId="2F0CB972" w:rsidR="00AB0E44" w:rsidRDefault="00361FA3" w:rsidP="00800CCE">
            <w:pPr>
              <w:pStyle w:val="Tabletext"/>
              <w:jc w:val="right"/>
              <w:cnfStyle w:val="000000100000" w:firstRow="0" w:lastRow="0" w:firstColumn="0" w:lastColumn="0" w:oddVBand="0" w:evenVBand="0" w:oddHBand="1" w:evenHBand="0" w:firstRowFirstColumn="0" w:firstRowLastColumn="0" w:lastRowFirstColumn="0" w:lastRowLastColumn="0"/>
              <w:rPr>
                <w:sz w:val="20"/>
                <w:szCs w:val="20"/>
                <w:lang w:eastAsia="ja-JP"/>
              </w:rPr>
            </w:pPr>
            <w:r>
              <w:rPr>
                <w:sz w:val="20"/>
                <w:szCs w:val="20"/>
                <w:lang w:eastAsia="ja-JP"/>
              </w:rPr>
              <w:t>22.1</w:t>
            </w:r>
          </w:p>
        </w:tc>
        <w:tc>
          <w:tcPr>
            <w:tcW w:w="0" w:type="auto"/>
            <w:shd w:val="clear" w:color="auto" w:fill="auto"/>
          </w:tcPr>
          <w:p w14:paraId="47C03A70" w14:textId="163307C9" w:rsidR="00AB0E44" w:rsidRDefault="00361FA3" w:rsidP="00800CCE">
            <w:pPr>
              <w:pStyle w:val="Tabletext"/>
              <w:jc w:val="right"/>
              <w:cnfStyle w:val="000000100000" w:firstRow="0" w:lastRow="0" w:firstColumn="0" w:lastColumn="0" w:oddVBand="0" w:evenVBand="0" w:oddHBand="1" w:evenHBand="0" w:firstRowFirstColumn="0" w:firstRowLastColumn="0" w:lastRowFirstColumn="0" w:lastRowLastColumn="0"/>
              <w:rPr>
                <w:sz w:val="20"/>
                <w:szCs w:val="20"/>
                <w:lang w:eastAsia="ja-JP"/>
              </w:rPr>
            </w:pPr>
            <w:r>
              <w:rPr>
                <w:sz w:val="20"/>
                <w:szCs w:val="20"/>
                <w:lang w:eastAsia="ja-JP"/>
              </w:rPr>
              <w:t>18.2</w:t>
            </w:r>
          </w:p>
        </w:tc>
        <w:tc>
          <w:tcPr>
            <w:tcW w:w="0" w:type="auto"/>
            <w:shd w:val="clear" w:color="auto" w:fill="auto"/>
          </w:tcPr>
          <w:p w14:paraId="348EAB50" w14:textId="3EBE546E" w:rsidR="00AB0E44" w:rsidRDefault="00361FA3" w:rsidP="00800CCE">
            <w:pPr>
              <w:pStyle w:val="Tabletext"/>
              <w:jc w:val="right"/>
              <w:cnfStyle w:val="000000100000" w:firstRow="0" w:lastRow="0" w:firstColumn="0" w:lastColumn="0" w:oddVBand="0" w:evenVBand="0" w:oddHBand="1" w:evenHBand="0" w:firstRowFirstColumn="0" w:firstRowLastColumn="0" w:lastRowFirstColumn="0" w:lastRowLastColumn="0"/>
              <w:rPr>
                <w:sz w:val="20"/>
                <w:szCs w:val="20"/>
                <w:lang w:eastAsia="ja-JP"/>
              </w:rPr>
            </w:pPr>
            <w:r>
              <w:rPr>
                <w:sz w:val="20"/>
                <w:szCs w:val="20"/>
                <w:lang w:eastAsia="ja-JP"/>
              </w:rPr>
              <w:t>13.8</w:t>
            </w:r>
          </w:p>
        </w:tc>
        <w:tc>
          <w:tcPr>
            <w:tcW w:w="0" w:type="auto"/>
            <w:shd w:val="clear" w:color="auto" w:fill="auto"/>
          </w:tcPr>
          <w:p w14:paraId="604EE09F" w14:textId="26B9D275" w:rsidR="00AB0E44" w:rsidRDefault="00361FA3" w:rsidP="00800CCE">
            <w:pPr>
              <w:pStyle w:val="Tabletext"/>
              <w:jc w:val="right"/>
              <w:cnfStyle w:val="000000100000" w:firstRow="0" w:lastRow="0" w:firstColumn="0" w:lastColumn="0" w:oddVBand="0" w:evenVBand="0" w:oddHBand="1" w:evenHBand="0" w:firstRowFirstColumn="0" w:firstRowLastColumn="0" w:lastRowFirstColumn="0" w:lastRowLastColumn="0"/>
              <w:rPr>
                <w:sz w:val="20"/>
                <w:szCs w:val="20"/>
                <w:lang w:eastAsia="ja-JP"/>
              </w:rPr>
            </w:pPr>
            <w:r>
              <w:rPr>
                <w:sz w:val="20"/>
                <w:szCs w:val="20"/>
                <w:lang w:eastAsia="ja-JP"/>
              </w:rPr>
              <w:t>12.8</w:t>
            </w:r>
          </w:p>
        </w:tc>
      </w:tr>
      <w:tr w:rsidR="00AB0E44" w14:paraId="5D37B400" w14:textId="77777777" w:rsidTr="00800CCE">
        <w:trPr>
          <w:trHeight w:val="256"/>
        </w:trPr>
        <w:tc>
          <w:tcPr>
            <w:cnfStyle w:val="001000000000" w:firstRow="0" w:lastRow="0" w:firstColumn="1" w:lastColumn="0" w:oddVBand="0" w:evenVBand="0" w:oddHBand="0" w:evenHBand="0" w:firstRowFirstColumn="0" w:firstRowLastColumn="0" w:lastRowFirstColumn="0" w:lastRowLastColumn="0"/>
            <w:tcW w:w="0" w:type="auto"/>
          </w:tcPr>
          <w:p w14:paraId="639AB14B" w14:textId="41CBABD2" w:rsidR="00AB0E44" w:rsidRDefault="00361FA3" w:rsidP="00800CCE">
            <w:pPr>
              <w:pStyle w:val="Tabletext"/>
              <w:rPr>
                <w:sz w:val="20"/>
                <w:szCs w:val="20"/>
                <w:lang w:eastAsia="ja-JP"/>
              </w:rPr>
            </w:pPr>
            <w:r>
              <w:rPr>
                <w:sz w:val="20"/>
                <w:szCs w:val="20"/>
                <w:lang w:eastAsia="ja-JP"/>
              </w:rPr>
              <w:t>High-level contamination</w:t>
            </w:r>
          </w:p>
        </w:tc>
        <w:tc>
          <w:tcPr>
            <w:tcW w:w="1020" w:type="dxa"/>
          </w:tcPr>
          <w:p w14:paraId="40908787" w14:textId="3D8B5E8C" w:rsidR="00AB0E44" w:rsidRDefault="00361FA3" w:rsidP="00800CCE">
            <w:pPr>
              <w:pStyle w:val="Tabletext"/>
              <w:jc w:val="right"/>
              <w:cnfStyle w:val="000000000000" w:firstRow="0" w:lastRow="0" w:firstColumn="0" w:lastColumn="0" w:oddVBand="0" w:evenVBand="0" w:oddHBand="0" w:evenHBand="0" w:firstRowFirstColumn="0" w:firstRowLastColumn="0" w:lastRowFirstColumn="0" w:lastRowLastColumn="0"/>
              <w:rPr>
                <w:sz w:val="20"/>
                <w:szCs w:val="20"/>
                <w:lang w:eastAsia="ja-JP"/>
              </w:rPr>
            </w:pPr>
            <w:r>
              <w:rPr>
                <w:sz w:val="20"/>
                <w:szCs w:val="20"/>
                <w:lang w:eastAsia="ja-JP"/>
              </w:rPr>
              <w:t>14.9</w:t>
            </w:r>
          </w:p>
        </w:tc>
        <w:tc>
          <w:tcPr>
            <w:tcW w:w="0" w:type="auto"/>
          </w:tcPr>
          <w:p w14:paraId="03AC147F" w14:textId="26B6F0BC" w:rsidR="00AB0E44" w:rsidRDefault="00361FA3" w:rsidP="00800CCE">
            <w:pPr>
              <w:pStyle w:val="Tabletext"/>
              <w:jc w:val="right"/>
              <w:cnfStyle w:val="000000000000" w:firstRow="0" w:lastRow="0" w:firstColumn="0" w:lastColumn="0" w:oddVBand="0" w:evenVBand="0" w:oddHBand="0" w:evenHBand="0" w:firstRowFirstColumn="0" w:firstRowLastColumn="0" w:lastRowFirstColumn="0" w:lastRowLastColumn="0"/>
              <w:rPr>
                <w:sz w:val="20"/>
                <w:szCs w:val="20"/>
                <w:lang w:eastAsia="ja-JP"/>
              </w:rPr>
            </w:pPr>
            <w:r>
              <w:rPr>
                <w:sz w:val="20"/>
                <w:szCs w:val="20"/>
                <w:lang w:eastAsia="ja-JP"/>
              </w:rPr>
              <w:t>12.2</w:t>
            </w:r>
          </w:p>
        </w:tc>
        <w:tc>
          <w:tcPr>
            <w:tcW w:w="0" w:type="auto"/>
          </w:tcPr>
          <w:p w14:paraId="7B9B066D" w14:textId="533E27E6" w:rsidR="00AB0E44" w:rsidRDefault="00361FA3" w:rsidP="00800CCE">
            <w:pPr>
              <w:pStyle w:val="Tabletext"/>
              <w:jc w:val="right"/>
              <w:cnfStyle w:val="000000000000" w:firstRow="0" w:lastRow="0" w:firstColumn="0" w:lastColumn="0" w:oddVBand="0" w:evenVBand="0" w:oddHBand="0" w:evenHBand="0" w:firstRowFirstColumn="0" w:firstRowLastColumn="0" w:lastRowFirstColumn="0" w:lastRowLastColumn="0"/>
              <w:rPr>
                <w:sz w:val="20"/>
                <w:szCs w:val="20"/>
                <w:lang w:eastAsia="ja-JP"/>
              </w:rPr>
            </w:pPr>
            <w:r>
              <w:rPr>
                <w:sz w:val="20"/>
                <w:szCs w:val="20"/>
                <w:lang w:eastAsia="ja-JP"/>
              </w:rPr>
              <w:t>15.8</w:t>
            </w:r>
          </w:p>
        </w:tc>
        <w:tc>
          <w:tcPr>
            <w:tcW w:w="0" w:type="auto"/>
          </w:tcPr>
          <w:p w14:paraId="05528FF1" w14:textId="128D86F6" w:rsidR="00AB0E44" w:rsidRDefault="00361FA3" w:rsidP="00800CCE">
            <w:pPr>
              <w:pStyle w:val="Tabletext"/>
              <w:jc w:val="right"/>
              <w:cnfStyle w:val="000000000000" w:firstRow="0" w:lastRow="0" w:firstColumn="0" w:lastColumn="0" w:oddVBand="0" w:evenVBand="0" w:oddHBand="0" w:evenHBand="0" w:firstRowFirstColumn="0" w:firstRowLastColumn="0" w:lastRowFirstColumn="0" w:lastRowLastColumn="0"/>
              <w:rPr>
                <w:sz w:val="20"/>
                <w:szCs w:val="20"/>
                <w:lang w:eastAsia="ja-JP"/>
              </w:rPr>
            </w:pPr>
            <w:r>
              <w:rPr>
                <w:sz w:val="20"/>
                <w:szCs w:val="20"/>
                <w:lang w:eastAsia="ja-JP"/>
              </w:rPr>
              <w:t>22.2</w:t>
            </w:r>
          </w:p>
        </w:tc>
        <w:tc>
          <w:tcPr>
            <w:tcW w:w="0" w:type="auto"/>
          </w:tcPr>
          <w:p w14:paraId="4B68CC45" w14:textId="5A7F4E21" w:rsidR="00AB0E44" w:rsidRDefault="00361FA3" w:rsidP="00800CCE">
            <w:pPr>
              <w:pStyle w:val="Tabletext"/>
              <w:jc w:val="right"/>
              <w:cnfStyle w:val="000000000000" w:firstRow="0" w:lastRow="0" w:firstColumn="0" w:lastColumn="0" w:oddVBand="0" w:evenVBand="0" w:oddHBand="0" w:evenHBand="0" w:firstRowFirstColumn="0" w:firstRowLastColumn="0" w:lastRowFirstColumn="0" w:lastRowLastColumn="0"/>
              <w:rPr>
                <w:sz w:val="20"/>
                <w:szCs w:val="20"/>
                <w:lang w:eastAsia="ja-JP"/>
              </w:rPr>
            </w:pPr>
            <w:r>
              <w:rPr>
                <w:sz w:val="20"/>
                <w:szCs w:val="20"/>
                <w:lang w:eastAsia="ja-JP"/>
              </w:rPr>
              <w:t>20.7</w:t>
            </w:r>
          </w:p>
        </w:tc>
        <w:tc>
          <w:tcPr>
            <w:tcW w:w="0" w:type="auto"/>
          </w:tcPr>
          <w:p w14:paraId="0E7143FE" w14:textId="60E51BC2" w:rsidR="00AB0E44" w:rsidRDefault="00361FA3" w:rsidP="00800CCE">
            <w:pPr>
              <w:pStyle w:val="Tabletext"/>
              <w:jc w:val="right"/>
              <w:cnfStyle w:val="000000000000" w:firstRow="0" w:lastRow="0" w:firstColumn="0" w:lastColumn="0" w:oddVBand="0" w:evenVBand="0" w:oddHBand="0" w:evenHBand="0" w:firstRowFirstColumn="0" w:firstRowLastColumn="0" w:lastRowFirstColumn="0" w:lastRowLastColumn="0"/>
              <w:rPr>
                <w:sz w:val="20"/>
                <w:szCs w:val="20"/>
                <w:lang w:eastAsia="ja-JP"/>
              </w:rPr>
            </w:pPr>
            <w:r>
              <w:rPr>
                <w:sz w:val="20"/>
                <w:szCs w:val="20"/>
                <w:lang w:eastAsia="ja-JP"/>
              </w:rPr>
              <w:t>16.9</w:t>
            </w:r>
          </w:p>
        </w:tc>
        <w:tc>
          <w:tcPr>
            <w:tcW w:w="0" w:type="auto"/>
          </w:tcPr>
          <w:p w14:paraId="2A4A2158" w14:textId="5066BE2A" w:rsidR="00AB0E44" w:rsidRDefault="00361FA3" w:rsidP="00800CCE">
            <w:pPr>
              <w:pStyle w:val="Tabletext"/>
              <w:jc w:val="right"/>
              <w:cnfStyle w:val="000000000000" w:firstRow="0" w:lastRow="0" w:firstColumn="0" w:lastColumn="0" w:oddVBand="0" w:evenVBand="0" w:oddHBand="0" w:evenHBand="0" w:firstRowFirstColumn="0" w:firstRowLastColumn="0" w:lastRowFirstColumn="0" w:lastRowLastColumn="0"/>
              <w:rPr>
                <w:sz w:val="20"/>
                <w:szCs w:val="20"/>
                <w:lang w:eastAsia="ja-JP"/>
              </w:rPr>
            </w:pPr>
            <w:r>
              <w:rPr>
                <w:sz w:val="20"/>
                <w:szCs w:val="20"/>
                <w:lang w:eastAsia="ja-JP"/>
              </w:rPr>
              <w:t>12.3</w:t>
            </w:r>
          </w:p>
        </w:tc>
        <w:tc>
          <w:tcPr>
            <w:tcW w:w="0" w:type="auto"/>
          </w:tcPr>
          <w:p w14:paraId="78EDFE0A" w14:textId="109A1F30" w:rsidR="00AB0E44" w:rsidRDefault="00361FA3" w:rsidP="00800CCE">
            <w:pPr>
              <w:pStyle w:val="Tabletext"/>
              <w:jc w:val="right"/>
              <w:cnfStyle w:val="000000000000" w:firstRow="0" w:lastRow="0" w:firstColumn="0" w:lastColumn="0" w:oddVBand="0" w:evenVBand="0" w:oddHBand="0" w:evenHBand="0" w:firstRowFirstColumn="0" w:firstRowLastColumn="0" w:lastRowFirstColumn="0" w:lastRowLastColumn="0"/>
              <w:rPr>
                <w:sz w:val="20"/>
                <w:szCs w:val="20"/>
                <w:lang w:eastAsia="ja-JP"/>
              </w:rPr>
            </w:pPr>
            <w:r>
              <w:rPr>
                <w:sz w:val="20"/>
                <w:szCs w:val="20"/>
                <w:lang w:eastAsia="ja-JP"/>
              </w:rPr>
              <w:t>11.6</w:t>
            </w:r>
          </w:p>
        </w:tc>
      </w:tr>
      <w:tr w:rsidR="00AB0E44" w14:paraId="27915EEE" w14:textId="77777777" w:rsidTr="00800CC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3D015345" w14:textId="03AB2452" w:rsidR="00AB0E44" w:rsidRDefault="00361FA3" w:rsidP="00800CCE">
            <w:pPr>
              <w:pStyle w:val="Tabletext"/>
              <w:rPr>
                <w:sz w:val="20"/>
                <w:szCs w:val="20"/>
                <w:lang w:eastAsia="ja-JP"/>
              </w:rPr>
            </w:pPr>
            <w:r>
              <w:rPr>
                <w:sz w:val="20"/>
                <w:szCs w:val="20"/>
                <w:lang w:eastAsia="ja-JP"/>
              </w:rPr>
              <w:t>Low-level contamination</w:t>
            </w:r>
          </w:p>
        </w:tc>
        <w:tc>
          <w:tcPr>
            <w:tcW w:w="1020" w:type="dxa"/>
            <w:shd w:val="clear" w:color="auto" w:fill="auto"/>
          </w:tcPr>
          <w:p w14:paraId="76E44DC9" w14:textId="579D13E3" w:rsidR="00AB0E44" w:rsidRDefault="00361FA3" w:rsidP="00800CCE">
            <w:pPr>
              <w:pStyle w:val="Tabletext"/>
              <w:jc w:val="right"/>
              <w:cnfStyle w:val="000000100000" w:firstRow="0" w:lastRow="0" w:firstColumn="0" w:lastColumn="0" w:oddVBand="0" w:evenVBand="0" w:oddHBand="1" w:evenHBand="0" w:firstRowFirstColumn="0" w:firstRowLastColumn="0" w:lastRowFirstColumn="0" w:lastRowLastColumn="0"/>
              <w:rPr>
                <w:sz w:val="20"/>
                <w:szCs w:val="20"/>
                <w:lang w:eastAsia="ja-JP"/>
              </w:rPr>
            </w:pPr>
            <w:r>
              <w:rPr>
                <w:sz w:val="20"/>
                <w:szCs w:val="20"/>
                <w:lang w:eastAsia="ja-JP"/>
              </w:rPr>
              <w:t>11.0</w:t>
            </w:r>
          </w:p>
        </w:tc>
        <w:tc>
          <w:tcPr>
            <w:tcW w:w="0" w:type="auto"/>
            <w:shd w:val="clear" w:color="auto" w:fill="auto"/>
          </w:tcPr>
          <w:p w14:paraId="2F89226A" w14:textId="4010CAD9" w:rsidR="00AB0E44" w:rsidRDefault="00361FA3" w:rsidP="00800CCE">
            <w:pPr>
              <w:pStyle w:val="Tabletext"/>
              <w:jc w:val="right"/>
              <w:cnfStyle w:val="000000100000" w:firstRow="0" w:lastRow="0" w:firstColumn="0" w:lastColumn="0" w:oddVBand="0" w:evenVBand="0" w:oddHBand="1" w:evenHBand="0" w:firstRowFirstColumn="0" w:firstRowLastColumn="0" w:lastRowFirstColumn="0" w:lastRowLastColumn="0"/>
              <w:rPr>
                <w:sz w:val="20"/>
                <w:szCs w:val="20"/>
                <w:lang w:eastAsia="ja-JP"/>
              </w:rPr>
            </w:pPr>
            <w:r>
              <w:rPr>
                <w:sz w:val="20"/>
                <w:szCs w:val="20"/>
                <w:lang w:eastAsia="ja-JP"/>
              </w:rPr>
              <w:t>9.4</w:t>
            </w:r>
          </w:p>
        </w:tc>
        <w:tc>
          <w:tcPr>
            <w:tcW w:w="0" w:type="auto"/>
            <w:shd w:val="clear" w:color="auto" w:fill="auto"/>
          </w:tcPr>
          <w:p w14:paraId="3AFA02DE" w14:textId="5F42C970" w:rsidR="00AB0E44" w:rsidRDefault="00361FA3" w:rsidP="00800CCE">
            <w:pPr>
              <w:pStyle w:val="Tabletext"/>
              <w:jc w:val="right"/>
              <w:cnfStyle w:val="000000100000" w:firstRow="0" w:lastRow="0" w:firstColumn="0" w:lastColumn="0" w:oddVBand="0" w:evenVBand="0" w:oddHBand="1" w:evenHBand="0" w:firstRowFirstColumn="0" w:firstRowLastColumn="0" w:lastRowFirstColumn="0" w:lastRowLastColumn="0"/>
              <w:rPr>
                <w:sz w:val="20"/>
                <w:szCs w:val="20"/>
                <w:lang w:eastAsia="ja-JP"/>
              </w:rPr>
            </w:pPr>
            <w:r>
              <w:rPr>
                <w:sz w:val="20"/>
                <w:szCs w:val="20"/>
                <w:lang w:eastAsia="ja-JP"/>
              </w:rPr>
              <w:t>6.0</w:t>
            </w:r>
          </w:p>
        </w:tc>
        <w:tc>
          <w:tcPr>
            <w:tcW w:w="0" w:type="auto"/>
            <w:shd w:val="clear" w:color="auto" w:fill="auto"/>
          </w:tcPr>
          <w:p w14:paraId="244CC7A1" w14:textId="2036A907" w:rsidR="00AB0E44" w:rsidRDefault="00361FA3" w:rsidP="00800CCE">
            <w:pPr>
              <w:pStyle w:val="Tabletext"/>
              <w:jc w:val="right"/>
              <w:cnfStyle w:val="000000100000" w:firstRow="0" w:lastRow="0" w:firstColumn="0" w:lastColumn="0" w:oddVBand="0" w:evenVBand="0" w:oddHBand="1" w:evenHBand="0" w:firstRowFirstColumn="0" w:firstRowLastColumn="0" w:lastRowFirstColumn="0" w:lastRowLastColumn="0"/>
              <w:rPr>
                <w:sz w:val="20"/>
                <w:szCs w:val="20"/>
                <w:lang w:eastAsia="ja-JP"/>
              </w:rPr>
            </w:pPr>
            <w:r>
              <w:rPr>
                <w:sz w:val="20"/>
                <w:szCs w:val="20"/>
                <w:lang w:eastAsia="ja-JP"/>
              </w:rPr>
              <w:t>2.4</w:t>
            </w:r>
          </w:p>
        </w:tc>
        <w:tc>
          <w:tcPr>
            <w:tcW w:w="0" w:type="auto"/>
            <w:shd w:val="clear" w:color="auto" w:fill="auto"/>
          </w:tcPr>
          <w:p w14:paraId="3093422E" w14:textId="6BFF3520" w:rsidR="00AB0E44" w:rsidRDefault="00361FA3" w:rsidP="00800CCE">
            <w:pPr>
              <w:pStyle w:val="Tabletext"/>
              <w:jc w:val="right"/>
              <w:cnfStyle w:val="000000100000" w:firstRow="0" w:lastRow="0" w:firstColumn="0" w:lastColumn="0" w:oddVBand="0" w:evenVBand="0" w:oddHBand="1" w:evenHBand="0" w:firstRowFirstColumn="0" w:firstRowLastColumn="0" w:lastRowFirstColumn="0" w:lastRowLastColumn="0"/>
              <w:rPr>
                <w:sz w:val="20"/>
                <w:szCs w:val="20"/>
                <w:lang w:eastAsia="ja-JP"/>
              </w:rPr>
            </w:pPr>
            <w:r>
              <w:rPr>
                <w:sz w:val="20"/>
                <w:szCs w:val="20"/>
                <w:lang w:eastAsia="ja-JP"/>
              </w:rPr>
              <w:t>1.4</w:t>
            </w:r>
          </w:p>
        </w:tc>
        <w:tc>
          <w:tcPr>
            <w:tcW w:w="0" w:type="auto"/>
            <w:shd w:val="clear" w:color="auto" w:fill="auto"/>
          </w:tcPr>
          <w:p w14:paraId="1C5EBE9F" w14:textId="38A606AF" w:rsidR="00AB0E44" w:rsidRDefault="00361FA3" w:rsidP="00800CCE">
            <w:pPr>
              <w:pStyle w:val="Tabletext"/>
              <w:jc w:val="right"/>
              <w:cnfStyle w:val="000000100000" w:firstRow="0" w:lastRow="0" w:firstColumn="0" w:lastColumn="0" w:oddVBand="0" w:evenVBand="0" w:oddHBand="1" w:evenHBand="0" w:firstRowFirstColumn="0" w:firstRowLastColumn="0" w:lastRowFirstColumn="0" w:lastRowLastColumn="0"/>
              <w:rPr>
                <w:sz w:val="20"/>
                <w:szCs w:val="20"/>
                <w:lang w:eastAsia="ja-JP"/>
              </w:rPr>
            </w:pPr>
            <w:r>
              <w:rPr>
                <w:sz w:val="20"/>
                <w:szCs w:val="20"/>
                <w:lang w:eastAsia="ja-JP"/>
              </w:rPr>
              <w:t>1.3</w:t>
            </w:r>
          </w:p>
        </w:tc>
        <w:tc>
          <w:tcPr>
            <w:tcW w:w="0" w:type="auto"/>
            <w:shd w:val="clear" w:color="auto" w:fill="auto"/>
          </w:tcPr>
          <w:p w14:paraId="79C3A06A" w14:textId="545B3D5E" w:rsidR="00AB0E44" w:rsidRDefault="00361FA3" w:rsidP="00800CCE">
            <w:pPr>
              <w:pStyle w:val="Tabletext"/>
              <w:jc w:val="right"/>
              <w:cnfStyle w:val="000000100000" w:firstRow="0" w:lastRow="0" w:firstColumn="0" w:lastColumn="0" w:oddVBand="0" w:evenVBand="0" w:oddHBand="1" w:evenHBand="0" w:firstRowFirstColumn="0" w:firstRowLastColumn="0" w:lastRowFirstColumn="0" w:lastRowLastColumn="0"/>
              <w:rPr>
                <w:sz w:val="20"/>
                <w:szCs w:val="20"/>
                <w:lang w:eastAsia="ja-JP"/>
              </w:rPr>
            </w:pPr>
            <w:r>
              <w:rPr>
                <w:sz w:val="20"/>
                <w:szCs w:val="20"/>
                <w:lang w:eastAsia="ja-JP"/>
              </w:rPr>
              <w:t>1.5</w:t>
            </w:r>
          </w:p>
        </w:tc>
        <w:tc>
          <w:tcPr>
            <w:tcW w:w="0" w:type="auto"/>
            <w:shd w:val="clear" w:color="auto" w:fill="auto"/>
          </w:tcPr>
          <w:p w14:paraId="60EE0DB9" w14:textId="4B4E182A" w:rsidR="00AB0E44" w:rsidRDefault="00361FA3" w:rsidP="00800CCE">
            <w:pPr>
              <w:pStyle w:val="Tabletext"/>
              <w:jc w:val="right"/>
              <w:cnfStyle w:val="000000100000" w:firstRow="0" w:lastRow="0" w:firstColumn="0" w:lastColumn="0" w:oddVBand="0" w:evenVBand="0" w:oddHBand="1" w:evenHBand="0" w:firstRowFirstColumn="0" w:firstRowLastColumn="0" w:lastRowFirstColumn="0" w:lastRowLastColumn="0"/>
              <w:rPr>
                <w:sz w:val="20"/>
                <w:szCs w:val="20"/>
                <w:lang w:eastAsia="ja-JP"/>
              </w:rPr>
            </w:pPr>
            <w:r>
              <w:rPr>
                <w:sz w:val="20"/>
                <w:szCs w:val="20"/>
                <w:lang w:eastAsia="ja-JP"/>
              </w:rPr>
              <w:t>1.2</w:t>
            </w:r>
          </w:p>
        </w:tc>
      </w:tr>
    </w:tbl>
    <w:p w14:paraId="0EF39972" w14:textId="77777777" w:rsidR="00AB0E44" w:rsidRDefault="00361FA3">
      <w:pPr>
        <w:pStyle w:val="FigureTableNoteSource"/>
        <w:spacing w:line="240" w:lineRule="auto"/>
        <w:contextualSpacing w:val="0"/>
        <w:rPr>
          <w:lang w:eastAsia="ja-JP"/>
        </w:rPr>
      </w:pPr>
      <w:r>
        <w:rPr>
          <w:lang w:eastAsia="ja-JP"/>
        </w:rPr>
        <w:t>Source: Department of Agriculture and Water Resources</w:t>
      </w:r>
    </w:p>
    <w:p w14:paraId="1C700AEF" w14:textId="106ACDC2" w:rsidR="00AB0E44" w:rsidRDefault="006653BB" w:rsidP="005721A3">
      <w:pPr>
        <w:spacing w:before="240"/>
      </w:pPr>
      <w:r w:rsidRPr="001C3214">
        <w:rPr>
          <w:b/>
        </w:rPr>
        <w:t xml:space="preserve">Low external risk (non-CAL) container </w:t>
      </w:r>
      <w:r w:rsidRPr="001C3214">
        <w:rPr>
          <w:b/>
          <w:iCs/>
        </w:rPr>
        <w:t>wharf</w:t>
      </w:r>
      <w:r w:rsidR="00E94C59">
        <w:rPr>
          <w:b/>
          <w:iCs/>
        </w:rPr>
        <w:t>-</w:t>
      </w:r>
      <w:r w:rsidRPr="001C3214">
        <w:rPr>
          <w:b/>
          <w:iCs/>
        </w:rPr>
        <w:t>gate inspection rates</w:t>
      </w:r>
      <w:r>
        <w:rPr>
          <w:lang w:eastAsia="ja-JP"/>
        </w:rPr>
        <w:t>—</w:t>
      </w:r>
      <w:r w:rsidR="00361FA3">
        <w:rPr>
          <w:lang w:eastAsia="ja-JP"/>
        </w:rPr>
        <w:t>The SCRMP specified in 2010 that 30 per cent of non-CAL containers should be subject to a less intensive wharf</w:t>
      </w:r>
      <w:r w:rsidR="00E94C59">
        <w:rPr>
          <w:lang w:eastAsia="ja-JP"/>
        </w:rPr>
        <w:t>-</w:t>
      </w:r>
      <w:r w:rsidR="00361FA3">
        <w:rPr>
          <w:lang w:eastAsia="ja-JP"/>
        </w:rPr>
        <w:t xml:space="preserve">gate inspection, </w:t>
      </w:r>
      <w:r w:rsidR="008D7BB7">
        <w:rPr>
          <w:lang w:eastAsia="ja-JP"/>
        </w:rPr>
        <w:t>al</w:t>
      </w:r>
      <w:r w:rsidR="00361FA3">
        <w:rPr>
          <w:lang w:eastAsia="ja-JP"/>
        </w:rPr>
        <w:t>though this rate might be reduced over time based on assessed risk. However, wharf</w:t>
      </w:r>
      <w:r w:rsidR="00E94C59">
        <w:rPr>
          <w:lang w:eastAsia="ja-JP"/>
        </w:rPr>
        <w:t>-</w:t>
      </w:r>
      <w:r w:rsidR="00361FA3">
        <w:rPr>
          <w:lang w:eastAsia="ja-JP"/>
        </w:rPr>
        <w:t>gate inspections progressively declined from 26 per cent of non-CAL containers in 2010</w:t>
      </w:r>
      <w:r w:rsidR="00361FA3">
        <w:rPr>
          <w:rFonts w:ascii="Calibri" w:hAnsi="Calibri"/>
          <w:lang w:eastAsia="ja-JP"/>
        </w:rPr>
        <w:t>–</w:t>
      </w:r>
      <w:r w:rsidR="00361FA3">
        <w:rPr>
          <w:lang w:eastAsia="ja-JP"/>
        </w:rPr>
        <w:t>11</w:t>
      </w:r>
      <w:r w:rsidR="00361FA3">
        <w:t xml:space="preserve"> down to only 4.3 per cent in 2016</w:t>
      </w:r>
      <w:r w:rsidR="00361FA3">
        <w:rPr>
          <w:rFonts w:ascii="Calibri" w:hAnsi="Calibri"/>
        </w:rPr>
        <w:t>–</w:t>
      </w:r>
      <w:r w:rsidR="00361FA3">
        <w:t xml:space="preserve">17, while container arrivals increased steadily </w:t>
      </w:r>
      <w:r w:rsidR="00361FA3">
        <w:rPr>
          <w:lang w:eastAsia="ja-JP"/>
        </w:rPr>
        <w:t>(</w:t>
      </w:r>
      <w:r w:rsidR="00361FA3">
        <w:rPr>
          <w:lang w:eastAsia="ja-JP"/>
        </w:rPr>
        <w:fldChar w:fldCharType="begin"/>
      </w:r>
      <w:r w:rsidR="00361FA3">
        <w:rPr>
          <w:lang w:eastAsia="ja-JP"/>
        </w:rPr>
        <w:instrText xml:space="preserve"> REF _Ref513544676 \h </w:instrText>
      </w:r>
      <w:r>
        <w:rPr>
          <w:lang w:eastAsia="ja-JP"/>
        </w:rPr>
        <w:instrText xml:space="preserve"> \* MERGEFORMAT </w:instrText>
      </w:r>
      <w:r w:rsidR="00361FA3">
        <w:rPr>
          <w:lang w:eastAsia="ja-JP"/>
        </w:rPr>
      </w:r>
      <w:r w:rsidR="00361FA3">
        <w:rPr>
          <w:lang w:eastAsia="ja-JP"/>
        </w:rPr>
        <w:fldChar w:fldCharType="separate"/>
      </w:r>
      <w:r w:rsidR="007F78D8" w:rsidRPr="00194610">
        <w:t xml:space="preserve">Figure </w:t>
      </w:r>
      <w:r w:rsidR="007F78D8">
        <w:rPr>
          <w:noProof/>
        </w:rPr>
        <w:t>11</w:t>
      </w:r>
      <w:r w:rsidR="00361FA3">
        <w:rPr>
          <w:lang w:eastAsia="ja-JP"/>
        </w:rPr>
        <w:fldChar w:fldCharType="end"/>
      </w:r>
      <w:r w:rsidR="00361FA3">
        <w:rPr>
          <w:lang w:eastAsia="ja-JP"/>
        </w:rPr>
        <w:t>). This appears to have been largely due to resource constraints, including the need to redirect resources to emergency responses.</w:t>
      </w:r>
      <w:r w:rsidR="00194610">
        <w:rPr>
          <w:lang w:eastAsia="ja-JP"/>
        </w:rPr>
        <w:t xml:space="preserve"> </w:t>
      </w:r>
      <w:r w:rsidR="005E16F5">
        <w:rPr>
          <w:lang w:eastAsia="ja-JP"/>
        </w:rPr>
        <w:t>Between 2009 and 20</w:t>
      </w:r>
      <w:r w:rsidR="005E16F5">
        <w:rPr>
          <w:rFonts w:ascii="Calibri" w:hAnsi="Calibri"/>
          <w:lang w:eastAsia="ja-JP"/>
        </w:rPr>
        <w:t>17</w:t>
      </w:r>
      <w:r w:rsidR="00194610">
        <w:rPr>
          <w:lang w:eastAsia="ja-JP"/>
        </w:rPr>
        <w:t>, inspection of CAL containers remained steady</w:t>
      </w:r>
      <w:r w:rsidR="005E16F5">
        <w:rPr>
          <w:lang w:eastAsia="ja-JP"/>
        </w:rPr>
        <w:t xml:space="preserve"> at approximately 47,700 per year.</w:t>
      </w:r>
    </w:p>
    <w:p w14:paraId="44C15703" w14:textId="3D5A53A0" w:rsidR="00AB0E44" w:rsidRDefault="00361FA3" w:rsidP="00194610">
      <w:pPr>
        <w:rPr>
          <w:lang w:eastAsia="ja-JP"/>
        </w:rPr>
      </w:pPr>
      <w:r>
        <w:rPr>
          <w:lang w:eastAsia="ja-JP"/>
        </w:rPr>
        <w:t xml:space="preserve">Notably, </w:t>
      </w:r>
      <w:r w:rsidRPr="00194610">
        <w:rPr>
          <w:szCs w:val="24"/>
          <w:lang w:eastAsia="ja-JP"/>
        </w:rPr>
        <w:t>in</w:t>
      </w:r>
      <w:r>
        <w:rPr>
          <w:lang w:eastAsia="ja-JP"/>
        </w:rPr>
        <w:t xml:space="preserve"> 2015–16, of 8.9 per cent of about 2.7 million imported containers </w:t>
      </w:r>
      <w:r w:rsidR="008D7BB7">
        <w:rPr>
          <w:lang w:eastAsia="ja-JP"/>
        </w:rPr>
        <w:t xml:space="preserve">that </w:t>
      </w:r>
      <w:r>
        <w:rPr>
          <w:lang w:eastAsia="ja-JP"/>
        </w:rPr>
        <w:t>were externally inspected, 0.7 per cent were found to have high</w:t>
      </w:r>
      <w:r w:rsidR="008D7BB7">
        <w:rPr>
          <w:lang w:eastAsia="ja-JP"/>
        </w:rPr>
        <w:t>-</w:t>
      </w:r>
      <w:r>
        <w:rPr>
          <w:lang w:eastAsia="ja-JP"/>
        </w:rPr>
        <w:t>level contamination. It is likely that</w:t>
      </w:r>
      <w:r w:rsidR="008D7BB7">
        <w:rPr>
          <w:lang w:eastAsia="ja-JP"/>
        </w:rPr>
        <w:t>,</w:t>
      </w:r>
      <w:r>
        <w:rPr>
          <w:lang w:eastAsia="ja-JP"/>
        </w:rPr>
        <w:t xml:space="preserve"> </w:t>
      </w:r>
      <w:r w:rsidR="008D7BB7">
        <w:rPr>
          <w:lang w:eastAsia="ja-JP"/>
        </w:rPr>
        <w:t xml:space="preserve">of </w:t>
      </w:r>
      <w:r>
        <w:rPr>
          <w:lang w:eastAsia="ja-JP"/>
        </w:rPr>
        <w:t>the 5.7 million containers released uninspected in 2015–16 and 2016–17, there were about 42,000 highly contaminated containers.</w:t>
      </w:r>
    </w:p>
    <w:p w14:paraId="4833ED06" w14:textId="4D6118DD" w:rsidR="00AB0E44" w:rsidRDefault="00361FA3">
      <w:pPr>
        <w:rPr>
          <w:lang w:eastAsia="ja-JP"/>
        </w:rPr>
      </w:pPr>
      <w:r>
        <w:rPr>
          <w:lang w:eastAsia="ja-JP"/>
        </w:rPr>
        <w:t xml:space="preserve">It </w:t>
      </w:r>
      <w:r>
        <w:rPr>
          <w:szCs w:val="24"/>
          <w:lang w:eastAsia="ja-JP"/>
        </w:rPr>
        <w:t>appears that, while 100 per cent of CAL container and rural tailgate inspections were continued, the substantial reductions in wharf</w:t>
      </w:r>
      <w:r w:rsidR="00E94C59">
        <w:rPr>
          <w:szCs w:val="24"/>
          <w:lang w:eastAsia="ja-JP"/>
        </w:rPr>
        <w:t>-</w:t>
      </w:r>
      <w:r>
        <w:rPr>
          <w:szCs w:val="24"/>
          <w:lang w:eastAsia="ja-JP"/>
        </w:rPr>
        <w:t xml:space="preserve">gate </w:t>
      </w:r>
      <w:r>
        <w:rPr>
          <w:szCs w:val="24"/>
        </w:rPr>
        <w:t xml:space="preserve">inspections </w:t>
      </w:r>
      <w:r w:rsidR="008D7BB7">
        <w:rPr>
          <w:szCs w:val="24"/>
        </w:rPr>
        <w:t xml:space="preserve">resulted </w:t>
      </w:r>
      <w:r>
        <w:rPr>
          <w:szCs w:val="24"/>
        </w:rPr>
        <w:t xml:space="preserve">purely </w:t>
      </w:r>
      <w:r w:rsidR="008D7BB7">
        <w:rPr>
          <w:szCs w:val="24"/>
        </w:rPr>
        <w:t xml:space="preserve">from </w:t>
      </w:r>
      <w:r>
        <w:rPr>
          <w:szCs w:val="24"/>
        </w:rPr>
        <w:t xml:space="preserve">ad hoc availability (or lack) of inspection resources, not </w:t>
      </w:r>
      <w:r w:rsidR="008D7BB7">
        <w:rPr>
          <w:szCs w:val="24"/>
        </w:rPr>
        <w:t xml:space="preserve">from </w:t>
      </w:r>
      <w:r>
        <w:rPr>
          <w:szCs w:val="24"/>
        </w:rPr>
        <w:t xml:space="preserve">risk profiling. Likewise, it appears that the intended </w:t>
      </w:r>
      <w:r w:rsidR="008D7BB7">
        <w:rPr>
          <w:szCs w:val="24"/>
        </w:rPr>
        <w:t>‘</w:t>
      </w:r>
      <w:r>
        <w:rPr>
          <w:szCs w:val="24"/>
        </w:rPr>
        <w:t>rural transit</w:t>
      </w:r>
      <w:r w:rsidR="008D7BB7">
        <w:rPr>
          <w:szCs w:val="24"/>
        </w:rPr>
        <w:t>’</w:t>
      </w:r>
      <w:r>
        <w:rPr>
          <w:szCs w:val="24"/>
        </w:rPr>
        <w:t xml:space="preserve"> external inspections of containers being carried by rail or road through rural areas were never implemented</w:t>
      </w:r>
      <w:r w:rsidR="008D7BB7">
        <w:rPr>
          <w:szCs w:val="24"/>
        </w:rPr>
        <w:t xml:space="preserve"> because of </w:t>
      </w:r>
      <w:r>
        <w:rPr>
          <w:szCs w:val="24"/>
        </w:rPr>
        <w:t>difficulties in profiling them (and also resource constraints).</w:t>
      </w:r>
      <w:r>
        <w:rPr>
          <w:lang w:eastAsia="ja-JP"/>
        </w:rPr>
        <w:t xml:space="preserve"> This has led to an increasing and unmitigated</w:t>
      </w:r>
      <w:r w:rsidR="00FF637F">
        <w:rPr>
          <w:lang w:eastAsia="ja-JP"/>
        </w:rPr>
        <w:t xml:space="preserve"> potential</w:t>
      </w:r>
      <w:r>
        <w:rPr>
          <w:lang w:eastAsia="ja-JP"/>
        </w:rPr>
        <w:t xml:space="preserve"> biosecurity risk from externally contaminated containers.</w:t>
      </w:r>
    </w:p>
    <w:p w14:paraId="59BE6B87" w14:textId="4D46E695" w:rsidR="00194610" w:rsidRPr="00194610" w:rsidRDefault="00194610" w:rsidP="00194610">
      <w:pPr>
        <w:pStyle w:val="Caption"/>
        <w:rPr>
          <w:lang w:eastAsia="ja-JP"/>
        </w:rPr>
      </w:pPr>
      <w:bookmarkStart w:id="79" w:name="_Ref513544676"/>
      <w:bookmarkStart w:id="80" w:name="_Toc521069581"/>
      <w:r w:rsidRPr="00194610">
        <w:rPr>
          <w:lang w:eastAsia="ja-JP"/>
        </w:rPr>
        <w:t xml:space="preserve">Figure </w:t>
      </w:r>
      <w:r w:rsidRPr="00194610">
        <w:rPr>
          <w:lang w:eastAsia="ja-JP"/>
        </w:rPr>
        <w:fldChar w:fldCharType="begin"/>
      </w:r>
      <w:r w:rsidRPr="00194610">
        <w:rPr>
          <w:lang w:eastAsia="ja-JP"/>
        </w:rPr>
        <w:instrText xml:space="preserve"> SEQ Figure \* ARABIC </w:instrText>
      </w:r>
      <w:r w:rsidRPr="00194610">
        <w:rPr>
          <w:lang w:eastAsia="ja-JP"/>
        </w:rPr>
        <w:fldChar w:fldCharType="separate"/>
      </w:r>
      <w:r w:rsidR="007F78D8">
        <w:rPr>
          <w:noProof/>
          <w:lang w:eastAsia="ja-JP"/>
        </w:rPr>
        <w:t>11</w:t>
      </w:r>
      <w:r w:rsidRPr="00194610">
        <w:rPr>
          <w:lang w:eastAsia="ja-JP"/>
        </w:rPr>
        <w:fldChar w:fldCharType="end"/>
      </w:r>
      <w:bookmarkEnd w:id="79"/>
      <w:r w:rsidRPr="00194610">
        <w:rPr>
          <w:lang w:eastAsia="ja-JP"/>
        </w:rPr>
        <w:t xml:space="preserve"> Sea container arrivals and inspection numbers, 2009–10 to 2016–17</w:t>
      </w:r>
      <w:bookmarkEnd w:id="80"/>
    </w:p>
    <w:p w14:paraId="793000EB" w14:textId="1A6561B5" w:rsidR="00194610" w:rsidRPr="00194610" w:rsidRDefault="0035603B" w:rsidP="00194610">
      <w:pPr>
        <w:rPr>
          <w:lang w:eastAsia="ja-JP"/>
        </w:rPr>
      </w:pPr>
      <w:r>
        <w:rPr>
          <w:noProof/>
          <w:lang w:eastAsia="en-AU"/>
        </w:rPr>
        <w:drawing>
          <wp:inline distT="0" distB="0" distL="0" distR="0" wp14:anchorId="42395872" wp14:editId="7D5CBD97">
            <wp:extent cx="4599940" cy="2761615"/>
            <wp:effectExtent l="0" t="0" r="0" b="635"/>
            <wp:docPr id="5" name="Picture 5" descr="Graph showing an increase in non-country action list arrivals and a decrease in non-country action list insp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9940" cy="2761615"/>
                    </a:xfrm>
                    <a:prstGeom prst="rect">
                      <a:avLst/>
                    </a:prstGeom>
                    <a:noFill/>
                  </pic:spPr>
                </pic:pic>
              </a:graphicData>
            </a:graphic>
          </wp:inline>
        </w:drawing>
      </w:r>
    </w:p>
    <w:p w14:paraId="41A02045" w14:textId="77777777" w:rsidR="00194610" w:rsidRPr="00194610" w:rsidRDefault="00194610" w:rsidP="00194610">
      <w:pPr>
        <w:pStyle w:val="FigureTableNoteSource"/>
        <w:rPr>
          <w:lang w:eastAsia="ja-JP"/>
        </w:rPr>
      </w:pPr>
      <w:r w:rsidRPr="00194610">
        <w:rPr>
          <w:lang w:eastAsia="ja-JP"/>
        </w:rPr>
        <w:t>Source: Department of Agriculture and Water Resources</w:t>
      </w:r>
    </w:p>
    <w:p w14:paraId="0B18DE58" w14:textId="77777777" w:rsidR="00AB0E44" w:rsidRDefault="00361FA3">
      <w:pPr>
        <w:pStyle w:val="Heading4"/>
        <w:ind w:left="993" w:hanging="993"/>
        <w:rPr>
          <w:lang w:val="en-AU"/>
        </w:rPr>
      </w:pPr>
      <w:r>
        <w:rPr>
          <w:lang w:val="en-AU"/>
        </w:rPr>
        <w:t>Washing externally contaminated containers</w:t>
      </w:r>
    </w:p>
    <w:p w14:paraId="34AAA909" w14:textId="6264F15F" w:rsidR="00800A3C" w:rsidRDefault="00361FA3">
      <w:pPr>
        <w:rPr>
          <w:lang w:eastAsia="ja-JP"/>
        </w:rPr>
      </w:pPr>
      <w:r>
        <w:rPr>
          <w:lang w:eastAsia="ja-JP"/>
        </w:rPr>
        <w:t>B</w:t>
      </w:r>
      <w:r>
        <w:t xml:space="preserve">iosecurity officers must actively redirect contaminated containers, or containers with obscured but potentially contaminated bases (such as those on flat beds), to container stands at the wharf </w:t>
      </w:r>
      <w:r w:rsidRPr="008E1C53">
        <w:t>or, more usually, to be trucked to off-wharf approved arrangement</w:t>
      </w:r>
      <w:r w:rsidR="00EA2692">
        <w:t xml:space="preserve"> site(s)</w:t>
      </w:r>
      <w:r w:rsidRPr="008E1C53">
        <w:t xml:space="preserve"> for washing.</w:t>
      </w:r>
      <w:r>
        <w:t xml:space="preserve"> </w:t>
      </w:r>
      <w:r w:rsidR="00800A3C">
        <w:rPr>
          <w:lang w:eastAsia="ja-JP"/>
        </w:rPr>
        <w:t xml:space="preserve">When </w:t>
      </w:r>
      <w:r w:rsidR="0086603B">
        <w:rPr>
          <w:lang w:eastAsia="ja-JP"/>
        </w:rPr>
        <w:t>over</w:t>
      </w:r>
      <w:r w:rsidR="00800A3C">
        <w:rPr>
          <w:lang w:eastAsia="ja-JP"/>
        </w:rPr>
        <w:t xml:space="preserve"> two millimetres in depth of soil contamination or other biosecurity risk material is </w:t>
      </w:r>
      <w:r w:rsidR="0086603B">
        <w:rPr>
          <w:lang w:eastAsia="ja-JP"/>
        </w:rPr>
        <w:t>found</w:t>
      </w:r>
      <w:r w:rsidR="00800A3C">
        <w:rPr>
          <w:lang w:eastAsia="ja-JP"/>
        </w:rPr>
        <w:t xml:space="preserve"> on the outside of the container,</w:t>
      </w:r>
      <w:r w:rsidR="00800A3C" w:rsidDel="00800A3C">
        <w:rPr>
          <w:szCs w:val="24"/>
          <w:lang w:eastAsia="ja-JP"/>
        </w:rPr>
        <w:t xml:space="preserve"> </w:t>
      </w:r>
      <w:r w:rsidR="0086603B">
        <w:rPr>
          <w:lang w:eastAsia="ja-JP"/>
        </w:rPr>
        <w:t>it</w:t>
      </w:r>
      <w:r>
        <w:rPr>
          <w:lang w:eastAsia="ja-JP"/>
        </w:rPr>
        <w:t xml:space="preserve"> must be washed with high-pressure hosing.</w:t>
      </w:r>
    </w:p>
    <w:p w14:paraId="54167D4E" w14:textId="7FB658F8" w:rsidR="00AB0E44" w:rsidRDefault="00361FA3">
      <w:pPr>
        <w:rPr>
          <w:lang w:eastAsia="ja-JP"/>
        </w:rPr>
      </w:pPr>
      <w:r>
        <w:rPr>
          <w:lang w:eastAsia="ja-JP"/>
        </w:rPr>
        <w:t xml:space="preserve">Containers </w:t>
      </w:r>
      <w:r w:rsidR="00800A3C">
        <w:rPr>
          <w:lang w:eastAsia="ja-JP"/>
        </w:rPr>
        <w:t xml:space="preserve">that are to be </w:t>
      </w:r>
      <w:r>
        <w:rPr>
          <w:lang w:eastAsia="ja-JP"/>
        </w:rPr>
        <w:t>wash</w:t>
      </w:r>
      <w:r w:rsidR="00800A3C">
        <w:rPr>
          <w:lang w:eastAsia="ja-JP"/>
        </w:rPr>
        <w:t>ed</w:t>
      </w:r>
      <w:r>
        <w:rPr>
          <w:lang w:eastAsia="ja-JP"/>
        </w:rPr>
        <w:t xml:space="preserve"> are stacked separately before being moved one</w:t>
      </w:r>
      <w:r w:rsidR="008E1C53">
        <w:rPr>
          <w:lang w:eastAsia="ja-JP"/>
        </w:rPr>
        <w:t xml:space="preserve"> </w:t>
      </w:r>
      <w:r>
        <w:rPr>
          <w:lang w:eastAsia="ja-JP"/>
        </w:rPr>
        <w:t>by</w:t>
      </w:r>
      <w:r w:rsidR="008E1C53">
        <w:rPr>
          <w:lang w:eastAsia="ja-JP"/>
        </w:rPr>
        <w:t xml:space="preserve"> </w:t>
      </w:r>
      <w:r>
        <w:rPr>
          <w:lang w:eastAsia="ja-JP"/>
        </w:rPr>
        <w:t>one onto a stand on a washing bay. Manual washing takes around 15</w:t>
      </w:r>
      <w:r w:rsidR="00800A3C">
        <w:rPr>
          <w:lang w:eastAsia="ja-JP"/>
        </w:rPr>
        <w:t xml:space="preserve"> to </w:t>
      </w:r>
      <w:r>
        <w:rPr>
          <w:lang w:eastAsia="ja-JP"/>
        </w:rPr>
        <w:t>20 minutes per container. After washing,</w:t>
      </w:r>
      <w:r>
        <w:rPr>
          <w:szCs w:val="24"/>
          <w:lang w:eastAsia="ja-JP"/>
        </w:rPr>
        <w:t xml:space="preserve"> </w:t>
      </w:r>
      <w:r w:rsidR="00800A3C">
        <w:rPr>
          <w:szCs w:val="24"/>
          <w:lang w:eastAsia="ja-JP"/>
        </w:rPr>
        <w:t xml:space="preserve">a biosecurity officer re-inspects </w:t>
      </w:r>
      <w:r>
        <w:rPr>
          <w:szCs w:val="24"/>
          <w:lang w:eastAsia="ja-JP"/>
        </w:rPr>
        <w:t xml:space="preserve">each container (on six sides). </w:t>
      </w:r>
      <w:r>
        <w:t>This considerably slows the delivery and transport process</w:t>
      </w:r>
      <w:r>
        <w:rPr>
          <w:szCs w:val="24"/>
          <w:lang w:eastAsia="ja-JP"/>
        </w:rPr>
        <w:t xml:space="preserve"> and incurs </w:t>
      </w:r>
      <w:r>
        <w:rPr>
          <w:lang w:eastAsia="ja-JP"/>
        </w:rPr>
        <w:t>extra inspection, delivery and transport costs of $200 to $300 per container.</w:t>
      </w:r>
    </w:p>
    <w:p w14:paraId="7DD20109" w14:textId="7C5ADD4B" w:rsidR="00AB0E44" w:rsidRDefault="00361FA3">
      <w:pPr>
        <w:rPr>
          <w:lang w:eastAsia="ja-JP"/>
        </w:rPr>
      </w:pPr>
      <w:r>
        <w:rPr>
          <w:lang w:eastAsia="ja-JP"/>
        </w:rPr>
        <w:t xml:space="preserve">Effluent water from the </w:t>
      </w:r>
      <w:r w:rsidR="00EA2692">
        <w:rPr>
          <w:lang w:eastAsia="ja-JP"/>
        </w:rPr>
        <w:t xml:space="preserve">washing bay </w:t>
      </w:r>
      <w:r>
        <w:rPr>
          <w:lang w:eastAsia="ja-JP"/>
        </w:rPr>
        <w:t xml:space="preserve">may be filtered </w:t>
      </w:r>
      <w:r w:rsidR="00800A3C">
        <w:rPr>
          <w:lang w:eastAsia="ja-JP"/>
        </w:rPr>
        <w:t xml:space="preserve">before it is </w:t>
      </w:r>
      <w:r>
        <w:rPr>
          <w:lang w:eastAsia="ja-JP"/>
        </w:rPr>
        <w:t>discharge</w:t>
      </w:r>
      <w:r w:rsidR="00800A3C">
        <w:rPr>
          <w:lang w:eastAsia="ja-JP"/>
        </w:rPr>
        <w:t>d</w:t>
      </w:r>
      <w:r>
        <w:rPr>
          <w:lang w:eastAsia="ja-JP"/>
        </w:rPr>
        <w:t xml:space="preserve"> to the municipal sewer, collected into a tank and treated with hypochlorite or collected and transported offsite for discharge to the sewer under an appropriate approved arrangement with the department. Residues from the wash</w:t>
      </w:r>
      <w:r w:rsidR="00800A3C">
        <w:rPr>
          <w:lang w:eastAsia="ja-JP"/>
        </w:rPr>
        <w:t>ing</w:t>
      </w:r>
      <w:r>
        <w:rPr>
          <w:lang w:eastAsia="ja-JP"/>
        </w:rPr>
        <w:t xml:space="preserve"> bay, soil trap or filter must be disposed of as biosecurity waste.</w:t>
      </w:r>
    </w:p>
    <w:p w14:paraId="7C7E9F17" w14:textId="77777777" w:rsidR="00AB0E44" w:rsidRDefault="00361FA3">
      <w:pPr>
        <w:pStyle w:val="Heading4"/>
        <w:ind w:left="993" w:hanging="993"/>
      </w:pPr>
      <w:r>
        <w:t>Internal container cleanliness</w:t>
      </w:r>
      <w:r>
        <w:rPr>
          <w:lang w:val="en-AU"/>
        </w:rPr>
        <w:t xml:space="preserve"> inspections and treatment</w:t>
      </w:r>
    </w:p>
    <w:p w14:paraId="20AA3A0E" w14:textId="44E883AD" w:rsidR="00AB0E44" w:rsidRDefault="00361FA3">
      <w:pPr>
        <w:tabs>
          <w:tab w:val="clear" w:pos="567"/>
        </w:tabs>
        <w:spacing w:after="0"/>
        <w:rPr>
          <w:lang w:eastAsia="ja-JP"/>
        </w:rPr>
      </w:pPr>
      <w:r>
        <w:rPr>
          <w:lang w:eastAsia="ja-JP"/>
        </w:rPr>
        <w:t xml:space="preserve">As set out in </w:t>
      </w:r>
      <w:r>
        <w:rPr>
          <w:lang w:eastAsia="ja-JP"/>
        </w:rPr>
        <w:fldChar w:fldCharType="begin"/>
      </w:r>
      <w:r>
        <w:rPr>
          <w:lang w:eastAsia="ja-JP"/>
        </w:rPr>
        <w:instrText xml:space="preserve"> REF _Ref513541497 \h </w:instrText>
      </w:r>
      <w:r>
        <w:rPr>
          <w:lang w:eastAsia="ja-JP"/>
        </w:rPr>
      </w:r>
      <w:r>
        <w:rPr>
          <w:lang w:eastAsia="ja-JP"/>
        </w:rPr>
        <w:fldChar w:fldCharType="separate"/>
      </w:r>
      <w:r w:rsidR="007F78D8">
        <w:t xml:space="preserve">Table </w:t>
      </w:r>
      <w:r w:rsidR="007F78D8">
        <w:rPr>
          <w:noProof/>
        </w:rPr>
        <w:t>3</w:t>
      </w:r>
      <w:r>
        <w:rPr>
          <w:lang w:eastAsia="ja-JP"/>
        </w:rPr>
        <w:fldChar w:fldCharType="end"/>
      </w:r>
      <w:r>
        <w:rPr>
          <w:lang w:eastAsia="ja-JP"/>
        </w:rPr>
        <w:t>, each container has a unique identifier that should be linked to a cleanliness statement and packaging declarations. Full container load (FCL) consignments may be delivered direct to the importer if they have no other biosecurity risks. Less-than-full container load (LCL) consignments (and also unaccompanied personal effects) can only be deconsolidated at an approved arrangement</w:t>
      </w:r>
      <w:r w:rsidR="00EA2692">
        <w:rPr>
          <w:lang w:eastAsia="ja-JP"/>
        </w:rPr>
        <w:t xml:space="preserve"> site</w:t>
      </w:r>
      <w:r w:rsidR="008E1C53">
        <w:rPr>
          <w:lang w:eastAsia="ja-JP"/>
        </w:rPr>
        <w:t>,</w:t>
      </w:r>
      <w:r>
        <w:rPr>
          <w:lang w:eastAsia="ja-JP"/>
        </w:rPr>
        <w:t xml:space="preserve"> where any contamination risk can be addressed. Empty containers are inspected at container parks by approved staff.</w:t>
      </w:r>
    </w:p>
    <w:p w14:paraId="3D81F8F0" w14:textId="7B508046" w:rsidR="00AB0E44" w:rsidRDefault="00FF3F03">
      <w:pPr>
        <w:rPr>
          <w:lang w:eastAsia="ja-JP"/>
        </w:rPr>
      </w:pPr>
      <w:r>
        <w:rPr>
          <w:lang w:eastAsia="ja-JP"/>
        </w:rPr>
        <w:t>C</w:t>
      </w:r>
      <w:r w:rsidR="00361FA3">
        <w:rPr>
          <w:lang w:eastAsia="ja-JP"/>
        </w:rPr>
        <w:t xml:space="preserve">ontainers destined for rural areas (identified by postcode) </w:t>
      </w:r>
      <w:r>
        <w:rPr>
          <w:lang w:eastAsia="ja-JP"/>
        </w:rPr>
        <w:t xml:space="preserve">are </w:t>
      </w:r>
      <w:r w:rsidR="00361FA3">
        <w:rPr>
          <w:lang w:eastAsia="ja-JP"/>
        </w:rPr>
        <w:t xml:space="preserve">considered a high biosecurity risk </w:t>
      </w:r>
      <w:r>
        <w:rPr>
          <w:lang w:eastAsia="ja-JP"/>
        </w:rPr>
        <w:t xml:space="preserve">because, if those containers are contaminated, there is a </w:t>
      </w:r>
      <w:r w:rsidR="00361FA3">
        <w:rPr>
          <w:lang w:eastAsia="ja-JP"/>
        </w:rPr>
        <w:t xml:space="preserve">potential </w:t>
      </w:r>
      <w:r>
        <w:rPr>
          <w:lang w:eastAsia="ja-JP"/>
        </w:rPr>
        <w:t xml:space="preserve">for </w:t>
      </w:r>
      <w:r w:rsidR="00361FA3">
        <w:rPr>
          <w:lang w:eastAsia="ja-JP"/>
        </w:rPr>
        <w:t xml:space="preserve">exotic pests and diseases </w:t>
      </w:r>
      <w:r>
        <w:rPr>
          <w:lang w:eastAsia="ja-JP"/>
        </w:rPr>
        <w:t xml:space="preserve">to be introduced </w:t>
      </w:r>
      <w:r w:rsidR="00361FA3">
        <w:rPr>
          <w:lang w:eastAsia="ja-JP"/>
        </w:rPr>
        <w:t xml:space="preserve">directly into agricultural areas, where they are more likely to establish. </w:t>
      </w:r>
      <w:r w:rsidR="00800A3C">
        <w:rPr>
          <w:lang w:eastAsia="ja-JP"/>
        </w:rPr>
        <w:t>Therefore</w:t>
      </w:r>
      <w:r w:rsidR="00361FA3">
        <w:rPr>
          <w:lang w:eastAsia="ja-JP"/>
        </w:rPr>
        <w:t xml:space="preserve">, all containers </w:t>
      </w:r>
      <w:r w:rsidR="00800A3C">
        <w:rPr>
          <w:lang w:eastAsia="ja-JP"/>
        </w:rPr>
        <w:t xml:space="preserve">that are to be </w:t>
      </w:r>
      <w:r w:rsidR="00361FA3">
        <w:rPr>
          <w:lang w:eastAsia="ja-JP"/>
        </w:rPr>
        <w:t>unpacked in rural area</w:t>
      </w:r>
      <w:r w:rsidR="00800A3C">
        <w:rPr>
          <w:lang w:eastAsia="ja-JP"/>
        </w:rPr>
        <w:t>s</w:t>
      </w:r>
      <w:r w:rsidR="00361FA3">
        <w:rPr>
          <w:lang w:eastAsia="ja-JP"/>
        </w:rPr>
        <w:t xml:space="preserve"> are given a </w:t>
      </w:r>
      <w:r w:rsidR="00361FA3" w:rsidRPr="006653BB">
        <w:rPr>
          <w:b/>
          <w:lang w:eastAsia="ja-JP"/>
        </w:rPr>
        <w:t>rural tailgate inspection</w:t>
      </w:r>
      <w:r w:rsidR="00361FA3">
        <w:rPr>
          <w:lang w:eastAsia="ja-JP"/>
        </w:rPr>
        <w:t xml:space="preserve"> for biosecurity risk material (</w:t>
      </w:r>
      <w:r w:rsidR="00361FA3">
        <w:rPr>
          <w:lang w:eastAsia="ja-JP"/>
        </w:rPr>
        <w:fldChar w:fldCharType="begin"/>
      </w:r>
      <w:r w:rsidR="00361FA3">
        <w:rPr>
          <w:lang w:eastAsia="ja-JP"/>
        </w:rPr>
        <w:instrText xml:space="preserve"> REF _Ref514147620 \h </w:instrText>
      </w:r>
      <w:r w:rsidR="00361FA3">
        <w:rPr>
          <w:lang w:eastAsia="ja-JP"/>
        </w:rPr>
      </w:r>
      <w:r w:rsidR="00361FA3">
        <w:rPr>
          <w:lang w:eastAsia="ja-JP"/>
        </w:rPr>
        <w:fldChar w:fldCharType="separate"/>
      </w:r>
      <w:r w:rsidR="007F78D8">
        <w:t xml:space="preserve">Figure </w:t>
      </w:r>
      <w:r w:rsidR="007F78D8">
        <w:rPr>
          <w:noProof/>
        </w:rPr>
        <w:t>12</w:t>
      </w:r>
      <w:r w:rsidR="00361FA3">
        <w:rPr>
          <w:lang w:eastAsia="ja-JP"/>
        </w:rPr>
        <w:fldChar w:fldCharType="end"/>
      </w:r>
      <w:r w:rsidR="00361FA3">
        <w:rPr>
          <w:lang w:eastAsia="ja-JP"/>
        </w:rPr>
        <w:t xml:space="preserve">). </w:t>
      </w:r>
      <w:r w:rsidR="008E1C53">
        <w:rPr>
          <w:lang w:eastAsia="ja-JP"/>
        </w:rPr>
        <w:t xml:space="preserve">A </w:t>
      </w:r>
      <w:r w:rsidR="00361FA3">
        <w:rPr>
          <w:lang w:eastAsia="ja-JP"/>
        </w:rPr>
        <w:t xml:space="preserve">truck carrying </w:t>
      </w:r>
      <w:r w:rsidR="008E1C53">
        <w:rPr>
          <w:lang w:val="x-none" w:eastAsia="ja-JP"/>
        </w:rPr>
        <w:t xml:space="preserve">a </w:t>
      </w:r>
      <w:r w:rsidR="00361FA3">
        <w:rPr>
          <w:lang w:val="x-none" w:eastAsia="ja-JP"/>
        </w:rPr>
        <w:t>targeted container backs up to an approved stand (if available)</w:t>
      </w:r>
      <w:r w:rsidR="00361FA3">
        <w:rPr>
          <w:lang w:eastAsia="ja-JP"/>
        </w:rPr>
        <w:t>, allowing</w:t>
      </w:r>
      <w:r w:rsidR="00361FA3">
        <w:rPr>
          <w:lang w:val="x-none" w:eastAsia="ja-JP"/>
        </w:rPr>
        <w:t xml:space="preserve"> the </w:t>
      </w:r>
      <w:r w:rsidR="00361FA3">
        <w:rPr>
          <w:lang w:eastAsia="ja-JP"/>
        </w:rPr>
        <w:t>biosecurity</w:t>
      </w:r>
      <w:r w:rsidR="00361FA3">
        <w:rPr>
          <w:lang w:val="x-none" w:eastAsia="ja-JP"/>
        </w:rPr>
        <w:t xml:space="preserve"> inspector to supervise</w:t>
      </w:r>
      <w:r w:rsidR="00361FA3">
        <w:rPr>
          <w:lang w:eastAsia="ja-JP"/>
        </w:rPr>
        <w:t xml:space="preserve"> the</w:t>
      </w:r>
      <w:r w:rsidR="00361FA3">
        <w:rPr>
          <w:lang w:val="x-none" w:eastAsia="ja-JP"/>
        </w:rPr>
        <w:t xml:space="preserve"> breaking of the seal</w:t>
      </w:r>
      <w:r w:rsidR="00800A3C">
        <w:rPr>
          <w:lang w:val="x-none" w:eastAsia="ja-JP"/>
        </w:rPr>
        <w:t>. The inspector then</w:t>
      </w:r>
      <w:r w:rsidR="00361FA3">
        <w:rPr>
          <w:lang w:val="x-none" w:eastAsia="ja-JP"/>
        </w:rPr>
        <w:t xml:space="preserve"> inspect</w:t>
      </w:r>
      <w:r w:rsidR="00800A3C">
        <w:rPr>
          <w:lang w:val="x-none" w:eastAsia="ja-JP"/>
        </w:rPr>
        <w:t>s</w:t>
      </w:r>
      <w:r w:rsidR="00361FA3">
        <w:rPr>
          <w:lang w:val="x-none" w:eastAsia="ja-JP"/>
        </w:rPr>
        <w:t xml:space="preserve"> the </w:t>
      </w:r>
      <w:r w:rsidR="00361FA3">
        <w:rPr>
          <w:lang w:eastAsia="ja-JP"/>
        </w:rPr>
        <w:t xml:space="preserve">back of the </w:t>
      </w:r>
      <w:r w:rsidR="00361FA3">
        <w:rPr>
          <w:lang w:val="x-none" w:eastAsia="ja-JP"/>
        </w:rPr>
        <w:t>inside area and</w:t>
      </w:r>
      <w:r w:rsidR="00361FA3">
        <w:rPr>
          <w:lang w:eastAsia="ja-JP"/>
        </w:rPr>
        <w:t xml:space="preserve"> visible</w:t>
      </w:r>
      <w:r w:rsidR="00361FA3">
        <w:rPr>
          <w:lang w:val="x-none" w:eastAsia="ja-JP"/>
        </w:rPr>
        <w:t xml:space="preserve"> contents </w:t>
      </w:r>
      <w:r w:rsidR="00361FA3">
        <w:rPr>
          <w:lang w:eastAsia="ja-JP"/>
        </w:rPr>
        <w:t>(</w:t>
      </w:r>
      <w:r w:rsidR="00361FA3">
        <w:rPr>
          <w:lang w:val="x-none" w:eastAsia="ja-JP"/>
        </w:rPr>
        <w:t>without unpacking</w:t>
      </w:r>
      <w:r w:rsidR="00361FA3">
        <w:rPr>
          <w:lang w:eastAsia="ja-JP"/>
        </w:rPr>
        <w:t>)</w:t>
      </w:r>
      <w:r w:rsidR="00361FA3">
        <w:rPr>
          <w:lang w:val="x-none" w:eastAsia="ja-JP"/>
        </w:rPr>
        <w:t xml:space="preserve"> </w:t>
      </w:r>
      <w:r w:rsidR="00361FA3">
        <w:rPr>
          <w:lang w:eastAsia="ja-JP"/>
        </w:rPr>
        <w:t xml:space="preserve">and </w:t>
      </w:r>
      <w:r w:rsidR="00361FA3">
        <w:rPr>
          <w:lang w:val="x-none" w:eastAsia="ja-JP"/>
        </w:rPr>
        <w:t>check</w:t>
      </w:r>
      <w:r w:rsidR="00800A3C">
        <w:rPr>
          <w:lang w:val="x-none" w:eastAsia="ja-JP"/>
        </w:rPr>
        <w:t>s</w:t>
      </w:r>
      <w:r w:rsidR="00361FA3">
        <w:rPr>
          <w:lang w:val="x-none" w:eastAsia="ja-JP"/>
        </w:rPr>
        <w:t xml:space="preserve"> for cleanliness and </w:t>
      </w:r>
      <w:r w:rsidR="00361FA3">
        <w:rPr>
          <w:lang w:eastAsia="ja-JP"/>
        </w:rPr>
        <w:t>compliance of</w:t>
      </w:r>
      <w:r w:rsidR="00361FA3">
        <w:rPr>
          <w:lang w:val="x-none" w:eastAsia="ja-JP"/>
        </w:rPr>
        <w:t xml:space="preserve"> the contents and packaging</w:t>
      </w:r>
      <w:r w:rsidR="00361FA3">
        <w:rPr>
          <w:lang w:eastAsia="ja-JP"/>
        </w:rPr>
        <w:t xml:space="preserve">. </w:t>
      </w:r>
      <w:r w:rsidR="00800A3C">
        <w:rPr>
          <w:lang w:eastAsia="ja-JP"/>
        </w:rPr>
        <w:t>The inspector pays s</w:t>
      </w:r>
      <w:r w:rsidR="00361FA3">
        <w:rPr>
          <w:lang w:eastAsia="ja-JP"/>
        </w:rPr>
        <w:t>pecial attention to crevices and junctions between the floor, walls and doors. If any hitchhikers (dead or alive) are found, the container is held in quarantine and unpacked for further inspection while specimens are sent for identification. When specific pests requiring fumigation are found, the container is directed to an approved fumigator. Methyl bromide is the most commonly used fumigant.</w:t>
      </w:r>
    </w:p>
    <w:p w14:paraId="3E37DE76" w14:textId="7928F104" w:rsidR="00AB0E44" w:rsidRDefault="00361FA3">
      <w:pPr>
        <w:rPr>
          <w:lang w:eastAsia="ja-JP"/>
        </w:rPr>
      </w:pPr>
      <w:r>
        <w:rPr>
          <w:lang w:eastAsia="ja-JP"/>
        </w:rPr>
        <w:t xml:space="preserve">From 2012–13 to 2016–17, 264,968 rural tailgate inspections were conducted </w:t>
      </w:r>
      <w:r w:rsidR="00800A3C">
        <w:rPr>
          <w:lang w:eastAsia="ja-JP"/>
        </w:rPr>
        <w:t xml:space="preserve">and </w:t>
      </w:r>
      <w:r>
        <w:rPr>
          <w:lang w:eastAsia="ja-JP"/>
        </w:rPr>
        <w:t xml:space="preserve">12.4 per cent </w:t>
      </w:r>
      <w:r w:rsidR="00800A3C">
        <w:rPr>
          <w:lang w:eastAsia="ja-JP"/>
        </w:rPr>
        <w:t xml:space="preserve">were </w:t>
      </w:r>
      <w:r>
        <w:rPr>
          <w:lang w:eastAsia="ja-JP"/>
        </w:rPr>
        <w:t>non-compliant. In 2015</w:t>
      </w:r>
      <w:r>
        <w:rPr>
          <w:rFonts w:ascii="Calibri" w:hAnsi="Calibri"/>
          <w:lang w:eastAsia="ja-JP"/>
        </w:rPr>
        <w:t>–</w:t>
      </w:r>
      <w:r>
        <w:rPr>
          <w:lang w:eastAsia="ja-JP"/>
        </w:rPr>
        <w:t>16, 15.6 per cent were non-compliant, possibly indicating a trend of increasing internal contamination in all containers.</w:t>
      </w:r>
    </w:p>
    <w:p w14:paraId="005E3574" w14:textId="2C77C9A3" w:rsidR="00AB0E44" w:rsidRDefault="00361FA3">
      <w:pPr>
        <w:pStyle w:val="Caption"/>
        <w:tabs>
          <w:tab w:val="clear" w:pos="567"/>
        </w:tabs>
        <w:rPr>
          <w:lang w:eastAsia="ja-JP"/>
        </w:rPr>
      </w:pPr>
      <w:bookmarkStart w:id="81" w:name="_Ref514147620"/>
      <w:bookmarkStart w:id="82" w:name="_Toc521069582"/>
      <w:r>
        <w:t xml:space="preserve">Figure </w:t>
      </w:r>
      <w:r w:rsidR="00F21B3D">
        <w:rPr>
          <w:noProof/>
        </w:rPr>
        <w:fldChar w:fldCharType="begin"/>
      </w:r>
      <w:r w:rsidR="00F21B3D">
        <w:rPr>
          <w:noProof/>
        </w:rPr>
        <w:instrText xml:space="preserve"> SEQ Figure \* ARABIC </w:instrText>
      </w:r>
      <w:r w:rsidR="00F21B3D">
        <w:rPr>
          <w:noProof/>
        </w:rPr>
        <w:fldChar w:fldCharType="separate"/>
      </w:r>
      <w:r w:rsidR="007F78D8">
        <w:rPr>
          <w:noProof/>
        </w:rPr>
        <w:t>12</w:t>
      </w:r>
      <w:r w:rsidR="00F21B3D">
        <w:rPr>
          <w:noProof/>
        </w:rPr>
        <w:fldChar w:fldCharType="end"/>
      </w:r>
      <w:bookmarkEnd w:id="81"/>
      <w:r>
        <w:rPr>
          <w:lang w:eastAsia="ja-JP"/>
        </w:rPr>
        <w:t xml:space="preserve"> Biosecurity officers carrying out external and tailgate inspections</w:t>
      </w:r>
      <w:bookmarkEnd w:id="82"/>
    </w:p>
    <w:p w14:paraId="39355BCA" w14:textId="77777777" w:rsidR="00AB0E44" w:rsidRDefault="00361FA3">
      <w:r>
        <w:t xml:space="preserve"> </w:t>
      </w:r>
      <w:r>
        <w:rPr>
          <w:noProof/>
          <w:lang w:eastAsia="en-AU"/>
        </w:rPr>
        <w:drawing>
          <wp:inline distT="0" distB="0" distL="0" distR="0" wp14:anchorId="16277DA4" wp14:editId="35493958">
            <wp:extent cx="2899607" cy="2406701"/>
            <wp:effectExtent l="0" t="0" r="0" b="0"/>
            <wp:docPr id="33" name="Picture 33" descr="This pictures shows a biosecurity officer inspecting an imported container exter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mellon glenn\AppData\Local\Microsoft\Windows\INetCache\Content.Word\PS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0127"/>
                    <a:stretch/>
                  </pic:blipFill>
                  <pic:spPr bwMode="auto">
                    <a:xfrm>
                      <a:off x="0" y="0"/>
                      <a:ext cx="2971167" cy="246609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52DA9350" wp14:editId="4DF7C4E4">
            <wp:extent cx="2399759" cy="2612421"/>
            <wp:effectExtent l="7938" t="0" r="8572" b="8573"/>
            <wp:docPr id="34" name="Picture 34" descr="This pictures shows a biosecurity officer undertaking a tailgate inspection of an imported container that is destined for rural post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37" cstate="print">
                      <a:extLst>
                        <a:ext uri="{28A0092B-C50C-407E-A947-70E740481C1C}">
                          <a14:useLocalDpi xmlns:a14="http://schemas.microsoft.com/office/drawing/2010/main" val="0"/>
                        </a:ext>
                      </a:extLst>
                    </a:blip>
                    <a:srcRect l="58178" t="41921" r="4376" b="7201"/>
                    <a:stretch/>
                  </pic:blipFill>
                  <pic:spPr bwMode="auto">
                    <a:xfrm rot="5400000">
                      <a:off x="0" y="0"/>
                      <a:ext cx="2436355" cy="2652261"/>
                    </a:xfrm>
                    <a:prstGeom prst="rect">
                      <a:avLst/>
                    </a:prstGeom>
                    <a:ln>
                      <a:noFill/>
                    </a:ln>
                    <a:extLst>
                      <a:ext uri="{53640926-AAD7-44D8-BBD7-CCE9431645EC}">
                        <a14:shadowObscured xmlns:a14="http://schemas.microsoft.com/office/drawing/2010/main"/>
                      </a:ext>
                    </a:extLst>
                  </pic:spPr>
                </pic:pic>
              </a:graphicData>
            </a:graphic>
          </wp:inline>
        </w:drawing>
      </w:r>
    </w:p>
    <w:p w14:paraId="4F0F1426" w14:textId="77777777" w:rsidR="00AB0E44" w:rsidRDefault="00361FA3">
      <w:pPr>
        <w:pStyle w:val="FigureTableNoteSource"/>
        <w:rPr>
          <w:lang w:eastAsia="ja-JP"/>
        </w:rPr>
      </w:pPr>
      <w:r>
        <w:rPr>
          <w:lang w:eastAsia="ja-JP"/>
        </w:rPr>
        <w:t>Source: Department of Agriculture and Water Resources</w:t>
      </w:r>
    </w:p>
    <w:p w14:paraId="1084CDC6" w14:textId="77777777" w:rsidR="00AB0E44" w:rsidRDefault="00361FA3">
      <w:pPr>
        <w:pStyle w:val="Heading3"/>
        <w:spacing w:before="360"/>
      </w:pPr>
      <w:bookmarkStart w:id="83" w:name="_Toc521069546"/>
      <w:r>
        <w:t>Future sea container biosecurity risk management</w:t>
      </w:r>
      <w:bookmarkEnd w:id="83"/>
    </w:p>
    <w:p w14:paraId="51D6E1D8" w14:textId="66964255" w:rsidR="00AB0E44" w:rsidRDefault="00361FA3">
      <w:pPr>
        <w:pStyle w:val="Heading4"/>
        <w:ind w:left="993" w:hanging="993"/>
      </w:pPr>
      <w:r>
        <w:t>Proposed new Integrated Risk and Compliance Model policy</w:t>
      </w:r>
    </w:p>
    <w:p w14:paraId="2096416E" w14:textId="27106063" w:rsidR="00E47539" w:rsidRDefault="00FF3F03">
      <w:pPr>
        <w:rPr>
          <w:lang w:eastAsia="en-AU"/>
        </w:rPr>
      </w:pPr>
      <w:r>
        <w:rPr>
          <w:lang w:eastAsia="en-AU"/>
        </w:rPr>
        <w:t xml:space="preserve">The </w:t>
      </w:r>
      <w:r w:rsidR="00394320">
        <w:rPr>
          <w:lang w:eastAsia="en-AU"/>
        </w:rPr>
        <w:t>integrated risk and compliance m</w:t>
      </w:r>
      <w:r>
        <w:rPr>
          <w:lang w:eastAsia="en-AU"/>
        </w:rPr>
        <w:t xml:space="preserve">odel (IRCM) is a </w:t>
      </w:r>
      <w:r w:rsidR="00361FA3">
        <w:rPr>
          <w:lang w:eastAsia="en-AU"/>
        </w:rPr>
        <w:t>new policy for sea container external risk management</w:t>
      </w:r>
      <w:r>
        <w:rPr>
          <w:lang w:eastAsia="en-AU"/>
        </w:rPr>
        <w:t>.</w:t>
      </w:r>
      <w:r w:rsidR="00361FA3">
        <w:rPr>
          <w:lang w:eastAsia="en-AU"/>
        </w:rPr>
        <w:t xml:space="preserve"> </w:t>
      </w:r>
      <w:r>
        <w:rPr>
          <w:lang w:eastAsia="en-AU"/>
        </w:rPr>
        <w:t xml:space="preserve">It </w:t>
      </w:r>
      <w:r w:rsidR="00361FA3">
        <w:rPr>
          <w:lang w:eastAsia="en-AU"/>
        </w:rPr>
        <w:t>is being developed to target inspections and interventions for sea containers more precisely by classifying these containers as high, medium or low risk</w:t>
      </w:r>
      <w:r>
        <w:rPr>
          <w:lang w:eastAsia="en-AU"/>
        </w:rPr>
        <w:t>, depending</w:t>
      </w:r>
      <w:r w:rsidR="00361FA3">
        <w:rPr>
          <w:lang w:eastAsia="en-AU"/>
        </w:rPr>
        <w:t xml:space="preserve"> on past history, and </w:t>
      </w:r>
      <w:r w:rsidR="00E47539">
        <w:rPr>
          <w:lang w:eastAsia="en-AU"/>
        </w:rPr>
        <w:t xml:space="preserve">then </w:t>
      </w:r>
      <w:r w:rsidR="00361FA3">
        <w:rPr>
          <w:lang w:eastAsia="en-AU"/>
        </w:rPr>
        <w:t>redistributing workload accordingly. The</w:t>
      </w:r>
      <w:r>
        <w:rPr>
          <w:lang w:eastAsia="en-AU"/>
        </w:rPr>
        <w:t xml:space="preserve"> </w:t>
      </w:r>
      <w:r w:rsidR="00361FA3">
        <w:rPr>
          <w:lang w:eastAsia="en-AU"/>
        </w:rPr>
        <w:t>IRCM will also provide opportunities for industry to manage risk offshore and onshore for low</w:t>
      </w:r>
      <w:r>
        <w:rPr>
          <w:lang w:eastAsia="en-AU"/>
        </w:rPr>
        <w:t>-</w:t>
      </w:r>
      <w:r w:rsidR="00361FA3">
        <w:rPr>
          <w:lang w:eastAsia="en-AU"/>
        </w:rPr>
        <w:t xml:space="preserve">risk containers </w:t>
      </w:r>
      <w:r w:rsidR="00361FA3" w:rsidRPr="00377BE6">
        <w:rPr>
          <w:lang w:eastAsia="en-AU"/>
        </w:rPr>
        <w:t>through approved arrangement</w:t>
      </w:r>
      <w:r w:rsidR="00EA2692">
        <w:rPr>
          <w:lang w:eastAsia="en-AU"/>
        </w:rPr>
        <w:t xml:space="preserve"> site</w:t>
      </w:r>
      <w:r w:rsidR="00361FA3" w:rsidRPr="00377BE6">
        <w:rPr>
          <w:lang w:eastAsia="en-AU"/>
        </w:rPr>
        <w:t>s.</w:t>
      </w:r>
      <w:r w:rsidR="00E47539">
        <w:rPr>
          <w:lang w:eastAsia="en-AU"/>
        </w:rPr>
        <w:t xml:space="preserve"> </w:t>
      </w:r>
      <w:r w:rsidR="00361FA3">
        <w:rPr>
          <w:lang w:eastAsia="en-AU"/>
        </w:rPr>
        <w:t>The IRCM will replace the CAL classification for containers</w:t>
      </w:r>
      <w:r w:rsidR="00E47539">
        <w:rPr>
          <w:lang w:eastAsia="en-AU"/>
        </w:rPr>
        <w:t>.</w:t>
      </w:r>
    </w:p>
    <w:p w14:paraId="79895CC0" w14:textId="48307EAF" w:rsidR="00AB0E44" w:rsidRDefault="006653BB">
      <w:pPr>
        <w:rPr>
          <w:lang w:eastAsia="en-AU"/>
        </w:rPr>
      </w:pPr>
      <w:r>
        <w:rPr>
          <w:b/>
          <w:lang w:eastAsia="en-AU"/>
        </w:rPr>
        <w:t>High, medium or low external risk</w:t>
      </w:r>
      <w:r>
        <w:rPr>
          <w:lang w:eastAsia="en-AU"/>
        </w:rPr>
        <w:t>—</w:t>
      </w:r>
      <w:r w:rsidR="00E47539">
        <w:rPr>
          <w:lang w:eastAsia="en-AU"/>
        </w:rPr>
        <w:t xml:space="preserve">The IRCM will </w:t>
      </w:r>
      <w:r w:rsidR="00361FA3">
        <w:rPr>
          <w:lang w:eastAsia="en-AU"/>
        </w:rPr>
        <w:t>consider historical detections of snails, contamination and insects and whether these have been found from inspecting less or more than 50 containers per year at both the port and country level. It will then give each container a high, medium, or low external risk profile based on its last country or port of origin. The rates, types and location of interventions for containers destined for metropolitan or rural areas, or transiting through rural areas, will be decided through their external risk profiles.</w:t>
      </w:r>
    </w:p>
    <w:p w14:paraId="25B82F2F" w14:textId="3A4E75F4" w:rsidR="00AB0E44" w:rsidRDefault="00361FA3">
      <w:pPr>
        <w:rPr>
          <w:lang w:eastAsia="en-AU"/>
        </w:rPr>
      </w:pPr>
      <w:r w:rsidRPr="006653BB">
        <w:rPr>
          <w:b/>
          <w:lang w:eastAsia="en-AU"/>
        </w:rPr>
        <w:t>For metropolitan destinations and rural transit</w:t>
      </w:r>
      <w:r w:rsidRPr="00E47539">
        <w:rPr>
          <w:lang w:eastAsia="en-AU"/>
        </w:rPr>
        <w:t>,</w:t>
      </w:r>
      <w:r>
        <w:rPr>
          <w:lang w:eastAsia="en-AU"/>
        </w:rPr>
        <w:t xml:space="preserve"> 100 per cent of high external risk containers will have intensive on-wharf six-sided inspections unless they were managed through approved offshore hygiene arrangements such as SCHS. Fifty per cent of medium</w:t>
      </w:r>
      <w:r w:rsidR="00E47539">
        <w:rPr>
          <w:lang w:eastAsia="en-AU"/>
        </w:rPr>
        <w:t>-</w:t>
      </w:r>
      <w:r>
        <w:rPr>
          <w:lang w:eastAsia="en-AU"/>
        </w:rPr>
        <w:t xml:space="preserve">risk containers will have six-sided inspections, and only </w:t>
      </w:r>
      <w:r w:rsidR="00E47539">
        <w:rPr>
          <w:lang w:eastAsia="en-AU"/>
        </w:rPr>
        <w:t xml:space="preserve">5 </w:t>
      </w:r>
      <w:r>
        <w:rPr>
          <w:lang w:eastAsia="en-AU"/>
        </w:rPr>
        <w:t>per cent of low</w:t>
      </w:r>
      <w:r w:rsidR="00E47539">
        <w:rPr>
          <w:lang w:eastAsia="en-AU"/>
        </w:rPr>
        <w:t>-</w:t>
      </w:r>
      <w:r>
        <w:rPr>
          <w:lang w:eastAsia="en-AU"/>
        </w:rPr>
        <w:t>risk containers will have inspections at t</w:t>
      </w:r>
      <w:r>
        <w:t>he wharf gate or an approved arrangement</w:t>
      </w:r>
      <w:r w:rsidR="00EA2692">
        <w:t xml:space="preserve"> site</w:t>
      </w:r>
      <w:r>
        <w:rPr>
          <w:lang w:eastAsia="en-AU"/>
        </w:rPr>
        <w:t>.</w:t>
      </w:r>
    </w:p>
    <w:p w14:paraId="25F6D440" w14:textId="347ECFDA" w:rsidR="00AB0E44" w:rsidRDefault="00361FA3">
      <w:pPr>
        <w:rPr>
          <w:lang w:eastAsia="en-AU"/>
        </w:rPr>
      </w:pPr>
      <w:r>
        <w:rPr>
          <w:lang w:eastAsia="en-AU"/>
        </w:rPr>
        <w:t>Modelling show</w:t>
      </w:r>
      <w:r w:rsidR="00E47539">
        <w:rPr>
          <w:lang w:eastAsia="en-AU"/>
        </w:rPr>
        <w:t>s</w:t>
      </w:r>
      <w:r>
        <w:rPr>
          <w:lang w:eastAsia="en-AU"/>
        </w:rPr>
        <w:t xml:space="preserve"> that, </w:t>
      </w:r>
      <w:r w:rsidR="00E47539">
        <w:rPr>
          <w:lang w:eastAsia="en-AU"/>
        </w:rPr>
        <w:t xml:space="preserve">if </w:t>
      </w:r>
      <w:r w:rsidR="00394320">
        <w:rPr>
          <w:lang w:eastAsia="en-AU"/>
        </w:rPr>
        <w:t xml:space="preserve">the </w:t>
      </w:r>
      <w:r w:rsidR="00E47539">
        <w:rPr>
          <w:lang w:eastAsia="en-AU"/>
        </w:rPr>
        <w:t>IRCM had</w:t>
      </w:r>
      <w:r>
        <w:rPr>
          <w:lang w:eastAsia="en-AU"/>
        </w:rPr>
        <w:t xml:space="preserve"> been in place in 2014–15, when 11 per cent of non-CAL containers received a wharf</w:t>
      </w:r>
      <w:r w:rsidR="00E94C59">
        <w:rPr>
          <w:lang w:eastAsia="en-AU"/>
        </w:rPr>
        <w:t>-</w:t>
      </w:r>
      <w:r>
        <w:rPr>
          <w:lang w:eastAsia="en-AU"/>
        </w:rPr>
        <w:t>gate inspection, an extra 26,000 six-sided inspections and 100,000 fewer three</w:t>
      </w:r>
      <w:r w:rsidR="00E47539">
        <w:rPr>
          <w:lang w:eastAsia="en-AU"/>
        </w:rPr>
        <w:t>-</w:t>
      </w:r>
      <w:r>
        <w:rPr>
          <w:lang w:eastAsia="en-AU"/>
        </w:rPr>
        <w:t xml:space="preserve"> to four-sided wharf</w:t>
      </w:r>
      <w:r w:rsidR="00E94C59">
        <w:rPr>
          <w:lang w:eastAsia="en-AU"/>
        </w:rPr>
        <w:t>-</w:t>
      </w:r>
      <w:r>
        <w:rPr>
          <w:lang w:eastAsia="en-AU"/>
        </w:rPr>
        <w:t>gate inspections would have been carried out</w:t>
      </w:r>
      <w:r w:rsidR="00E47539">
        <w:rPr>
          <w:lang w:eastAsia="en-AU"/>
        </w:rPr>
        <w:t>.</w:t>
      </w:r>
      <w:r>
        <w:rPr>
          <w:lang w:eastAsia="en-AU"/>
        </w:rPr>
        <w:t xml:space="preserve"> </w:t>
      </w:r>
      <w:r w:rsidR="00E47539">
        <w:rPr>
          <w:lang w:eastAsia="en-AU"/>
        </w:rPr>
        <w:t>A</w:t>
      </w:r>
      <w:r>
        <w:rPr>
          <w:lang w:eastAsia="en-AU"/>
        </w:rPr>
        <w:t>n extra 60 per cent of high</w:t>
      </w:r>
      <w:r w:rsidR="00377BE6">
        <w:rPr>
          <w:lang w:eastAsia="en-AU"/>
        </w:rPr>
        <w:t>-</w:t>
      </w:r>
      <w:r>
        <w:rPr>
          <w:lang w:eastAsia="en-AU"/>
        </w:rPr>
        <w:t xml:space="preserve">level contamination </w:t>
      </w:r>
      <w:r w:rsidR="00E47539">
        <w:rPr>
          <w:lang w:eastAsia="en-AU"/>
        </w:rPr>
        <w:t>would have been detected</w:t>
      </w:r>
      <w:r w:rsidR="00377BE6">
        <w:rPr>
          <w:lang w:eastAsia="en-AU"/>
        </w:rPr>
        <w:t>,</w:t>
      </w:r>
      <w:r w:rsidR="00E47539">
        <w:rPr>
          <w:lang w:eastAsia="en-AU"/>
        </w:rPr>
        <w:t xml:space="preserve"> and </w:t>
      </w:r>
      <w:r>
        <w:rPr>
          <w:lang w:eastAsia="en-AU"/>
        </w:rPr>
        <w:t xml:space="preserve">departmental inspection costs </w:t>
      </w:r>
      <w:r w:rsidR="00E47539">
        <w:rPr>
          <w:lang w:eastAsia="en-AU"/>
        </w:rPr>
        <w:t xml:space="preserve">would have been reduced </w:t>
      </w:r>
      <w:r>
        <w:rPr>
          <w:lang w:eastAsia="en-AU"/>
        </w:rPr>
        <w:t xml:space="preserve">by </w:t>
      </w:r>
      <w:r w:rsidR="00E47539">
        <w:rPr>
          <w:lang w:eastAsia="en-AU"/>
        </w:rPr>
        <w:t xml:space="preserve">8 </w:t>
      </w:r>
      <w:r w:rsidRPr="00E47539">
        <w:rPr>
          <w:lang w:eastAsia="en-AU"/>
        </w:rPr>
        <w:t xml:space="preserve">per cent. </w:t>
      </w:r>
      <w:r w:rsidR="00423CCE">
        <w:rPr>
          <w:lang w:eastAsia="en-AU"/>
        </w:rPr>
        <w:t>A</w:t>
      </w:r>
      <w:r w:rsidR="00423CCE" w:rsidRPr="00E47539">
        <w:rPr>
          <w:lang w:eastAsia="en-AU"/>
        </w:rPr>
        <w:t>s long as the external risk profiling is robust</w:t>
      </w:r>
      <w:r w:rsidR="00423CCE">
        <w:rPr>
          <w:lang w:eastAsia="en-AU"/>
        </w:rPr>
        <w:t>,</w:t>
      </w:r>
      <w:r w:rsidR="00423CCE" w:rsidRPr="00E47539">
        <w:rPr>
          <w:lang w:eastAsia="en-AU"/>
        </w:rPr>
        <w:t xml:space="preserve"> </w:t>
      </w:r>
      <w:r w:rsidR="00423CCE">
        <w:rPr>
          <w:lang w:eastAsia="en-AU"/>
        </w:rPr>
        <w:t>t</w:t>
      </w:r>
      <w:r w:rsidR="00E47539" w:rsidRPr="00E47539">
        <w:rPr>
          <w:lang w:eastAsia="en-AU"/>
        </w:rPr>
        <w:t xml:space="preserve">he new IRCM </w:t>
      </w:r>
      <w:r w:rsidRPr="00E47539">
        <w:rPr>
          <w:lang w:eastAsia="en-AU"/>
        </w:rPr>
        <w:t xml:space="preserve">should markedly improve on the current system </w:t>
      </w:r>
      <w:r w:rsidR="00E47539" w:rsidRPr="00E47539">
        <w:rPr>
          <w:lang w:eastAsia="en-AU"/>
        </w:rPr>
        <w:t xml:space="preserve">by </w:t>
      </w:r>
      <w:r w:rsidR="00377BE6" w:rsidRPr="00377BE6">
        <w:rPr>
          <w:lang w:eastAsia="en-AU"/>
        </w:rPr>
        <w:t>i</w:t>
      </w:r>
      <w:r w:rsidR="00E47539" w:rsidRPr="007F456F">
        <w:rPr>
          <w:lang w:eastAsia="en-AU"/>
        </w:rPr>
        <w:t>ncreasing the detection of contamination</w:t>
      </w:r>
      <w:r w:rsidRPr="00E47539">
        <w:rPr>
          <w:lang w:eastAsia="en-AU"/>
        </w:rPr>
        <w:t>. However, as the rate of wharf</w:t>
      </w:r>
      <w:r w:rsidR="00E94C59">
        <w:rPr>
          <w:lang w:eastAsia="en-AU"/>
        </w:rPr>
        <w:t>-</w:t>
      </w:r>
      <w:r w:rsidRPr="00E47539">
        <w:rPr>
          <w:lang w:eastAsia="en-AU"/>
        </w:rPr>
        <w:t>gate inspections</w:t>
      </w:r>
      <w:r>
        <w:rPr>
          <w:lang w:eastAsia="en-AU"/>
        </w:rPr>
        <w:t xml:space="preserve"> is currently below </w:t>
      </w:r>
      <w:r w:rsidR="00E47539">
        <w:rPr>
          <w:lang w:eastAsia="en-AU"/>
        </w:rPr>
        <w:t xml:space="preserve">5 </w:t>
      </w:r>
      <w:r>
        <w:rPr>
          <w:lang w:eastAsia="en-AU"/>
        </w:rPr>
        <w:t>per cent, further departmental savings seem unlikely.</w:t>
      </w:r>
    </w:p>
    <w:p w14:paraId="09395B3E" w14:textId="5D17633D" w:rsidR="00AB0E44" w:rsidRDefault="00361FA3">
      <w:pPr>
        <w:rPr>
          <w:lang w:eastAsia="en-AU"/>
        </w:rPr>
      </w:pPr>
      <w:r w:rsidRPr="006653BB">
        <w:rPr>
          <w:b/>
          <w:lang w:eastAsia="en-AU"/>
        </w:rPr>
        <w:t>For rural destinations</w:t>
      </w:r>
      <w:r w:rsidRPr="00E47539">
        <w:rPr>
          <w:lang w:eastAsia="en-AU"/>
        </w:rPr>
        <w:t xml:space="preserve">, </w:t>
      </w:r>
      <w:r>
        <w:rPr>
          <w:lang w:eastAsia="en-AU"/>
        </w:rPr>
        <w:t>containers will be classified as high or low risk based on both external risk profiles and historical internal inspection non-compliance data. Low</w:t>
      </w:r>
      <w:r w:rsidR="00E47539">
        <w:rPr>
          <w:lang w:eastAsia="en-AU"/>
        </w:rPr>
        <w:t>-</w:t>
      </w:r>
      <w:r>
        <w:rPr>
          <w:lang w:eastAsia="en-AU"/>
        </w:rPr>
        <w:t xml:space="preserve">risk containers may be inspected by approved persons at approved facilities </w:t>
      </w:r>
      <w:r>
        <w:rPr>
          <w:lang w:eastAsia="ja-JP"/>
        </w:rPr>
        <w:t>(potentially halving the inspection burden for biosecurity inspectors and reducing the cost to industry)</w:t>
      </w:r>
      <w:r w:rsidR="00E47539">
        <w:rPr>
          <w:lang w:eastAsia="en-AU"/>
        </w:rPr>
        <w:t>.</w:t>
      </w:r>
      <w:r>
        <w:rPr>
          <w:lang w:eastAsia="en-AU"/>
        </w:rPr>
        <w:t xml:space="preserve"> </w:t>
      </w:r>
      <w:r w:rsidR="00E47539">
        <w:rPr>
          <w:lang w:eastAsia="en-AU"/>
        </w:rPr>
        <w:t>Biosecurity officers will continue to inspect h</w:t>
      </w:r>
      <w:r>
        <w:rPr>
          <w:lang w:eastAsia="en-AU"/>
        </w:rPr>
        <w:t>igh</w:t>
      </w:r>
      <w:r w:rsidR="00E47539">
        <w:rPr>
          <w:lang w:eastAsia="en-AU"/>
        </w:rPr>
        <w:t>-</w:t>
      </w:r>
      <w:r>
        <w:rPr>
          <w:lang w:eastAsia="en-AU"/>
        </w:rPr>
        <w:t>risk containers at wharves or approved facilities.</w:t>
      </w:r>
    </w:p>
    <w:p w14:paraId="786E11A4" w14:textId="6546FD64" w:rsidR="00AB0E44" w:rsidRDefault="00361FA3">
      <w:pPr>
        <w:pStyle w:val="Heading4"/>
        <w:rPr>
          <w:b w:val="0"/>
          <w:lang w:eastAsia="ja-JP"/>
        </w:rPr>
      </w:pPr>
      <w:r>
        <w:t xml:space="preserve">S-Cargo </w:t>
      </w:r>
      <w:r>
        <w:rPr>
          <w:lang w:val="en-AU"/>
        </w:rPr>
        <w:t>enhancement</w:t>
      </w:r>
      <w:r>
        <w:t xml:space="preserve"> </w:t>
      </w:r>
      <w:r>
        <w:rPr>
          <w:lang w:val="en-AU"/>
        </w:rPr>
        <w:t>project</w:t>
      </w:r>
    </w:p>
    <w:p w14:paraId="31A7C2A8" w14:textId="473A3DA1" w:rsidR="00AB0E44" w:rsidRDefault="00361FA3">
      <w:pPr>
        <w:rPr>
          <w:lang w:eastAsia="ja-JP"/>
        </w:rPr>
      </w:pPr>
      <w:r>
        <w:rPr>
          <w:lang w:eastAsia="ja-JP" w:bidi="hi-IN"/>
        </w:rPr>
        <w:t>The department is currently working to upgrade its S-Cargo software system</w:t>
      </w:r>
      <w:r w:rsidRPr="00423CCE">
        <w:rPr>
          <w:lang w:eastAsia="ja-JP" w:bidi="hi-IN"/>
        </w:rPr>
        <w:t xml:space="preserve">, to </w:t>
      </w:r>
      <w:r w:rsidRPr="00423CCE">
        <w:rPr>
          <w:lang w:eastAsia="en-AU"/>
        </w:rPr>
        <w:t>move from the SCRMP to the IRCM</w:t>
      </w:r>
      <w:r>
        <w:rPr>
          <w:lang w:eastAsia="en-AU"/>
        </w:rPr>
        <w:t xml:space="preserve"> and make it more operationally efficient. S-Cargo was </w:t>
      </w:r>
      <w:r>
        <w:rPr>
          <w:lang w:eastAsia="ja-JP" w:bidi="hi-IN"/>
        </w:rPr>
        <w:t>launched in 2011 to allow the department to interface with ICS and manage the holding, inspection and treatment records and release of CAL containers, which make up 2.5 per cent of all containers imported annually. However, the current version of S-Cargo does not address non-CAL sea containers or break</w:t>
      </w:r>
      <w:r w:rsidR="00006185">
        <w:rPr>
          <w:lang w:eastAsia="ja-JP" w:bidi="hi-IN"/>
        </w:rPr>
        <w:t>-</w:t>
      </w:r>
      <w:r>
        <w:rPr>
          <w:lang w:eastAsia="ja-JP" w:bidi="hi-IN"/>
        </w:rPr>
        <w:t>bulk cargo.</w:t>
      </w:r>
    </w:p>
    <w:p w14:paraId="0BE36719" w14:textId="5C3156BF" w:rsidR="00AB0E44" w:rsidRDefault="00361FA3">
      <w:pPr>
        <w:rPr>
          <w:lang w:eastAsia="en-AU"/>
        </w:rPr>
      </w:pPr>
      <w:r>
        <w:rPr>
          <w:lang w:eastAsia="en-AU"/>
        </w:rPr>
        <w:t>S-Cargo improvement will allow the department to apply a risk</w:t>
      </w:r>
      <w:r w:rsidR="00006185">
        <w:rPr>
          <w:lang w:eastAsia="en-AU"/>
        </w:rPr>
        <w:t>-</w:t>
      </w:r>
      <w:r>
        <w:rPr>
          <w:lang w:eastAsia="en-AU"/>
        </w:rPr>
        <w:t>based approach to all sea containers and some break</w:t>
      </w:r>
      <w:r w:rsidR="00006185">
        <w:rPr>
          <w:lang w:eastAsia="en-AU"/>
        </w:rPr>
        <w:t>-</w:t>
      </w:r>
      <w:r>
        <w:rPr>
          <w:lang w:eastAsia="en-AU"/>
        </w:rPr>
        <w:t xml:space="preserve">bulk cargo, make biosecurity decisions in real time and apply reduced intervention rates for compliant behaviour. </w:t>
      </w:r>
      <w:r w:rsidR="00006185">
        <w:rPr>
          <w:lang w:eastAsia="en-AU"/>
        </w:rPr>
        <w:t>It is also hoped that t</w:t>
      </w:r>
      <w:r>
        <w:rPr>
          <w:lang w:eastAsia="en-AU"/>
        </w:rPr>
        <w:t xml:space="preserve">he enhancement </w:t>
      </w:r>
      <w:r w:rsidR="00006185">
        <w:rPr>
          <w:lang w:eastAsia="en-AU"/>
        </w:rPr>
        <w:t xml:space="preserve">will </w:t>
      </w:r>
      <w:r>
        <w:rPr>
          <w:lang w:eastAsia="en-AU"/>
        </w:rPr>
        <w:t>improve data consistency and accuracy, prevent bypasses and reduce clearance times. However, u</w:t>
      </w:r>
      <w:r>
        <w:rPr>
          <w:lang w:eastAsia="ja-JP" w:bidi="hi-IN"/>
        </w:rPr>
        <w:t>ntil the enhanced version of S-Cargo is implemented, the projected reduction in biosecurity risks expected by IRCM implementation cannot be realised.</w:t>
      </w:r>
    </w:p>
    <w:p w14:paraId="2DF6E92C" w14:textId="6BD9C529" w:rsidR="00AB0E44" w:rsidRDefault="00361FA3">
      <w:pPr>
        <w:rPr>
          <w:b/>
          <w:lang w:eastAsia="ja-JP" w:bidi="hi-IN"/>
        </w:rPr>
      </w:pPr>
      <w:r w:rsidRPr="00423CCE">
        <w:t>For example, currently the only reason for holding containers given to ICS by S-Cargo is for giant African snails, which then leads to directions to industry to apply salt rings and/or snail baits to all high external risk containers or break</w:t>
      </w:r>
      <w:r w:rsidR="00006185" w:rsidRPr="00423CCE">
        <w:t>-</w:t>
      </w:r>
      <w:r w:rsidRPr="00423CCE">
        <w:t>bulk cargo. When other hold reasons can be applied, more appropriate interventions may be prescribed to manage different risks.</w:t>
      </w:r>
    </w:p>
    <w:p w14:paraId="745C1493" w14:textId="1C6DA5B1" w:rsidR="00AB0E44" w:rsidRDefault="00361FA3">
      <w:r>
        <w:rPr>
          <w:lang w:eastAsia="ja-JP"/>
        </w:rPr>
        <w:t xml:space="preserve">Containers from CAL countries destined for rural postcodes also require rural tailgate inspections at the wharf or an approved arrangement site. S-Cargo could be enhanced to reduce the duplication of separate CAL and rural tailgate inspections. Unfortunately, this enhancement is </w:t>
      </w:r>
      <w:r>
        <w:t>out of scope for the S-Cargo enhancement project without further funding.</w:t>
      </w:r>
    </w:p>
    <w:p w14:paraId="0B8E3235" w14:textId="77777777" w:rsidR="00AB0E44" w:rsidRDefault="00361FA3" w:rsidP="005721A3">
      <w:pPr>
        <w:pStyle w:val="Caption"/>
        <w:spacing w:before="240"/>
        <w:rPr>
          <w:rFonts w:ascii="Calibri" w:hAnsi="Calibri"/>
        </w:rPr>
      </w:pPr>
      <w:r>
        <w:t xml:space="preserve">Recommendation </w:t>
      </w:r>
      <w:r w:rsidR="00F21B3D">
        <w:rPr>
          <w:noProof/>
        </w:rPr>
        <w:fldChar w:fldCharType="begin"/>
      </w:r>
      <w:r w:rsidR="00F21B3D">
        <w:rPr>
          <w:noProof/>
        </w:rPr>
        <w:instrText xml:space="preserve"> SEQ Recommendation \* ARABIC </w:instrText>
      </w:r>
      <w:r w:rsidR="00F21B3D">
        <w:rPr>
          <w:noProof/>
        </w:rPr>
        <w:fldChar w:fldCharType="separate"/>
      </w:r>
      <w:r w:rsidR="007F78D8">
        <w:rPr>
          <w:noProof/>
        </w:rPr>
        <w:t>2</w:t>
      </w:r>
      <w:r w:rsidR="00F21B3D">
        <w:rPr>
          <w:noProof/>
        </w:rPr>
        <w:fldChar w:fldCharType="end"/>
      </w:r>
    </w:p>
    <w:p w14:paraId="7FC620EF" w14:textId="30E84358" w:rsidR="008F735C" w:rsidRDefault="008F735C" w:rsidP="008E69C3">
      <w:pPr>
        <w:pStyle w:val="BoxText"/>
        <w:rPr>
          <w:bCs/>
        </w:rPr>
      </w:pPr>
      <w:r w:rsidRPr="008F735C">
        <w:rPr>
          <w:bCs/>
        </w:rPr>
        <w:t xml:space="preserve">The department should expedite the </w:t>
      </w:r>
      <w:r w:rsidRPr="008E69C3">
        <w:t>upgrading</w:t>
      </w:r>
      <w:r w:rsidRPr="008F735C">
        <w:rPr>
          <w:bCs/>
        </w:rPr>
        <w:t xml:space="preserve"> of the S-Cargo software system so it can better manage container and cargo contamination risks, including rural tailgate container</w:t>
      </w:r>
      <w:r>
        <w:rPr>
          <w:bCs/>
        </w:rPr>
        <w:t xml:space="preserve"> </w:t>
      </w:r>
      <w:r w:rsidRPr="008F735C">
        <w:rPr>
          <w:bCs/>
        </w:rPr>
        <w:t>inspections.</w:t>
      </w:r>
    </w:p>
    <w:p w14:paraId="510A9609" w14:textId="77777777" w:rsidR="002F1C95" w:rsidRDefault="00361FA3" w:rsidP="002F1C95">
      <w:pPr>
        <w:pStyle w:val="BoxText"/>
      </w:pPr>
      <w:r>
        <w:rPr>
          <w:b/>
        </w:rPr>
        <w:t>Department’s response:</w:t>
      </w:r>
      <w:r w:rsidR="002F1C95">
        <w:t xml:space="preserve"> Agreed.</w:t>
      </w:r>
    </w:p>
    <w:p w14:paraId="5EC61FA3" w14:textId="1E2AC498" w:rsidR="00AB0E44" w:rsidRPr="002F1C95" w:rsidRDefault="002F1C95" w:rsidP="002F1C95">
      <w:pPr>
        <w:pStyle w:val="BoxText"/>
      </w:pPr>
      <w:r>
        <w:t>The department is progressing the enhancements to the S-Cargo software system as a priority. These enhancements will strengthen the department’s ability to manage the biosecurity risks entering Australia on the surfaces of sea containers and breakbulk cargo. However, the department’s ability to better manage container risks is also reliant on the progression of profile changes in the Integrated Cargo System (ICS). As rural tailgate inspections cannot be managed through the S-Cargo system, the department is considering enhancements to the Agriculture Import Management Systems (AIMS) to implement reforms to rural tailgate inspections. In addition, the department is developing a mobile tailgate application for inspectors to capture inspection results.</w:t>
      </w:r>
    </w:p>
    <w:p w14:paraId="71B898E3" w14:textId="77777777" w:rsidR="00AB0E44" w:rsidRDefault="00361FA3">
      <w:pPr>
        <w:pStyle w:val="Heading4"/>
        <w:keepNext/>
        <w:spacing w:before="360"/>
        <w:ind w:left="992" w:hanging="992"/>
      </w:pPr>
      <w:r>
        <w:rPr>
          <w:lang w:val="en-AU"/>
        </w:rPr>
        <w:t>Expanding the Sea Container Hygiene System</w:t>
      </w:r>
    </w:p>
    <w:p w14:paraId="51CE3327" w14:textId="2E2617E2" w:rsidR="00AB0E44" w:rsidRDefault="00361FA3">
      <w:pPr>
        <w:keepNext/>
        <w:rPr>
          <w:lang w:eastAsia="en-AU"/>
        </w:rPr>
      </w:pPr>
      <w:r>
        <w:t xml:space="preserve">Management of risks offshore gives the highest level of protection to Australia. </w:t>
      </w:r>
      <w:r>
        <w:rPr>
          <w:lang w:eastAsia="en-AU"/>
        </w:rPr>
        <w:t>The department is actively pursuing opportunities to expand SCHS to other ports and countries. Based on the level of interest, it is estimated that a further six Pacific countries might adopt SCHS over the next 10 years. However, this depends on</w:t>
      </w:r>
      <w:r w:rsidR="00C1280F">
        <w:rPr>
          <w:lang w:eastAsia="en-AU"/>
        </w:rPr>
        <w:t>:</w:t>
      </w:r>
      <w:r>
        <w:rPr>
          <w:lang w:eastAsia="en-AU"/>
        </w:rPr>
        <w:t xml:space="preserve"> the availability of departmental staff to </w:t>
      </w:r>
      <w:r w:rsidRPr="00423CCE">
        <w:rPr>
          <w:lang w:eastAsia="en-AU"/>
        </w:rPr>
        <w:t xml:space="preserve">negotiate such expansion </w:t>
      </w:r>
      <w:r w:rsidR="00C1280F">
        <w:rPr>
          <w:lang w:eastAsia="en-AU"/>
        </w:rPr>
        <w:t xml:space="preserve">of the SCHS </w:t>
      </w:r>
      <w:r w:rsidRPr="00423CCE">
        <w:rPr>
          <w:lang w:eastAsia="en-AU"/>
        </w:rPr>
        <w:t>with</w:t>
      </w:r>
      <w:r>
        <w:rPr>
          <w:lang w:eastAsia="en-AU"/>
        </w:rPr>
        <w:t xml:space="preserve"> all relevant parties</w:t>
      </w:r>
      <w:r w:rsidR="00A65B84">
        <w:rPr>
          <w:lang w:eastAsia="en-AU"/>
        </w:rPr>
        <w:t>;</w:t>
      </w:r>
      <w:r>
        <w:rPr>
          <w:lang w:eastAsia="en-AU"/>
        </w:rPr>
        <w:t xml:space="preserve"> industry take-up</w:t>
      </w:r>
      <w:r w:rsidR="00A65B84">
        <w:rPr>
          <w:lang w:eastAsia="en-AU"/>
        </w:rPr>
        <w:t>;</w:t>
      </w:r>
      <w:r>
        <w:rPr>
          <w:lang w:eastAsia="en-AU"/>
        </w:rPr>
        <w:t xml:space="preserve"> and the ability of S-Cargo to handle the new data. In initial informal discussions, our major trading partners China and </w:t>
      </w:r>
      <w:r w:rsidR="00423CCE">
        <w:rPr>
          <w:lang w:eastAsia="en-AU"/>
        </w:rPr>
        <w:t xml:space="preserve">the </w:t>
      </w:r>
      <w:r>
        <w:rPr>
          <w:lang w:eastAsia="en-AU"/>
        </w:rPr>
        <w:t>US have also each expressed some interest in SCHS.</w:t>
      </w:r>
    </w:p>
    <w:p w14:paraId="6E8D2E37" w14:textId="77777777" w:rsidR="00AB0E44" w:rsidRDefault="00361FA3" w:rsidP="005721A3">
      <w:pPr>
        <w:pStyle w:val="Caption"/>
        <w:spacing w:before="240"/>
      </w:pPr>
      <w:r>
        <w:t xml:space="preserve">Recommendation </w:t>
      </w:r>
      <w:r w:rsidR="00F21B3D">
        <w:rPr>
          <w:noProof/>
        </w:rPr>
        <w:fldChar w:fldCharType="begin"/>
      </w:r>
      <w:r w:rsidR="00F21B3D">
        <w:rPr>
          <w:noProof/>
        </w:rPr>
        <w:instrText xml:space="preserve"> SEQ Recommendation \* ARABIC </w:instrText>
      </w:r>
      <w:r w:rsidR="00F21B3D">
        <w:rPr>
          <w:noProof/>
        </w:rPr>
        <w:fldChar w:fldCharType="separate"/>
      </w:r>
      <w:r w:rsidR="007F78D8">
        <w:rPr>
          <w:noProof/>
        </w:rPr>
        <w:t>3</w:t>
      </w:r>
      <w:r w:rsidR="00F21B3D">
        <w:rPr>
          <w:noProof/>
        </w:rPr>
        <w:fldChar w:fldCharType="end"/>
      </w:r>
    </w:p>
    <w:p w14:paraId="3932E606" w14:textId="3C1EE620" w:rsidR="00AB0E44" w:rsidRPr="008E69C3" w:rsidRDefault="00361FA3" w:rsidP="008E69C3">
      <w:pPr>
        <w:pStyle w:val="BoxText"/>
      </w:pPr>
      <w:r w:rsidRPr="008E69C3">
        <w:t>The department should</w:t>
      </w:r>
      <w:r w:rsidR="00A6322D" w:rsidRPr="008E69C3">
        <w:t xml:space="preserve"> prioritise </w:t>
      </w:r>
      <w:r w:rsidRPr="008E69C3">
        <w:t>allocat</w:t>
      </w:r>
      <w:r w:rsidR="00A6322D" w:rsidRPr="008E69C3">
        <w:t>ing</w:t>
      </w:r>
      <w:r w:rsidRPr="008E69C3">
        <w:t xml:space="preserve"> resources to </w:t>
      </w:r>
      <w:r w:rsidR="00A6322D" w:rsidRPr="008E69C3">
        <w:t xml:space="preserve">expand </w:t>
      </w:r>
      <w:r w:rsidRPr="008E69C3">
        <w:t>the Sea Container Hygiene System</w:t>
      </w:r>
      <w:r w:rsidR="00A6322D" w:rsidRPr="008E69C3">
        <w:t>,</w:t>
      </w:r>
      <w:r w:rsidRPr="008E69C3">
        <w:t xml:space="preserve"> to </w:t>
      </w:r>
      <w:r w:rsidR="00A6322D" w:rsidRPr="008E69C3">
        <w:t xml:space="preserve">enable better offshore management of sea container biosecurity </w:t>
      </w:r>
      <w:r w:rsidRPr="008E69C3">
        <w:t xml:space="preserve">risks </w:t>
      </w:r>
      <w:r w:rsidR="00A6322D" w:rsidRPr="008E69C3">
        <w:t>from more countries and ports</w:t>
      </w:r>
      <w:r w:rsidRPr="008E69C3">
        <w:t>.</w:t>
      </w:r>
    </w:p>
    <w:p w14:paraId="4B5FEED3" w14:textId="77777777" w:rsidR="002F1C95" w:rsidRDefault="00361FA3" w:rsidP="002F1C95">
      <w:pPr>
        <w:pStyle w:val="BoxText"/>
      </w:pPr>
      <w:r w:rsidRPr="008E69C3">
        <w:rPr>
          <w:b/>
        </w:rPr>
        <w:t>Department’s response:</w:t>
      </w:r>
      <w:r w:rsidR="002F1C95">
        <w:t xml:space="preserve"> Agreed.</w:t>
      </w:r>
    </w:p>
    <w:p w14:paraId="70AF3956" w14:textId="3A5A045F" w:rsidR="00AB0E44" w:rsidRPr="00522784" w:rsidRDefault="002F1C95" w:rsidP="002F1C95">
      <w:pPr>
        <w:pStyle w:val="BoxText"/>
      </w:pPr>
      <w:r>
        <w:t>The department will ensure adequate resources are allocated to prioritise expansion of the Sea Container Hygiene System (SCHS) to more countries and ports. However, the uptake of SCHS is dependent on the level of interest shown by industry and overseas government agencies.</w:t>
      </w:r>
    </w:p>
    <w:p w14:paraId="28587EB8" w14:textId="77777777" w:rsidR="0077196B" w:rsidRDefault="0077196B">
      <w:pPr>
        <w:tabs>
          <w:tab w:val="clear" w:pos="567"/>
        </w:tabs>
        <w:spacing w:before="0" w:after="0"/>
        <w:rPr>
          <w:rFonts w:eastAsia="Times New Roman" w:cs="Mangal"/>
          <w:b/>
          <w:bCs/>
          <w:sz w:val="28"/>
          <w:lang w:val="x-none" w:eastAsia="x-none" w:bidi="hi-IN"/>
        </w:rPr>
      </w:pPr>
      <w:r>
        <w:br w:type="page"/>
      </w:r>
    </w:p>
    <w:p w14:paraId="0D378B30" w14:textId="571A55C0" w:rsidR="00AB0E44" w:rsidRDefault="00361FA3">
      <w:pPr>
        <w:pStyle w:val="Heading4"/>
        <w:spacing w:before="360"/>
        <w:ind w:left="992" w:hanging="992"/>
      </w:pPr>
      <w:r>
        <w:t>Rethinking sea container inspection and washing</w:t>
      </w:r>
    </w:p>
    <w:p w14:paraId="26E35621" w14:textId="05AD4819" w:rsidR="00AB0E44" w:rsidRDefault="00A65B84">
      <w:pPr>
        <w:rPr>
          <w:lang w:eastAsia="en-AU"/>
        </w:rPr>
      </w:pPr>
      <w:r>
        <w:rPr>
          <w:lang w:eastAsia="en-AU"/>
        </w:rPr>
        <w:t>C</w:t>
      </w:r>
      <w:r w:rsidR="00361FA3">
        <w:rPr>
          <w:lang w:eastAsia="en-AU"/>
        </w:rPr>
        <w:t>ontainer inspection and cleaning will need</w:t>
      </w:r>
      <w:r>
        <w:rPr>
          <w:lang w:eastAsia="en-AU"/>
        </w:rPr>
        <w:t xml:space="preserve"> to be more automated</w:t>
      </w:r>
      <w:r w:rsidR="00361FA3">
        <w:rPr>
          <w:lang w:eastAsia="en-AU"/>
        </w:rPr>
        <w:t xml:space="preserve">. </w:t>
      </w:r>
      <w:r>
        <w:rPr>
          <w:lang w:eastAsia="en-AU"/>
        </w:rPr>
        <w:t>The number of sea containers</w:t>
      </w:r>
      <w:r w:rsidR="00361FA3">
        <w:rPr>
          <w:lang w:eastAsia="en-AU"/>
        </w:rPr>
        <w:t xml:space="preserve"> entering Australia </w:t>
      </w:r>
      <w:r>
        <w:rPr>
          <w:lang w:eastAsia="en-AU"/>
        </w:rPr>
        <w:t xml:space="preserve">has </w:t>
      </w:r>
      <w:r w:rsidR="00361FA3">
        <w:rPr>
          <w:lang w:eastAsia="en-AU"/>
        </w:rPr>
        <w:t>been rising steadily</w:t>
      </w:r>
      <w:r>
        <w:rPr>
          <w:lang w:eastAsia="en-AU"/>
        </w:rPr>
        <w:t>,</w:t>
      </w:r>
      <w:r w:rsidR="00361FA3">
        <w:rPr>
          <w:lang w:eastAsia="en-AU"/>
        </w:rPr>
        <w:t xml:space="preserve"> and this is projected to continue. The cumbersome current inspection and cleaning regimes will not be able to cope with these expected volumes and the development of ever-faster cargo transport systems. </w:t>
      </w:r>
      <w:r w:rsidR="00361FA3" w:rsidRPr="00423CCE">
        <w:rPr>
          <w:lang w:eastAsia="en-AU"/>
        </w:rPr>
        <w:t>New automated methods of container inspection and cleaning could improve the efficiency and effectiveness of the whole system</w:t>
      </w:r>
      <w:r w:rsidR="00423CCE">
        <w:rPr>
          <w:lang w:eastAsia="en-AU"/>
        </w:rPr>
        <w:t>.</w:t>
      </w:r>
      <w:r w:rsidR="00361FA3" w:rsidRPr="00423CCE">
        <w:rPr>
          <w:lang w:eastAsia="en-AU"/>
        </w:rPr>
        <w:t xml:space="preserve"> </w:t>
      </w:r>
      <w:r w:rsidR="00423CCE">
        <w:rPr>
          <w:lang w:eastAsia="en-AU"/>
        </w:rPr>
        <w:t xml:space="preserve">Industry and government </w:t>
      </w:r>
      <w:r w:rsidR="00361FA3" w:rsidRPr="00423CCE">
        <w:rPr>
          <w:lang w:eastAsia="en-AU"/>
        </w:rPr>
        <w:t xml:space="preserve">should pursue </w:t>
      </w:r>
      <w:r w:rsidR="00423CCE">
        <w:rPr>
          <w:lang w:eastAsia="en-AU"/>
        </w:rPr>
        <w:t xml:space="preserve">this </w:t>
      </w:r>
      <w:r w:rsidR="00361FA3" w:rsidRPr="00423CCE">
        <w:rPr>
          <w:lang w:eastAsia="en-AU"/>
        </w:rPr>
        <w:t>as a priority.</w:t>
      </w:r>
    </w:p>
    <w:p w14:paraId="7A6BF179" w14:textId="3D85567E" w:rsidR="00AB0E44" w:rsidRDefault="006653BB">
      <w:pPr>
        <w:rPr>
          <w:lang w:eastAsia="en-AU"/>
        </w:rPr>
      </w:pPr>
      <w:r>
        <w:rPr>
          <w:b/>
          <w:lang w:eastAsia="en-AU"/>
        </w:rPr>
        <w:t>Improving inspection efficiency</w:t>
      </w:r>
      <w:r>
        <w:rPr>
          <w:lang w:eastAsia="en-AU"/>
        </w:rPr>
        <w:t>—</w:t>
      </w:r>
      <w:r w:rsidR="00361FA3">
        <w:rPr>
          <w:lang w:eastAsia="en-AU"/>
        </w:rPr>
        <w:t>External inspections of containers by biosecurity officers are difficult, tedious and time consuming and must be carried out in all weather</w:t>
      </w:r>
      <w:r w:rsidR="00A65B84">
        <w:rPr>
          <w:lang w:eastAsia="en-AU"/>
        </w:rPr>
        <w:t>.</w:t>
      </w:r>
      <w:r w:rsidR="00361FA3">
        <w:rPr>
          <w:lang w:eastAsia="en-AU"/>
        </w:rPr>
        <w:t xml:space="preserve"> </w:t>
      </w:r>
      <w:r w:rsidR="00A65B84">
        <w:rPr>
          <w:lang w:eastAsia="en-AU"/>
        </w:rPr>
        <w:t xml:space="preserve">This has work health and </w:t>
      </w:r>
      <w:r w:rsidR="00361FA3">
        <w:rPr>
          <w:lang w:eastAsia="en-AU"/>
        </w:rPr>
        <w:t>safety impacts</w:t>
      </w:r>
      <w:r w:rsidR="00A65B84">
        <w:rPr>
          <w:lang w:eastAsia="en-AU"/>
        </w:rPr>
        <w:t xml:space="preserve"> on biosecurity officers</w:t>
      </w:r>
      <w:r w:rsidR="00361FA3">
        <w:rPr>
          <w:lang w:eastAsia="en-AU"/>
        </w:rPr>
        <w:t xml:space="preserve">. </w:t>
      </w:r>
      <w:r w:rsidR="00A65B84">
        <w:rPr>
          <w:lang w:eastAsia="en-AU"/>
        </w:rPr>
        <w:t>Also, e</w:t>
      </w:r>
      <w:r w:rsidR="00361FA3">
        <w:rPr>
          <w:lang w:eastAsia="en-AU"/>
        </w:rPr>
        <w:t>ven with intensive inspection of crevices where small insect pests may hide, some may be missed. Wharf</w:t>
      </w:r>
      <w:r w:rsidR="00E94C59">
        <w:rPr>
          <w:lang w:eastAsia="en-AU"/>
        </w:rPr>
        <w:t>-</w:t>
      </w:r>
      <w:r w:rsidR="00361FA3">
        <w:rPr>
          <w:lang w:eastAsia="en-AU"/>
        </w:rPr>
        <w:t>gate inspections are far less efficient and are only likely to detect gross soil contamination or large pests such as giant African snails</w:t>
      </w:r>
      <w:r w:rsidR="00A65B84">
        <w:rPr>
          <w:lang w:eastAsia="en-AU"/>
        </w:rPr>
        <w:t>.</w:t>
      </w:r>
      <w:r w:rsidR="00361FA3">
        <w:rPr>
          <w:lang w:eastAsia="en-AU"/>
        </w:rPr>
        <w:t xml:space="preserve"> </w:t>
      </w:r>
      <w:r w:rsidR="00A65B84">
        <w:rPr>
          <w:lang w:eastAsia="en-AU"/>
        </w:rPr>
        <w:t>A</w:t>
      </w:r>
      <w:r w:rsidR="00361FA3">
        <w:rPr>
          <w:lang w:eastAsia="en-AU"/>
        </w:rPr>
        <w:t xml:space="preserve">nts and other small pests </w:t>
      </w:r>
      <w:r w:rsidR="00A65B84">
        <w:rPr>
          <w:lang w:eastAsia="en-AU"/>
        </w:rPr>
        <w:t xml:space="preserve">can </w:t>
      </w:r>
      <w:r w:rsidR="00361FA3">
        <w:rPr>
          <w:lang w:eastAsia="en-AU"/>
        </w:rPr>
        <w:t>remain hidden on the underside or in crevices.</w:t>
      </w:r>
    </w:p>
    <w:p w14:paraId="1A1BA5B9" w14:textId="77777777" w:rsidR="00AB0E44" w:rsidRDefault="00361FA3">
      <w:pPr>
        <w:rPr>
          <w:lang w:eastAsia="en-AU"/>
        </w:rPr>
      </w:pPr>
      <w:r>
        <w:rPr>
          <w:lang w:eastAsia="en-AU"/>
        </w:rPr>
        <w:t>There is an increase in automated container handling at major ports, especially Sydney, Melbourne and Brisbane. Movement of containers within some wharf precincts at Sydney and Brisbane is now done by robots, all controlled from Sydney.</w:t>
      </w:r>
    </w:p>
    <w:p w14:paraId="31B159F0" w14:textId="67D61D9A" w:rsidR="00AB0E44" w:rsidRDefault="00361FA3">
      <w:pPr>
        <w:rPr>
          <w:lang w:eastAsia="en-AU"/>
        </w:rPr>
      </w:pPr>
      <w:r>
        <w:rPr>
          <w:lang w:eastAsia="en-AU"/>
        </w:rPr>
        <w:t>Automated solutions for more efficient and effective external container inspection are being researched at present, but none are yet available. The department has commissioned CSIRO to investigate automated options to detect external contamination</w:t>
      </w:r>
      <w:r w:rsidR="00A65B84">
        <w:rPr>
          <w:lang w:eastAsia="en-AU"/>
        </w:rPr>
        <w:t xml:space="preserve">—for example, </w:t>
      </w:r>
      <w:r>
        <w:rPr>
          <w:lang w:eastAsia="en-AU"/>
        </w:rPr>
        <w:t>surveillance cameras</w:t>
      </w:r>
      <w:r w:rsidR="00A65B84">
        <w:rPr>
          <w:lang w:eastAsia="en-AU"/>
        </w:rPr>
        <w:t xml:space="preserve"> </w:t>
      </w:r>
      <w:r>
        <w:rPr>
          <w:lang w:eastAsia="en-AU"/>
        </w:rPr>
        <w:t xml:space="preserve">could be attached to drones or to the robots </w:t>
      </w:r>
      <w:r w:rsidR="00A65B84">
        <w:rPr>
          <w:lang w:eastAsia="en-AU"/>
        </w:rPr>
        <w:t xml:space="preserve">that </w:t>
      </w:r>
      <w:r>
        <w:rPr>
          <w:lang w:eastAsia="en-AU"/>
        </w:rPr>
        <w:t>currently move containers around wharves at larger ports.</w:t>
      </w:r>
    </w:p>
    <w:p w14:paraId="7BD41AB6" w14:textId="2111C302" w:rsidR="00AB0E44" w:rsidRDefault="006653BB" w:rsidP="00831167">
      <w:pPr>
        <w:rPr>
          <w:lang w:eastAsia="en-AU"/>
        </w:rPr>
      </w:pPr>
      <w:r>
        <w:rPr>
          <w:b/>
          <w:lang w:eastAsia="en-AU"/>
        </w:rPr>
        <w:t>Reducing stockpiling of high-risk containers at wharves</w:t>
      </w:r>
      <w:r w:rsidRPr="007F456F">
        <w:rPr>
          <w:lang w:eastAsia="en-AU"/>
        </w:rPr>
        <w:t>—</w:t>
      </w:r>
      <w:r w:rsidR="00361FA3">
        <w:rPr>
          <w:lang w:eastAsia="en-AU"/>
        </w:rPr>
        <w:t xml:space="preserve">Stevedores may stockpile potentially contaminated containers on the wharf </w:t>
      </w:r>
      <w:r w:rsidR="00361FA3">
        <w:rPr>
          <w:lang w:eastAsia="ja-JP"/>
        </w:rPr>
        <w:t xml:space="preserve">until it is practical or operationally efficient to present them for inspection. </w:t>
      </w:r>
      <w:r w:rsidR="00A65B84">
        <w:rPr>
          <w:lang w:eastAsia="en-AU"/>
        </w:rPr>
        <w:t>By surrounding these containers with a ring of salt, s</w:t>
      </w:r>
      <w:r w:rsidR="00361FA3">
        <w:rPr>
          <w:lang w:eastAsia="en-AU"/>
        </w:rPr>
        <w:t xml:space="preserve">nails and slugs </w:t>
      </w:r>
      <w:r w:rsidR="00A65B84">
        <w:rPr>
          <w:lang w:eastAsia="en-AU"/>
        </w:rPr>
        <w:t xml:space="preserve">may be effectively prevented </w:t>
      </w:r>
      <w:r w:rsidR="00361FA3">
        <w:rPr>
          <w:lang w:eastAsia="en-AU"/>
        </w:rPr>
        <w:t>from leaving the area</w:t>
      </w:r>
      <w:r w:rsidR="00A65B84">
        <w:rPr>
          <w:lang w:eastAsia="en-AU"/>
        </w:rPr>
        <w:t>.</w:t>
      </w:r>
      <w:r w:rsidR="00361FA3">
        <w:rPr>
          <w:lang w:eastAsia="en-AU"/>
        </w:rPr>
        <w:t xml:space="preserve"> </w:t>
      </w:r>
      <w:r w:rsidR="00A65B84">
        <w:rPr>
          <w:lang w:eastAsia="en-AU"/>
        </w:rPr>
        <w:t xml:space="preserve">However, this </w:t>
      </w:r>
      <w:r w:rsidR="00361FA3">
        <w:rPr>
          <w:lang w:eastAsia="en-AU"/>
        </w:rPr>
        <w:t>may not be effective against other pests</w:t>
      </w:r>
      <w:r w:rsidR="00A65B84">
        <w:rPr>
          <w:lang w:eastAsia="en-AU"/>
        </w:rPr>
        <w:t>,</w:t>
      </w:r>
      <w:r w:rsidR="00361FA3">
        <w:rPr>
          <w:lang w:eastAsia="en-AU"/>
        </w:rPr>
        <w:t xml:space="preserve"> such as ants. </w:t>
      </w:r>
      <w:r w:rsidR="00A65B84">
        <w:rPr>
          <w:lang w:eastAsia="ja-JP"/>
        </w:rPr>
        <w:t xml:space="preserve">Therefore, there is a risk that </w:t>
      </w:r>
      <w:r w:rsidR="00361FA3">
        <w:rPr>
          <w:lang w:eastAsia="en-AU"/>
        </w:rPr>
        <w:t xml:space="preserve">external hitchhiker pests </w:t>
      </w:r>
      <w:r w:rsidR="00A65B84">
        <w:rPr>
          <w:lang w:eastAsia="en-AU"/>
        </w:rPr>
        <w:t xml:space="preserve">can </w:t>
      </w:r>
      <w:r w:rsidR="00361FA3">
        <w:rPr>
          <w:lang w:eastAsia="en-AU"/>
        </w:rPr>
        <w:t>escap</w:t>
      </w:r>
      <w:r w:rsidR="00A65B84">
        <w:rPr>
          <w:lang w:eastAsia="en-AU"/>
        </w:rPr>
        <w:t>e</w:t>
      </w:r>
      <w:r w:rsidR="00361FA3">
        <w:rPr>
          <w:lang w:eastAsia="en-AU"/>
        </w:rPr>
        <w:t xml:space="preserve"> to nearby environments</w:t>
      </w:r>
      <w:r w:rsidR="00A65B84">
        <w:rPr>
          <w:lang w:eastAsia="en-AU"/>
        </w:rPr>
        <w:t xml:space="preserve">. For example, in </w:t>
      </w:r>
      <w:r w:rsidR="00361FA3">
        <w:rPr>
          <w:lang w:eastAsia="en-AU"/>
        </w:rPr>
        <w:t xml:space="preserve">2014 </w:t>
      </w:r>
      <w:r w:rsidR="00A65B84">
        <w:rPr>
          <w:lang w:eastAsia="en-AU"/>
        </w:rPr>
        <w:t xml:space="preserve">a </w:t>
      </w:r>
      <w:r w:rsidR="00361FA3">
        <w:rPr>
          <w:lang w:eastAsia="en-AU"/>
        </w:rPr>
        <w:t>red imported fire ant</w:t>
      </w:r>
      <w:r w:rsidR="00A65B84">
        <w:rPr>
          <w:lang w:eastAsia="en-AU"/>
        </w:rPr>
        <w:t xml:space="preserve"> nest</w:t>
      </w:r>
      <w:r w:rsidR="00361FA3">
        <w:rPr>
          <w:lang w:eastAsia="en-AU"/>
        </w:rPr>
        <w:t xml:space="preserve"> </w:t>
      </w:r>
      <w:r w:rsidR="00A65B84">
        <w:rPr>
          <w:lang w:eastAsia="en-AU"/>
        </w:rPr>
        <w:t xml:space="preserve">was </w:t>
      </w:r>
      <w:r w:rsidR="00361FA3">
        <w:rPr>
          <w:lang w:eastAsia="en-AU"/>
        </w:rPr>
        <w:t xml:space="preserve">found on a public road verge </w:t>
      </w:r>
      <w:r w:rsidR="00A65B84">
        <w:rPr>
          <w:lang w:eastAsia="en-AU"/>
        </w:rPr>
        <w:t xml:space="preserve">in Sydney </w:t>
      </w:r>
      <w:r w:rsidR="00361FA3">
        <w:rPr>
          <w:lang w:eastAsia="en-AU"/>
        </w:rPr>
        <w:t>just outside the high</w:t>
      </w:r>
      <w:r w:rsidR="00A65B84">
        <w:rPr>
          <w:lang w:eastAsia="en-AU"/>
        </w:rPr>
        <w:t>-</w:t>
      </w:r>
      <w:r w:rsidR="00361FA3">
        <w:rPr>
          <w:lang w:eastAsia="en-AU"/>
        </w:rPr>
        <w:t>risk container holding area of Port Botany</w:t>
      </w:r>
      <w:r w:rsidR="00A65B84">
        <w:rPr>
          <w:lang w:eastAsia="en-AU"/>
        </w:rPr>
        <w:t>.</w:t>
      </w:r>
      <w:r w:rsidR="00361FA3">
        <w:rPr>
          <w:lang w:eastAsia="en-AU"/>
        </w:rPr>
        <w:t xml:space="preserve"> </w:t>
      </w:r>
      <w:r w:rsidR="00A65B84">
        <w:rPr>
          <w:lang w:eastAsia="en-AU"/>
        </w:rPr>
        <w:t xml:space="preserve">This </w:t>
      </w:r>
      <w:r w:rsidR="00361FA3">
        <w:rPr>
          <w:lang w:eastAsia="en-AU"/>
        </w:rPr>
        <w:t xml:space="preserve">illustrates a previous failure to manage this risk, </w:t>
      </w:r>
      <w:r w:rsidR="00A65B84">
        <w:rPr>
          <w:lang w:eastAsia="en-AU"/>
        </w:rPr>
        <w:t xml:space="preserve">and it </w:t>
      </w:r>
      <w:r w:rsidR="00361FA3">
        <w:rPr>
          <w:lang w:eastAsia="en-AU"/>
        </w:rPr>
        <w:t xml:space="preserve">could well happen again. </w:t>
      </w:r>
      <w:r w:rsidR="00A65B84">
        <w:rPr>
          <w:lang w:eastAsia="en-AU"/>
        </w:rPr>
        <w:t xml:space="preserve">Therefore, the practice of </w:t>
      </w:r>
      <w:r w:rsidR="00361FA3">
        <w:rPr>
          <w:lang w:eastAsia="en-AU"/>
        </w:rPr>
        <w:t xml:space="preserve">stockpiling containers for any length of time </w:t>
      </w:r>
      <w:r w:rsidR="00A65B84">
        <w:rPr>
          <w:lang w:eastAsia="en-AU"/>
        </w:rPr>
        <w:t xml:space="preserve">before inspection </w:t>
      </w:r>
      <w:r w:rsidR="00361FA3">
        <w:rPr>
          <w:lang w:eastAsia="en-AU"/>
        </w:rPr>
        <w:t>should be minimised.</w:t>
      </w:r>
    </w:p>
    <w:p w14:paraId="13119FBF" w14:textId="056C2694" w:rsidR="00AB0E44" w:rsidRDefault="006653BB">
      <w:pPr>
        <w:rPr>
          <w:lang w:eastAsia="en-AU"/>
        </w:rPr>
      </w:pPr>
      <w:r>
        <w:rPr>
          <w:b/>
          <w:lang w:eastAsia="en-AU"/>
        </w:rPr>
        <w:t>Automating container cleaning</w:t>
      </w:r>
      <w:r w:rsidRPr="000008BF">
        <w:rPr>
          <w:lang w:eastAsia="en-AU"/>
        </w:rPr>
        <w:t>—</w:t>
      </w:r>
      <w:proofErr w:type="gramStart"/>
      <w:r w:rsidR="00A65B84">
        <w:rPr>
          <w:lang w:eastAsia="en-AU"/>
        </w:rPr>
        <w:t>E</w:t>
      </w:r>
      <w:r w:rsidR="00361FA3">
        <w:rPr>
          <w:lang w:eastAsia="en-AU"/>
        </w:rPr>
        <w:t>xternally</w:t>
      </w:r>
      <w:proofErr w:type="gramEnd"/>
      <w:r w:rsidR="00361FA3">
        <w:rPr>
          <w:lang w:eastAsia="en-AU"/>
        </w:rPr>
        <w:t xml:space="preserve"> contaminated containers found at major ports are normally referred to approved facilities near major ports for washing and re-inspection. </w:t>
      </w:r>
      <w:r w:rsidR="00361FA3">
        <w:rPr>
          <w:lang w:eastAsia="ja-JP"/>
        </w:rPr>
        <w:t>These facilities are already crowded and busy</w:t>
      </w:r>
      <w:r w:rsidR="00A65B84">
        <w:rPr>
          <w:lang w:eastAsia="ja-JP"/>
        </w:rPr>
        <w:t>.</w:t>
      </w:r>
      <w:r w:rsidR="00361FA3">
        <w:rPr>
          <w:lang w:eastAsia="ja-JP"/>
        </w:rPr>
        <w:t xml:space="preserve"> </w:t>
      </w:r>
      <w:r w:rsidR="00A65B84">
        <w:rPr>
          <w:lang w:eastAsia="ja-JP"/>
        </w:rPr>
        <w:t xml:space="preserve">They </w:t>
      </w:r>
      <w:r w:rsidR="00361FA3">
        <w:rPr>
          <w:lang w:eastAsia="ja-JP"/>
        </w:rPr>
        <w:t xml:space="preserve">will be put under extreme pressure if there is a major increase in </w:t>
      </w:r>
      <w:r w:rsidR="00A65B84">
        <w:rPr>
          <w:lang w:eastAsia="ja-JP"/>
        </w:rPr>
        <w:t xml:space="preserve">the number of </w:t>
      </w:r>
      <w:r w:rsidR="00361FA3">
        <w:rPr>
          <w:lang w:eastAsia="ja-JP"/>
        </w:rPr>
        <w:t xml:space="preserve">contaminated containers </w:t>
      </w:r>
      <w:r w:rsidR="00A65B84">
        <w:rPr>
          <w:lang w:eastAsia="ja-JP"/>
        </w:rPr>
        <w:t xml:space="preserve">that are </w:t>
      </w:r>
      <w:r w:rsidR="00361FA3">
        <w:rPr>
          <w:lang w:eastAsia="ja-JP"/>
        </w:rPr>
        <w:t xml:space="preserve">detected, as projected in the IRCM modelling. </w:t>
      </w:r>
      <w:r w:rsidR="00361FA3">
        <w:rPr>
          <w:lang w:eastAsia="en-AU"/>
        </w:rPr>
        <w:t>From a biosecurity risk management perspective, it would be highly desirable to install automated high-pressure container cleaning facilities so that high</w:t>
      </w:r>
      <w:r w:rsidR="00A65B84">
        <w:rPr>
          <w:lang w:eastAsia="en-AU"/>
        </w:rPr>
        <w:t>-</w:t>
      </w:r>
      <w:r w:rsidR="00361FA3">
        <w:rPr>
          <w:lang w:eastAsia="en-AU"/>
        </w:rPr>
        <w:t xml:space="preserve"> and medium</w:t>
      </w:r>
      <w:r w:rsidR="00A65B84">
        <w:rPr>
          <w:lang w:eastAsia="en-AU"/>
        </w:rPr>
        <w:t>-</w:t>
      </w:r>
      <w:r w:rsidR="00361FA3">
        <w:rPr>
          <w:lang w:eastAsia="en-AU"/>
        </w:rPr>
        <w:t>risk containers could be cleaned before leaving the wharf precincts at these ports.</w:t>
      </w:r>
    </w:p>
    <w:p w14:paraId="262A1DF5" w14:textId="5985F19F" w:rsidR="00AB0E44" w:rsidRPr="00D13343" w:rsidRDefault="00A65B84" w:rsidP="008E6CDB">
      <w:r w:rsidRPr="00D13343">
        <w:t xml:space="preserve">AWH </w:t>
      </w:r>
      <w:r w:rsidR="00024729" w:rsidRPr="00D13343">
        <w:t>Pty Ltd</w:t>
      </w:r>
      <w:r w:rsidRPr="00D13343">
        <w:t xml:space="preserve"> implemented a </w:t>
      </w:r>
      <w:r w:rsidR="00361FA3" w:rsidRPr="00D13343">
        <w:t xml:space="preserve">functioning sea container washing system at Fremantle Port. The washing unit used recycled water to clean all six sides of a 20-foot shipping container in only </w:t>
      </w:r>
      <w:r w:rsidR="00D15A44">
        <w:t>five minutes (</w:t>
      </w:r>
      <w:r w:rsidR="00D15A44">
        <w:fldChar w:fldCharType="begin"/>
      </w:r>
      <w:r w:rsidR="00D15A44">
        <w:instrText xml:space="preserve"> REF _Ref515651469 \h </w:instrText>
      </w:r>
      <w:r w:rsidR="00D15A44">
        <w:fldChar w:fldCharType="separate"/>
      </w:r>
      <w:r w:rsidR="007F78D8">
        <w:t xml:space="preserve">Figure </w:t>
      </w:r>
      <w:r w:rsidR="007F78D8">
        <w:rPr>
          <w:noProof/>
        </w:rPr>
        <w:t>13</w:t>
      </w:r>
      <w:r w:rsidR="00D15A44">
        <w:fldChar w:fldCharType="end"/>
      </w:r>
      <w:r w:rsidR="00D15A44">
        <w:t>) including</w:t>
      </w:r>
      <w:r w:rsidR="00361FA3" w:rsidRPr="00D13343">
        <w:t xml:space="preserve"> loading off and on the truck (AWH 2009). It was proven to operate effectively 24/7</w:t>
      </w:r>
      <w:r w:rsidR="005B3566" w:rsidRPr="00D13343">
        <w:t>,</w:t>
      </w:r>
      <w:r w:rsidR="00361FA3" w:rsidRPr="00D13343">
        <w:t xml:space="preserve"> </w:t>
      </w:r>
      <w:r w:rsidRPr="00D13343">
        <w:t xml:space="preserve">was </w:t>
      </w:r>
      <w:r w:rsidR="00361FA3" w:rsidRPr="00D13343">
        <w:t>high</w:t>
      </w:r>
      <w:r w:rsidR="00423CCE" w:rsidRPr="00D13343">
        <w:t>ly</w:t>
      </w:r>
      <w:r w:rsidR="00361FA3" w:rsidRPr="00D13343">
        <w:t xml:space="preserve"> efficien</w:t>
      </w:r>
      <w:r w:rsidRPr="00D13343">
        <w:t>t</w:t>
      </w:r>
      <w:r w:rsidR="00361FA3" w:rsidRPr="00D13343">
        <w:t xml:space="preserve"> at removing biosecurity risk material and </w:t>
      </w:r>
      <w:r w:rsidR="005B3566" w:rsidRPr="00D13343">
        <w:t xml:space="preserve">resulted in a </w:t>
      </w:r>
      <w:r w:rsidR="00361FA3" w:rsidRPr="00D13343">
        <w:t xml:space="preserve">reduced </w:t>
      </w:r>
      <w:r w:rsidRPr="00D13343">
        <w:t xml:space="preserve">work health and safety </w:t>
      </w:r>
      <w:r w:rsidR="00361FA3" w:rsidRPr="00D13343">
        <w:t xml:space="preserve">risk. The unit functioned effectively for six years before being </w:t>
      </w:r>
      <w:r w:rsidR="007F456F" w:rsidRPr="00D13343">
        <w:t xml:space="preserve">decommissioned </w:t>
      </w:r>
      <w:r w:rsidR="00361FA3" w:rsidRPr="00D13343">
        <w:t>due to a reduction in demand.</w:t>
      </w:r>
    </w:p>
    <w:p w14:paraId="38CC02FE" w14:textId="2DA3D995" w:rsidR="00AB0E44" w:rsidRDefault="00361FA3">
      <w:pPr>
        <w:tabs>
          <w:tab w:val="clear" w:pos="567"/>
        </w:tabs>
        <w:spacing w:after="0"/>
        <w:rPr>
          <w:lang w:eastAsia="en-AU"/>
        </w:rPr>
      </w:pPr>
      <w:r>
        <w:rPr>
          <w:lang w:eastAsia="en-AU"/>
        </w:rPr>
        <w:t xml:space="preserve">A separate attempt </w:t>
      </w:r>
      <w:r w:rsidR="005B3566">
        <w:rPr>
          <w:lang w:eastAsia="en-AU"/>
        </w:rPr>
        <w:t xml:space="preserve">was made </w:t>
      </w:r>
      <w:r>
        <w:rPr>
          <w:lang w:eastAsia="en-AU"/>
        </w:rPr>
        <w:t>to develop an automated container washer at Brisbane Port, but the unit is not as advanced as the one that was installed at Fremantle Port. This clearly shows that the industry has been looking for a better system to clean containers externally.</w:t>
      </w:r>
    </w:p>
    <w:p w14:paraId="059B8C97" w14:textId="0536C2A5" w:rsidR="00AB0E44" w:rsidRDefault="00361FA3">
      <w:pPr>
        <w:tabs>
          <w:tab w:val="clear" w:pos="567"/>
        </w:tabs>
        <w:spacing w:after="0"/>
        <w:rPr>
          <w:lang w:eastAsia="en-AU"/>
        </w:rPr>
      </w:pPr>
      <w:r>
        <w:rPr>
          <w:lang w:eastAsia="en-AU"/>
        </w:rPr>
        <w:t>If efficient automatic container cleaning facilities were installed at major container receival ports, the whole regime of external risk management of containers could be substantially reformed. High</w:t>
      </w:r>
      <w:r w:rsidR="005B3566">
        <w:rPr>
          <w:lang w:eastAsia="en-AU"/>
        </w:rPr>
        <w:t>-</w:t>
      </w:r>
      <w:r>
        <w:rPr>
          <w:lang w:eastAsia="en-AU"/>
        </w:rPr>
        <w:t xml:space="preserve"> and medium</w:t>
      </w:r>
      <w:r w:rsidR="005B3566">
        <w:rPr>
          <w:lang w:eastAsia="en-AU"/>
        </w:rPr>
        <w:t>-</w:t>
      </w:r>
      <w:r>
        <w:rPr>
          <w:lang w:eastAsia="en-AU"/>
        </w:rPr>
        <w:t xml:space="preserve">risk containers could be washed within a short time of being offloaded from the ship, </w:t>
      </w:r>
      <w:r w:rsidR="005B3566">
        <w:rPr>
          <w:lang w:eastAsia="en-AU"/>
        </w:rPr>
        <w:t xml:space="preserve">during the </w:t>
      </w:r>
      <w:r>
        <w:rPr>
          <w:lang w:eastAsia="en-AU"/>
        </w:rPr>
        <w:t xml:space="preserve">day </w:t>
      </w:r>
      <w:r w:rsidR="005B3566">
        <w:rPr>
          <w:lang w:eastAsia="en-AU"/>
        </w:rPr>
        <w:t xml:space="preserve">or at </w:t>
      </w:r>
      <w:r>
        <w:rPr>
          <w:lang w:eastAsia="en-AU"/>
        </w:rPr>
        <w:t xml:space="preserve">night, to achieve a level of cleanliness which </w:t>
      </w:r>
      <w:r w:rsidR="005B3566">
        <w:rPr>
          <w:lang w:eastAsia="en-AU"/>
        </w:rPr>
        <w:t xml:space="preserve">does </w:t>
      </w:r>
      <w:r>
        <w:rPr>
          <w:lang w:eastAsia="en-AU"/>
        </w:rPr>
        <w:t>not require subsequent routine inspection</w:t>
      </w:r>
      <w:r w:rsidR="005B3566">
        <w:rPr>
          <w:lang w:eastAsia="en-AU"/>
        </w:rPr>
        <w:t>.</w:t>
      </w:r>
      <w:r>
        <w:rPr>
          <w:lang w:eastAsia="en-AU"/>
        </w:rPr>
        <w:t xml:space="preserve"> </w:t>
      </w:r>
      <w:r w:rsidR="005B3566">
        <w:rPr>
          <w:lang w:eastAsia="en-AU"/>
        </w:rPr>
        <w:t xml:space="preserve">This would </w:t>
      </w:r>
      <w:r>
        <w:rPr>
          <w:lang w:eastAsia="en-AU"/>
        </w:rPr>
        <w:t xml:space="preserve">greatly </w:t>
      </w:r>
      <w:r w:rsidR="005B3566">
        <w:rPr>
          <w:lang w:eastAsia="en-AU"/>
        </w:rPr>
        <w:t xml:space="preserve">increase their </w:t>
      </w:r>
      <w:r>
        <w:rPr>
          <w:lang w:eastAsia="en-AU"/>
        </w:rPr>
        <w:t xml:space="preserve">speed </w:t>
      </w:r>
      <w:r w:rsidR="005B3566">
        <w:rPr>
          <w:lang w:eastAsia="en-AU"/>
        </w:rPr>
        <w:t xml:space="preserve">of </w:t>
      </w:r>
      <w:r>
        <w:rPr>
          <w:lang w:eastAsia="en-AU"/>
        </w:rPr>
        <w:t>movement from ports. The department could reduce inspection levels and focus on auditing or verifying that all risk-profiled containers were being cleaned appropriately.</w:t>
      </w:r>
    </w:p>
    <w:p w14:paraId="3B6D26D1" w14:textId="48892C23" w:rsidR="00AB0E44" w:rsidRDefault="00361FA3">
      <w:pPr>
        <w:tabs>
          <w:tab w:val="clear" w:pos="567"/>
        </w:tabs>
        <w:spacing w:after="0"/>
        <w:rPr>
          <w:lang w:eastAsia="en-AU"/>
        </w:rPr>
      </w:pPr>
      <w:r>
        <w:rPr>
          <w:lang w:eastAsia="en-AU"/>
        </w:rPr>
        <w:t xml:space="preserve">The projected development of more infrastructure linking ports by rail seamlessly to intermodal transport hubs, especially in Sydney and Melbourne, will greatly increase the risks of uninspected externally contaminated containers being moved widely across and beyond urban areas. </w:t>
      </w:r>
      <w:r w:rsidR="005B3566">
        <w:rPr>
          <w:lang w:eastAsia="en-AU"/>
        </w:rPr>
        <w:t>The department and industry should actively explore o</w:t>
      </w:r>
      <w:r>
        <w:rPr>
          <w:lang w:eastAsia="en-AU"/>
        </w:rPr>
        <w:t>pportunities for incorporating automatic container washing systems before or during rail transport.</w:t>
      </w:r>
    </w:p>
    <w:p w14:paraId="6576EEF9" w14:textId="710DE3B1" w:rsidR="00AB0E44" w:rsidRDefault="00361FA3" w:rsidP="005721A3">
      <w:pPr>
        <w:pStyle w:val="Caption"/>
        <w:spacing w:before="240"/>
      </w:pPr>
      <w:r>
        <w:t xml:space="preserve">Recommendation </w:t>
      </w:r>
      <w:r w:rsidR="00F21B3D">
        <w:rPr>
          <w:noProof/>
        </w:rPr>
        <w:fldChar w:fldCharType="begin"/>
      </w:r>
      <w:r w:rsidR="00F21B3D">
        <w:rPr>
          <w:noProof/>
        </w:rPr>
        <w:instrText xml:space="preserve"> SEQ Recommendation \* ARABIC </w:instrText>
      </w:r>
      <w:r w:rsidR="00F21B3D">
        <w:rPr>
          <w:noProof/>
        </w:rPr>
        <w:fldChar w:fldCharType="separate"/>
      </w:r>
      <w:r w:rsidR="007F78D8">
        <w:rPr>
          <w:noProof/>
        </w:rPr>
        <w:t>4</w:t>
      </w:r>
      <w:r w:rsidR="00F21B3D">
        <w:rPr>
          <w:noProof/>
        </w:rPr>
        <w:fldChar w:fldCharType="end"/>
      </w:r>
    </w:p>
    <w:p w14:paraId="204B8D79" w14:textId="77777777" w:rsidR="008F735C" w:rsidRDefault="008F735C">
      <w:pPr>
        <w:pStyle w:val="BoxText"/>
      </w:pPr>
      <w:r w:rsidRPr="008F735C">
        <w:t>The department should require major sea container receival operators to clean high and medium external risk containers to an acceptable standard before they are transported from the port, removing the need for most on-wharf six-sided inspections and subsequent manual cleaning when biosecurity risk material is found. Automated cleaning facilities should also be built into rail infrastructure installed to transport containers to intermodal hubs so that all containers being transported by rail are cleaned before leaving the port, while low risk containers leaving by truck continue to be subject to risk-based wharf gate inspections.</w:t>
      </w:r>
    </w:p>
    <w:p w14:paraId="5355F171" w14:textId="77777777" w:rsidR="002F1C95" w:rsidRPr="002F1C95" w:rsidRDefault="00361FA3" w:rsidP="002F1C95">
      <w:pPr>
        <w:pStyle w:val="BoxText"/>
        <w:rPr>
          <w:rStyle w:val="Strong"/>
          <w:b w:val="0"/>
        </w:rPr>
      </w:pPr>
      <w:r>
        <w:rPr>
          <w:rStyle w:val="Strong"/>
        </w:rPr>
        <w:t>Department’s response:</w:t>
      </w:r>
      <w:r w:rsidR="002F1C95">
        <w:rPr>
          <w:rStyle w:val="Strong"/>
          <w:b w:val="0"/>
        </w:rPr>
        <w:t xml:space="preserve"> </w:t>
      </w:r>
      <w:r w:rsidR="002F1C95" w:rsidRPr="002F1C95">
        <w:rPr>
          <w:rStyle w:val="Strong"/>
          <w:b w:val="0"/>
        </w:rPr>
        <w:t>Agreed in principle.</w:t>
      </w:r>
    </w:p>
    <w:p w14:paraId="7C44CB81" w14:textId="231C62B4" w:rsidR="00AB0E44" w:rsidRPr="002F1C95" w:rsidRDefault="002F1C95" w:rsidP="002F1C95">
      <w:pPr>
        <w:pStyle w:val="BoxText"/>
        <w:rPr>
          <w:rStyle w:val="Strong"/>
          <w:b w:val="0"/>
        </w:rPr>
      </w:pPr>
      <w:r w:rsidRPr="002F1C95">
        <w:rPr>
          <w:rStyle w:val="Strong"/>
          <w:b w:val="0"/>
        </w:rPr>
        <w:t>The department notes the role of automated methods of container cleaning in risk management of sea containers.  However, introduction of automated cleaning facilities could conflict with the promotion and expansion of offshore management options (recommendation 3 refers). Further, the effectiveness of these facilities in managing hitchhiker pests and molluscs needs to be assessed. In light of this recommendation, the department, in consultation with industry, will assess the impact of the introduction of these facilities on efficiency of container management at ports and whether mandating a specific technology solution is warranted. The department will consult with industry as part of this assessment.</w:t>
      </w:r>
    </w:p>
    <w:p w14:paraId="4526BE4C" w14:textId="1367869E" w:rsidR="00D15A44" w:rsidRPr="00D15A44" w:rsidRDefault="00D15A44" w:rsidP="00D15A44">
      <w:pPr>
        <w:pStyle w:val="Caption"/>
      </w:pPr>
      <w:bookmarkStart w:id="84" w:name="_Ref515651469"/>
      <w:bookmarkStart w:id="85" w:name="_Toc521069583"/>
      <w:r>
        <w:t xml:space="preserve">Figure </w:t>
      </w:r>
      <w:r w:rsidR="000F1D5A">
        <w:rPr>
          <w:noProof/>
        </w:rPr>
        <w:fldChar w:fldCharType="begin"/>
      </w:r>
      <w:r w:rsidR="000F1D5A">
        <w:rPr>
          <w:noProof/>
        </w:rPr>
        <w:instrText xml:space="preserve"> SEQ Figure \* ARABIC </w:instrText>
      </w:r>
      <w:r w:rsidR="000F1D5A">
        <w:rPr>
          <w:noProof/>
        </w:rPr>
        <w:fldChar w:fldCharType="separate"/>
      </w:r>
      <w:r w:rsidR="007F78D8">
        <w:rPr>
          <w:noProof/>
        </w:rPr>
        <w:t>13</w:t>
      </w:r>
      <w:r w:rsidR="000F1D5A">
        <w:rPr>
          <w:noProof/>
        </w:rPr>
        <w:fldChar w:fldCharType="end"/>
      </w:r>
      <w:bookmarkEnd w:id="84"/>
      <w:r>
        <w:rPr>
          <w:noProof/>
        </w:rPr>
        <w:t xml:space="preserve"> </w:t>
      </w:r>
      <w:r w:rsidRPr="00EA7651">
        <w:rPr>
          <w:noProof/>
        </w:rPr>
        <w:t>Automated sea container washing facility</w:t>
      </w:r>
      <w:bookmarkEnd w:id="85"/>
    </w:p>
    <w:p w14:paraId="14FAEE95" w14:textId="77777777" w:rsidR="00AB0E44" w:rsidRDefault="00361FA3">
      <w:bookmarkStart w:id="86" w:name="_Ref514147399"/>
      <w:r>
        <w:rPr>
          <w:noProof/>
          <w:lang w:eastAsia="en-AU"/>
        </w:rPr>
        <w:drawing>
          <wp:inline distT="0" distB="0" distL="0" distR="0" wp14:anchorId="1382BF97" wp14:editId="653A319D">
            <wp:extent cx="4991100" cy="3003462"/>
            <wp:effectExtent l="0" t="0" r="0" b="6985"/>
            <wp:docPr id="4" name="Picture 4" descr="This is a representative picture of an automatic sea container washing unit that AWH Logistics Pty Ltd operated between 2010 and 2015 at Fremantl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1100" cy="3003462"/>
                    </a:xfrm>
                    <a:prstGeom prst="rect">
                      <a:avLst/>
                    </a:prstGeom>
                    <a:noFill/>
                  </pic:spPr>
                </pic:pic>
              </a:graphicData>
            </a:graphic>
          </wp:inline>
        </w:drawing>
      </w:r>
      <w:bookmarkEnd w:id="86"/>
    </w:p>
    <w:p w14:paraId="799F7D01" w14:textId="77777777" w:rsidR="00AB0E44" w:rsidRDefault="00361FA3">
      <w:pPr>
        <w:pStyle w:val="FigureTableNoteSource"/>
        <w:rPr>
          <w:lang w:eastAsia="en-AU"/>
        </w:rPr>
      </w:pPr>
      <w:r>
        <w:rPr>
          <w:lang w:eastAsia="en-AU"/>
        </w:rPr>
        <w:t>Source: AWH Pty Ltd</w:t>
      </w:r>
    </w:p>
    <w:p w14:paraId="768B7603" w14:textId="28289896" w:rsidR="00AB0E44" w:rsidRDefault="00361FA3">
      <w:pPr>
        <w:pStyle w:val="Heading2"/>
        <w:rPr>
          <w:lang w:eastAsia="x-none"/>
        </w:rPr>
      </w:pPr>
      <w:bookmarkStart w:id="87" w:name="_Toc521069547"/>
      <w:r>
        <w:t xml:space="preserve">Break-bulk cargo </w:t>
      </w:r>
      <w:r w:rsidR="00244AE3">
        <w:t xml:space="preserve">and bulk cargo ships’ holds </w:t>
      </w:r>
      <w:r>
        <w:t>entry pathway</w:t>
      </w:r>
      <w:r w:rsidR="00244AE3">
        <w:t>s</w:t>
      </w:r>
      <w:bookmarkEnd w:id="87"/>
    </w:p>
    <w:p w14:paraId="5F3B4B99" w14:textId="62411542" w:rsidR="00AB0E44" w:rsidRDefault="00361FA3">
      <w:pPr>
        <w:pStyle w:val="Heading3"/>
        <w:rPr>
          <w:rFonts w:eastAsia="Calibri"/>
        </w:rPr>
      </w:pPr>
      <w:bookmarkStart w:id="88" w:name="_Toc521069548"/>
      <w:r>
        <w:rPr>
          <w:rFonts w:eastAsia="Calibri"/>
        </w:rPr>
        <w:t>Break-bulk cargo entry patterns</w:t>
      </w:r>
      <w:bookmarkEnd w:id="88"/>
    </w:p>
    <w:p w14:paraId="00D005D3" w14:textId="75D96F72" w:rsidR="00AB0E44" w:rsidRDefault="00361FA3">
      <w:pPr>
        <w:rPr>
          <w:lang w:eastAsia="ja-JP"/>
        </w:rPr>
      </w:pPr>
      <w:r>
        <w:rPr>
          <w:lang w:eastAsia="ja-JP"/>
        </w:rPr>
        <w:t>A vast array of non-containerised ‘break</w:t>
      </w:r>
      <w:r w:rsidR="00696EDB">
        <w:rPr>
          <w:lang w:eastAsia="ja-JP"/>
        </w:rPr>
        <w:t>-</w:t>
      </w:r>
      <w:r>
        <w:rPr>
          <w:lang w:eastAsia="ja-JP"/>
        </w:rPr>
        <w:t>bulk’ cargo arrives in Australia. It may be packed into units such as pallets, bags, strapped bundles, drums and crates, or other general cargo such as cars and machinery (new and used), tyres and timber.</w:t>
      </w:r>
    </w:p>
    <w:p w14:paraId="477C2FF1" w14:textId="64CA0A27" w:rsidR="00AB0E44" w:rsidRDefault="00361FA3">
      <w:pPr>
        <w:rPr>
          <w:rFonts w:eastAsiaTheme="minorHAnsi" w:cstheme="minorBidi"/>
          <w:szCs w:val="24"/>
        </w:rPr>
      </w:pPr>
      <w:r>
        <w:rPr>
          <w:szCs w:val="24"/>
          <w:lang w:eastAsia="ja-JP"/>
        </w:rPr>
        <w:t>From 201</w:t>
      </w:r>
      <w:r w:rsidR="0097236B">
        <w:rPr>
          <w:szCs w:val="24"/>
          <w:lang w:eastAsia="ja-JP"/>
        </w:rPr>
        <w:t>1</w:t>
      </w:r>
      <w:r>
        <w:rPr>
          <w:szCs w:val="24"/>
          <w:lang w:eastAsia="ja-JP"/>
        </w:rPr>
        <w:t xml:space="preserve"> to 2017 Australia received over 385,000 break</w:t>
      </w:r>
      <w:r w:rsidR="00696EDB">
        <w:rPr>
          <w:szCs w:val="24"/>
          <w:lang w:eastAsia="ja-JP"/>
        </w:rPr>
        <w:t>-</w:t>
      </w:r>
      <w:r>
        <w:rPr>
          <w:szCs w:val="24"/>
          <w:lang w:eastAsia="ja-JP"/>
        </w:rPr>
        <w:t>bulk consignments from 120 countries</w:t>
      </w:r>
      <w:r w:rsidR="00696EDB">
        <w:rPr>
          <w:szCs w:val="24"/>
          <w:lang w:eastAsia="ja-JP"/>
        </w:rPr>
        <w:t>.</w:t>
      </w:r>
      <w:r>
        <w:rPr>
          <w:szCs w:val="24"/>
          <w:lang w:eastAsia="ja-JP"/>
        </w:rPr>
        <w:t xml:space="preserve"> </w:t>
      </w:r>
      <w:r w:rsidR="00696EDB">
        <w:rPr>
          <w:szCs w:val="24"/>
          <w:lang w:eastAsia="ja-JP"/>
        </w:rPr>
        <w:t>A</w:t>
      </w:r>
      <w:r>
        <w:rPr>
          <w:szCs w:val="24"/>
          <w:lang w:eastAsia="ja-JP"/>
        </w:rPr>
        <w:t xml:space="preserve">bout </w:t>
      </w:r>
      <w:r w:rsidR="00F67F22">
        <w:rPr>
          <w:szCs w:val="24"/>
          <w:lang w:eastAsia="ja-JP"/>
        </w:rPr>
        <w:t>76</w:t>
      </w:r>
      <w:r>
        <w:rPr>
          <w:szCs w:val="24"/>
          <w:lang w:eastAsia="ja-JP"/>
        </w:rPr>
        <w:t xml:space="preserve"> per cent</w:t>
      </w:r>
      <w:r>
        <w:rPr>
          <w:rFonts w:eastAsiaTheme="minorHAnsi" w:cstheme="minorBidi"/>
          <w:szCs w:val="24"/>
        </w:rPr>
        <w:t xml:space="preserve"> </w:t>
      </w:r>
      <w:r w:rsidR="00696EDB">
        <w:rPr>
          <w:rFonts w:eastAsiaTheme="minorHAnsi" w:cstheme="minorBidi"/>
          <w:szCs w:val="24"/>
        </w:rPr>
        <w:t xml:space="preserve">came </w:t>
      </w:r>
      <w:r>
        <w:rPr>
          <w:rFonts w:eastAsiaTheme="minorHAnsi" w:cstheme="minorBidi"/>
          <w:szCs w:val="24"/>
        </w:rPr>
        <w:t xml:space="preserve">from Japan, </w:t>
      </w:r>
      <w:r w:rsidR="004847A3">
        <w:rPr>
          <w:rFonts w:eastAsiaTheme="minorHAnsi" w:cstheme="minorBidi"/>
          <w:szCs w:val="24"/>
        </w:rPr>
        <w:t xml:space="preserve">the </w:t>
      </w:r>
      <w:r>
        <w:rPr>
          <w:rFonts w:eastAsiaTheme="minorHAnsi" w:cstheme="minorBidi"/>
          <w:szCs w:val="24"/>
        </w:rPr>
        <w:t xml:space="preserve">US, </w:t>
      </w:r>
      <w:r w:rsidR="00F67F22">
        <w:rPr>
          <w:rFonts w:eastAsiaTheme="minorHAnsi" w:cstheme="minorBidi"/>
          <w:szCs w:val="24"/>
        </w:rPr>
        <w:t>New Zealand</w:t>
      </w:r>
      <w:r>
        <w:rPr>
          <w:rFonts w:eastAsiaTheme="minorHAnsi" w:cstheme="minorBidi"/>
          <w:szCs w:val="24"/>
        </w:rPr>
        <w:t xml:space="preserve">, </w:t>
      </w:r>
      <w:r w:rsidR="00F67F22">
        <w:rPr>
          <w:rFonts w:eastAsiaTheme="minorHAnsi" w:cstheme="minorBidi"/>
          <w:szCs w:val="24"/>
        </w:rPr>
        <w:t>United Kingdom</w:t>
      </w:r>
      <w:r>
        <w:rPr>
          <w:rFonts w:eastAsiaTheme="minorHAnsi" w:cstheme="minorBidi"/>
          <w:szCs w:val="24"/>
        </w:rPr>
        <w:t xml:space="preserve"> and Belgium (</w:t>
      </w:r>
      <w:r>
        <w:rPr>
          <w:rFonts w:eastAsiaTheme="minorHAnsi" w:cstheme="minorBidi"/>
          <w:szCs w:val="24"/>
        </w:rPr>
        <w:fldChar w:fldCharType="begin"/>
      </w:r>
      <w:r>
        <w:rPr>
          <w:rFonts w:eastAsiaTheme="minorHAnsi" w:cstheme="minorBidi"/>
          <w:szCs w:val="24"/>
        </w:rPr>
        <w:instrText xml:space="preserve"> REF _Ref514078866 \h </w:instrText>
      </w:r>
      <w:r>
        <w:rPr>
          <w:rFonts w:eastAsiaTheme="minorHAnsi" w:cstheme="minorBidi"/>
          <w:szCs w:val="24"/>
        </w:rPr>
      </w:r>
      <w:r>
        <w:rPr>
          <w:rFonts w:eastAsiaTheme="minorHAnsi" w:cstheme="minorBidi"/>
          <w:szCs w:val="24"/>
        </w:rPr>
        <w:fldChar w:fldCharType="separate"/>
      </w:r>
      <w:r w:rsidR="007F78D8">
        <w:t xml:space="preserve">Figure </w:t>
      </w:r>
      <w:r w:rsidR="007F78D8">
        <w:rPr>
          <w:noProof/>
        </w:rPr>
        <w:t>14</w:t>
      </w:r>
      <w:r>
        <w:rPr>
          <w:rFonts w:eastAsiaTheme="minorHAnsi" w:cstheme="minorBidi"/>
          <w:szCs w:val="24"/>
        </w:rPr>
        <w:fldChar w:fldCharType="end"/>
      </w:r>
      <w:r>
        <w:rPr>
          <w:rFonts w:eastAsiaTheme="minorHAnsi" w:cstheme="minorBidi"/>
          <w:szCs w:val="24"/>
        </w:rPr>
        <w:t>). Almost 90 per cent of consignments arrived at five ports (</w:t>
      </w:r>
      <w:r>
        <w:rPr>
          <w:rFonts w:eastAsiaTheme="minorHAnsi" w:cstheme="minorBidi"/>
          <w:szCs w:val="24"/>
        </w:rPr>
        <w:fldChar w:fldCharType="begin"/>
      </w:r>
      <w:r>
        <w:rPr>
          <w:rFonts w:eastAsiaTheme="minorHAnsi" w:cstheme="minorBidi"/>
          <w:szCs w:val="24"/>
        </w:rPr>
        <w:instrText xml:space="preserve"> REF _Ref514147663 \h </w:instrText>
      </w:r>
      <w:r>
        <w:rPr>
          <w:rFonts w:eastAsiaTheme="minorHAnsi" w:cstheme="minorBidi"/>
          <w:szCs w:val="24"/>
        </w:rPr>
      </w:r>
      <w:r>
        <w:rPr>
          <w:rFonts w:eastAsiaTheme="minorHAnsi" w:cstheme="minorBidi"/>
          <w:szCs w:val="24"/>
        </w:rPr>
        <w:fldChar w:fldCharType="separate"/>
      </w:r>
      <w:r w:rsidR="007F78D8">
        <w:t xml:space="preserve">Figure </w:t>
      </w:r>
      <w:r w:rsidR="007F78D8">
        <w:rPr>
          <w:noProof/>
        </w:rPr>
        <w:t>15</w:t>
      </w:r>
      <w:r>
        <w:rPr>
          <w:rFonts w:eastAsiaTheme="minorHAnsi" w:cstheme="minorBidi"/>
          <w:szCs w:val="24"/>
        </w:rPr>
        <w:fldChar w:fldCharType="end"/>
      </w:r>
      <w:r>
        <w:rPr>
          <w:rFonts w:eastAsiaTheme="minorHAnsi" w:cstheme="minorBidi"/>
          <w:szCs w:val="24"/>
        </w:rPr>
        <w:t>).</w:t>
      </w:r>
    </w:p>
    <w:p w14:paraId="0248048D" w14:textId="5C10AFB8" w:rsidR="00AB0E44" w:rsidRDefault="00361FA3">
      <w:pPr>
        <w:pStyle w:val="Caption"/>
        <w:rPr>
          <w:rFonts w:eastAsiaTheme="minorHAnsi" w:cstheme="minorBidi"/>
          <w:szCs w:val="24"/>
        </w:rPr>
      </w:pPr>
      <w:bookmarkStart w:id="89" w:name="_Ref514078866"/>
      <w:bookmarkStart w:id="90" w:name="_Toc521069584"/>
      <w:r>
        <w:t xml:space="preserve">Figure </w:t>
      </w:r>
      <w:r w:rsidR="00F21B3D">
        <w:rPr>
          <w:noProof/>
        </w:rPr>
        <w:fldChar w:fldCharType="begin"/>
      </w:r>
      <w:r w:rsidR="00F21B3D">
        <w:rPr>
          <w:noProof/>
        </w:rPr>
        <w:instrText xml:space="preserve"> SEQ Figure \* ARABIC </w:instrText>
      </w:r>
      <w:r w:rsidR="00F21B3D">
        <w:rPr>
          <w:noProof/>
        </w:rPr>
        <w:fldChar w:fldCharType="separate"/>
      </w:r>
      <w:r w:rsidR="007F78D8">
        <w:rPr>
          <w:noProof/>
        </w:rPr>
        <w:t>14</w:t>
      </w:r>
      <w:r w:rsidR="00F21B3D">
        <w:rPr>
          <w:noProof/>
        </w:rPr>
        <w:fldChar w:fldCharType="end"/>
      </w:r>
      <w:bookmarkEnd w:id="89"/>
      <w:r>
        <w:t xml:space="preserve"> Top five countries of origin, break-bulk consignments, 201</w:t>
      </w:r>
      <w:r w:rsidR="001D0094">
        <w:t>1</w:t>
      </w:r>
      <w:r>
        <w:t>–2017</w:t>
      </w:r>
      <w:bookmarkEnd w:id="90"/>
    </w:p>
    <w:p w14:paraId="1FE3458E" w14:textId="19384B2E" w:rsidR="00AB0E44" w:rsidRDefault="005D240C">
      <w:pPr>
        <w:rPr>
          <w:rFonts w:eastAsiaTheme="minorHAnsi" w:cstheme="minorBidi"/>
          <w:szCs w:val="24"/>
        </w:rPr>
      </w:pPr>
      <w:r>
        <w:rPr>
          <w:rFonts w:eastAsiaTheme="minorHAnsi" w:cstheme="minorBidi"/>
          <w:noProof/>
          <w:szCs w:val="24"/>
          <w:lang w:eastAsia="en-AU"/>
        </w:rPr>
        <w:drawing>
          <wp:inline distT="0" distB="0" distL="0" distR="0" wp14:anchorId="16EA2D38" wp14:editId="2F8FD8DB">
            <wp:extent cx="4578350" cy="2560320"/>
            <wp:effectExtent l="0" t="0" r="0" b="0"/>
            <wp:docPr id="11" name="Picture 11" descr="Graph shows Japan 32.3%, United States 20.6%, New Zealand 12.6%, United Kingdom 6.5% and Belgium 4% to be the top five count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8350" cy="2560320"/>
                    </a:xfrm>
                    <a:prstGeom prst="rect">
                      <a:avLst/>
                    </a:prstGeom>
                    <a:noFill/>
                  </pic:spPr>
                </pic:pic>
              </a:graphicData>
            </a:graphic>
          </wp:inline>
        </w:drawing>
      </w:r>
    </w:p>
    <w:p w14:paraId="6CF01221" w14:textId="353F513F" w:rsidR="00AB0E44" w:rsidRDefault="00361FA3">
      <w:pPr>
        <w:pStyle w:val="FigureTableNoteSource"/>
      </w:pPr>
      <w:r>
        <w:t xml:space="preserve">Source: </w:t>
      </w:r>
      <w:r>
        <w:rPr>
          <w:lang w:eastAsia="en-AU"/>
        </w:rPr>
        <w:t xml:space="preserve">Department of </w:t>
      </w:r>
      <w:r w:rsidR="001D0094">
        <w:rPr>
          <w:lang w:eastAsia="en-AU"/>
        </w:rPr>
        <w:t>Agriculture and Water Resources</w:t>
      </w:r>
    </w:p>
    <w:p w14:paraId="50F48003" w14:textId="7D89FA0D" w:rsidR="00AB0E44" w:rsidRDefault="00361FA3">
      <w:pPr>
        <w:pStyle w:val="Caption"/>
        <w:rPr>
          <w:rFonts w:eastAsiaTheme="minorHAnsi" w:cstheme="minorBidi"/>
          <w:szCs w:val="24"/>
        </w:rPr>
      </w:pPr>
      <w:bookmarkStart w:id="91" w:name="_Ref514147663"/>
      <w:bookmarkStart w:id="92" w:name="_Toc521069585"/>
      <w:r>
        <w:t xml:space="preserve">Figure </w:t>
      </w:r>
      <w:r w:rsidR="00F21B3D">
        <w:rPr>
          <w:noProof/>
        </w:rPr>
        <w:fldChar w:fldCharType="begin"/>
      </w:r>
      <w:r w:rsidR="00F21B3D">
        <w:rPr>
          <w:noProof/>
        </w:rPr>
        <w:instrText xml:space="preserve"> SEQ Figure \* ARABIC </w:instrText>
      </w:r>
      <w:r w:rsidR="00F21B3D">
        <w:rPr>
          <w:noProof/>
        </w:rPr>
        <w:fldChar w:fldCharType="separate"/>
      </w:r>
      <w:r w:rsidR="007F78D8">
        <w:rPr>
          <w:noProof/>
        </w:rPr>
        <w:t>15</w:t>
      </w:r>
      <w:r w:rsidR="00F21B3D">
        <w:rPr>
          <w:noProof/>
        </w:rPr>
        <w:fldChar w:fldCharType="end"/>
      </w:r>
      <w:bookmarkEnd w:id="91"/>
      <w:r>
        <w:t xml:space="preserve"> Top five ports of discharge, break-bulk consignments</w:t>
      </w:r>
      <w:r w:rsidR="00E6471A">
        <w:t>,</w:t>
      </w:r>
      <w:r>
        <w:t xml:space="preserve"> 201</w:t>
      </w:r>
      <w:r w:rsidR="001D0094">
        <w:t>1</w:t>
      </w:r>
      <w:r>
        <w:t>–2017</w:t>
      </w:r>
      <w:bookmarkEnd w:id="92"/>
    </w:p>
    <w:p w14:paraId="4EDFCF07" w14:textId="28C486EC" w:rsidR="00AB0E44" w:rsidRDefault="005D240C">
      <w:pPr>
        <w:rPr>
          <w:rFonts w:eastAsiaTheme="minorHAnsi" w:cstheme="minorBidi"/>
          <w:szCs w:val="24"/>
        </w:rPr>
      </w:pPr>
      <w:r>
        <w:rPr>
          <w:rFonts w:eastAsiaTheme="minorHAnsi" w:cstheme="minorBidi"/>
          <w:noProof/>
          <w:szCs w:val="24"/>
          <w:lang w:eastAsia="en-AU"/>
        </w:rPr>
        <w:drawing>
          <wp:inline distT="0" distB="0" distL="0" distR="0" wp14:anchorId="79436AE0" wp14:editId="6399126E">
            <wp:extent cx="4578350" cy="2560320"/>
            <wp:effectExtent l="0" t="0" r="0" b="0"/>
            <wp:docPr id="9" name="Picture 9" descr="Graph shows Brisbane 31.8%, Port Kembla 21.4%, Melbourne 19.6%, Fremantle 11.5% and Darwin 4.2% to be the top five ports of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8350" cy="2560320"/>
                    </a:xfrm>
                    <a:prstGeom prst="rect">
                      <a:avLst/>
                    </a:prstGeom>
                    <a:noFill/>
                  </pic:spPr>
                </pic:pic>
              </a:graphicData>
            </a:graphic>
          </wp:inline>
        </w:drawing>
      </w:r>
    </w:p>
    <w:p w14:paraId="7B161482" w14:textId="2368DFF5" w:rsidR="00AB0E44" w:rsidRDefault="00361FA3">
      <w:pPr>
        <w:pStyle w:val="FigureTableNoteSource"/>
      </w:pPr>
      <w:r>
        <w:t xml:space="preserve">Source: </w:t>
      </w:r>
      <w:r>
        <w:rPr>
          <w:lang w:eastAsia="en-AU"/>
        </w:rPr>
        <w:t xml:space="preserve">Department of </w:t>
      </w:r>
      <w:r w:rsidR="001D0094">
        <w:rPr>
          <w:lang w:eastAsia="en-AU"/>
        </w:rPr>
        <w:t>Agriculture and Water Resources</w:t>
      </w:r>
    </w:p>
    <w:p w14:paraId="191DBEAF" w14:textId="497E2745" w:rsidR="00AB0E44" w:rsidRDefault="00361FA3">
      <w:pPr>
        <w:pStyle w:val="Heading3"/>
        <w:rPr>
          <w:rFonts w:eastAsia="Calibri"/>
        </w:rPr>
      </w:pPr>
      <w:bookmarkStart w:id="93" w:name="_Toc521069549"/>
      <w:r>
        <w:rPr>
          <w:rFonts w:eastAsia="Calibri"/>
        </w:rPr>
        <w:t>Break-bulk cargo biosecurity risk management</w:t>
      </w:r>
      <w:bookmarkEnd w:id="93"/>
    </w:p>
    <w:p w14:paraId="2528F201" w14:textId="3B978CFF" w:rsidR="00AB0E44" w:rsidRDefault="004E486D" w:rsidP="00D15AF1">
      <w:r>
        <w:rPr>
          <w:lang w:eastAsia="ja-JP"/>
        </w:rPr>
        <w:t xml:space="preserve">The management process for </w:t>
      </w:r>
      <w:r w:rsidR="00361FA3">
        <w:rPr>
          <w:lang w:eastAsia="ja-JP"/>
        </w:rPr>
        <w:t>break</w:t>
      </w:r>
      <w:r w:rsidR="00696EDB">
        <w:rPr>
          <w:lang w:eastAsia="ja-JP"/>
        </w:rPr>
        <w:t>-</w:t>
      </w:r>
      <w:r w:rsidR="00361FA3">
        <w:rPr>
          <w:lang w:eastAsia="ja-JP"/>
        </w:rPr>
        <w:t xml:space="preserve">bulk cargo biosecurity risks is similar in many ways to </w:t>
      </w:r>
      <w:r>
        <w:rPr>
          <w:lang w:eastAsia="ja-JP"/>
        </w:rPr>
        <w:t xml:space="preserve">the process for managing the </w:t>
      </w:r>
      <w:r w:rsidR="00361FA3">
        <w:rPr>
          <w:lang w:eastAsia="ja-JP"/>
        </w:rPr>
        <w:t>external risks of sea containers. However, due to its exposed nature, break</w:t>
      </w:r>
      <w:r>
        <w:rPr>
          <w:lang w:eastAsia="ja-JP"/>
        </w:rPr>
        <w:t>-</w:t>
      </w:r>
      <w:r w:rsidR="00361FA3">
        <w:rPr>
          <w:lang w:eastAsia="ja-JP"/>
        </w:rPr>
        <w:t xml:space="preserve">bulk cargo poses particular risks of external and internal contamination, which must be addressed </w:t>
      </w:r>
      <w:r>
        <w:rPr>
          <w:lang w:eastAsia="ja-JP"/>
        </w:rPr>
        <w:t xml:space="preserve">on a </w:t>
      </w:r>
      <w:r w:rsidR="00361FA3">
        <w:rPr>
          <w:lang w:eastAsia="ja-JP"/>
        </w:rPr>
        <w:t>case</w:t>
      </w:r>
      <w:r>
        <w:rPr>
          <w:lang w:eastAsia="ja-JP"/>
        </w:rPr>
        <w:t>-</w:t>
      </w:r>
      <w:r w:rsidR="00361FA3">
        <w:rPr>
          <w:lang w:eastAsia="ja-JP"/>
        </w:rPr>
        <w:t>by</w:t>
      </w:r>
      <w:r>
        <w:rPr>
          <w:lang w:eastAsia="ja-JP"/>
        </w:rPr>
        <w:t>-</w:t>
      </w:r>
      <w:r w:rsidR="00361FA3">
        <w:rPr>
          <w:lang w:eastAsia="ja-JP"/>
        </w:rPr>
        <w:t>case</w:t>
      </w:r>
      <w:r>
        <w:rPr>
          <w:lang w:eastAsia="ja-JP"/>
        </w:rPr>
        <w:t xml:space="preserve"> basis</w:t>
      </w:r>
      <w:r w:rsidR="00361FA3">
        <w:rPr>
          <w:lang w:eastAsia="ja-JP"/>
        </w:rPr>
        <w:t xml:space="preserve">. </w:t>
      </w:r>
      <w:r w:rsidR="00361FA3">
        <w:t xml:space="preserve">These risks increase as the complexity of the </w:t>
      </w:r>
      <w:r w:rsidR="00361FA3">
        <w:rPr>
          <w:lang w:eastAsia="ja-JP"/>
        </w:rPr>
        <w:t>surface</w:t>
      </w:r>
      <w:r w:rsidR="00361FA3">
        <w:t xml:space="preserve"> and total surface area </w:t>
      </w:r>
      <w:r>
        <w:t xml:space="preserve">increase, because there is a greater </w:t>
      </w:r>
      <w:r w:rsidR="00361FA3">
        <w:t>chance that a hitchhiker pest or contaminant may be hidden and overlooked.</w:t>
      </w:r>
    </w:p>
    <w:p w14:paraId="2ED8CD35" w14:textId="5C997023" w:rsidR="00AB0E44" w:rsidRDefault="004E486D" w:rsidP="00D15AF1">
      <w:pPr>
        <w:rPr>
          <w:lang w:eastAsia="ja-JP"/>
        </w:rPr>
      </w:pPr>
      <w:r>
        <w:rPr>
          <w:lang w:eastAsia="ja-JP"/>
        </w:rPr>
        <w:t>To ensure that any biosecurity risks are identified and managed, b</w:t>
      </w:r>
      <w:r w:rsidR="00361FA3">
        <w:rPr>
          <w:lang w:eastAsia="ja-JP"/>
        </w:rPr>
        <w:t>reak</w:t>
      </w:r>
      <w:r>
        <w:rPr>
          <w:lang w:eastAsia="ja-JP"/>
        </w:rPr>
        <w:t>-</w:t>
      </w:r>
      <w:r w:rsidR="00361FA3">
        <w:rPr>
          <w:lang w:eastAsia="ja-JP"/>
        </w:rPr>
        <w:t>bulk cargo must be inspected before leaving the wharf if it comes from a high</w:t>
      </w:r>
      <w:r>
        <w:rPr>
          <w:lang w:eastAsia="ja-JP"/>
        </w:rPr>
        <w:t>-</w:t>
      </w:r>
      <w:r w:rsidR="00361FA3">
        <w:rPr>
          <w:lang w:eastAsia="ja-JP"/>
        </w:rPr>
        <w:t>risk CAL country or is assessed as a high</w:t>
      </w:r>
      <w:r>
        <w:rPr>
          <w:lang w:eastAsia="ja-JP"/>
        </w:rPr>
        <w:t>-</w:t>
      </w:r>
      <w:r w:rsidR="00361FA3">
        <w:rPr>
          <w:lang w:eastAsia="ja-JP"/>
        </w:rPr>
        <w:t>risk pathway</w:t>
      </w:r>
      <w:r>
        <w:rPr>
          <w:lang w:eastAsia="ja-JP"/>
        </w:rPr>
        <w:t xml:space="preserve">—for example, </w:t>
      </w:r>
      <w:r w:rsidR="00361FA3">
        <w:rPr>
          <w:lang w:eastAsia="ja-JP"/>
        </w:rPr>
        <w:t>used farm machinery or vehicles</w:t>
      </w:r>
      <w:r>
        <w:rPr>
          <w:lang w:eastAsia="ja-JP"/>
        </w:rPr>
        <w:t>.</w:t>
      </w:r>
      <w:r w:rsidR="00361FA3">
        <w:rPr>
          <w:lang w:eastAsia="ja-JP"/>
        </w:rPr>
        <w:t xml:space="preserve"> During inspection the biosecurity officer will visually verify that the cargo is free of giant African snails</w:t>
      </w:r>
      <w:r>
        <w:rPr>
          <w:lang w:eastAsia="ja-JP"/>
        </w:rPr>
        <w:t>;</w:t>
      </w:r>
      <w:r w:rsidR="00361FA3">
        <w:rPr>
          <w:lang w:eastAsia="ja-JP"/>
        </w:rPr>
        <w:t xml:space="preserve"> seasonal pests</w:t>
      </w:r>
      <w:r>
        <w:rPr>
          <w:lang w:eastAsia="ja-JP"/>
        </w:rPr>
        <w:t>;</w:t>
      </w:r>
      <w:r w:rsidR="00361FA3">
        <w:rPr>
          <w:lang w:eastAsia="ja-JP"/>
        </w:rPr>
        <w:t xml:space="preserve"> other insects</w:t>
      </w:r>
      <w:r>
        <w:rPr>
          <w:lang w:eastAsia="ja-JP"/>
        </w:rPr>
        <w:t>,</w:t>
      </w:r>
      <w:r w:rsidR="00361FA3">
        <w:rPr>
          <w:lang w:eastAsia="ja-JP"/>
        </w:rPr>
        <w:t xml:space="preserve"> including ants and bees</w:t>
      </w:r>
      <w:r>
        <w:rPr>
          <w:lang w:eastAsia="ja-JP"/>
        </w:rPr>
        <w:t>;</w:t>
      </w:r>
      <w:r w:rsidR="00361FA3">
        <w:rPr>
          <w:lang w:eastAsia="ja-JP"/>
        </w:rPr>
        <w:t xml:space="preserve"> and biosecurity risk material</w:t>
      </w:r>
      <w:r>
        <w:rPr>
          <w:lang w:eastAsia="ja-JP"/>
        </w:rPr>
        <w:t>,</w:t>
      </w:r>
      <w:r w:rsidR="00361FA3">
        <w:rPr>
          <w:lang w:eastAsia="ja-JP"/>
        </w:rPr>
        <w:t xml:space="preserve"> including soil, seeds and plant or animal materials (</w:t>
      </w:r>
      <w:r w:rsidR="00361FA3">
        <w:rPr>
          <w:lang w:eastAsia="ja-JP"/>
        </w:rPr>
        <w:fldChar w:fldCharType="begin"/>
      </w:r>
      <w:r w:rsidR="00361FA3">
        <w:rPr>
          <w:lang w:eastAsia="ja-JP"/>
        </w:rPr>
        <w:instrText xml:space="preserve"> REF _Ref513549396 \h </w:instrText>
      </w:r>
      <w:r w:rsidR="00361FA3">
        <w:rPr>
          <w:lang w:eastAsia="ja-JP"/>
        </w:rPr>
      </w:r>
      <w:r w:rsidR="00361FA3">
        <w:rPr>
          <w:lang w:eastAsia="ja-JP"/>
        </w:rPr>
        <w:fldChar w:fldCharType="separate"/>
      </w:r>
      <w:r w:rsidR="007F78D8">
        <w:t xml:space="preserve">Figure </w:t>
      </w:r>
      <w:r w:rsidR="007F78D8">
        <w:rPr>
          <w:noProof/>
        </w:rPr>
        <w:t>16</w:t>
      </w:r>
      <w:r w:rsidR="00361FA3">
        <w:rPr>
          <w:lang w:eastAsia="ja-JP"/>
        </w:rPr>
        <w:fldChar w:fldCharType="end"/>
      </w:r>
      <w:r w:rsidR="00361FA3">
        <w:rPr>
          <w:lang w:eastAsia="ja-JP"/>
        </w:rPr>
        <w:t>).</w:t>
      </w:r>
    </w:p>
    <w:p w14:paraId="4E45309C" w14:textId="03E633FF" w:rsidR="00AB0E44" w:rsidRDefault="00361FA3" w:rsidP="00D15AF1">
      <w:pPr>
        <w:rPr>
          <w:lang w:eastAsia="ja-JP"/>
        </w:rPr>
      </w:pPr>
      <w:r>
        <w:rPr>
          <w:lang w:eastAsia="ja-JP"/>
        </w:rPr>
        <w:t xml:space="preserve">Cargo may be released to the importer after inspection at the wharf if no other biosecurity risk exists. Cargo </w:t>
      </w:r>
      <w:r w:rsidR="004E486D">
        <w:rPr>
          <w:lang w:eastAsia="ja-JP"/>
        </w:rPr>
        <w:t xml:space="preserve">that </w:t>
      </w:r>
      <w:r>
        <w:rPr>
          <w:lang w:eastAsia="ja-JP"/>
        </w:rPr>
        <w:t>is too complex or large to thoroughly inspect at the wharf may be directed to a class 1.</w:t>
      </w:r>
      <w:r w:rsidRPr="00423CCE">
        <w:rPr>
          <w:lang w:eastAsia="ja-JP"/>
        </w:rPr>
        <w:t xml:space="preserve">1 approved arrangement </w:t>
      </w:r>
      <w:r w:rsidR="00001851">
        <w:rPr>
          <w:lang w:eastAsia="ja-JP"/>
        </w:rPr>
        <w:t xml:space="preserve">site </w:t>
      </w:r>
      <w:r w:rsidRPr="00423CCE">
        <w:rPr>
          <w:lang w:eastAsia="ja-JP"/>
        </w:rPr>
        <w:t>(</w:t>
      </w:r>
      <w:r>
        <w:rPr>
          <w:lang w:eastAsia="ja-JP"/>
        </w:rPr>
        <w:t xml:space="preserve">sea and air freight depot-unrestricted). However, before it is moved from the wharf, the inspecting officer must ensure that it is enveloped in a tarpaulin (‘envelope tarping’) to prevent any pest or contamination </w:t>
      </w:r>
      <w:r w:rsidR="00423CCE">
        <w:rPr>
          <w:lang w:eastAsia="ja-JP"/>
        </w:rPr>
        <w:t xml:space="preserve">from </w:t>
      </w:r>
      <w:r>
        <w:rPr>
          <w:lang w:eastAsia="ja-JP"/>
        </w:rPr>
        <w:t>escaping during transport.</w:t>
      </w:r>
    </w:p>
    <w:p w14:paraId="4F66C004" w14:textId="2CF1FB4F" w:rsidR="00AB0E44" w:rsidRDefault="00361FA3">
      <w:pPr>
        <w:pStyle w:val="Caption"/>
      </w:pPr>
      <w:bookmarkStart w:id="94" w:name="_Ref513549396"/>
      <w:bookmarkStart w:id="95" w:name="_Toc521069586"/>
      <w:r>
        <w:t xml:space="preserve">Figure </w:t>
      </w:r>
      <w:r w:rsidR="00F21B3D">
        <w:rPr>
          <w:noProof/>
        </w:rPr>
        <w:fldChar w:fldCharType="begin"/>
      </w:r>
      <w:r w:rsidR="00F21B3D">
        <w:rPr>
          <w:noProof/>
        </w:rPr>
        <w:instrText xml:space="preserve"> SEQ Figure \* ARABIC </w:instrText>
      </w:r>
      <w:r w:rsidR="00F21B3D">
        <w:rPr>
          <w:noProof/>
        </w:rPr>
        <w:fldChar w:fldCharType="separate"/>
      </w:r>
      <w:r w:rsidR="007F78D8">
        <w:rPr>
          <w:noProof/>
        </w:rPr>
        <w:t>16</w:t>
      </w:r>
      <w:r w:rsidR="00F21B3D">
        <w:rPr>
          <w:noProof/>
        </w:rPr>
        <w:fldChar w:fldCharType="end"/>
      </w:r>
      <w:bookmarkEnd w:id="94"/>
      <w:r>
        <w:t xml:space="preserve"> Biosecurity officer inspecting an imported new tractor</w:t>
      </w:r>
      <w:bookmarkEnd w:id="95"/>
    </w:p>
    <w:p w14:paraId="33E13025" w14:textId="77777777" w:rsidR="00AB0E44" w:rsidRDefault="00361FA3">
      <w:r>
        <w:t xml:space="preserve"> </w:t>
      </w:r>
      <w:r>
        <w:rPr>
          <w:noProof/>
          <w:lang w:eastAsia="en-AU"/>
        </w:rPr>
        <w:drawing>
          <wp:inline distT="0" distB="0" distL="0" distR="0" wp14:anchorId="0A543884" wp14:editId="0EEDB395">
            <wp:extent cx="3013862" cy="311520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uck inspection port kembla 1.jpg"/>
                    <pic:cNvPicPr/>
                  </pic:nvPicPr>
                  <pic:blipFill rotWithShape="1">
                    <a:blip r:embed="rId41" cstate="print">
                      <a:extLst>
                        <a:ext uri="{28A0092B-C50C-407E-A947-70E740481C1C}">
                          <a14:useLocalDpi xmlns:a14="http://schemas.microsoft.com/office/drawing/2010/main" val="0"/>
                        </a:ext>
                      </a:extLst>
                    </a:blip>
                    <a:srcRect l="19543" r="7841" b="156"/>
                    <a:stretch/>
                  </pic:blipFill>
                  <pic:spPr bwMode="auto">
                    <a:xfrm>
                      <a:off x="0" y="0"/>
                      <a:ext cx="3030922" cy="313283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59F19124" wp14:editId="0CC0C947">
            <wp:extent cx="3126576" cy="2238114"/>
            <wp:effectExtent l="6033" t="0" r="4127" b="412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uck inspection port kembla 2.jpg"/>
                    <pic:cNvPicPr/>
                  </pic:nvPicPr>
                  <pic:blipFill rotWithShape="1">
                    <a:blip r:embed="rId42" cstate="print">
                      <a:extLst>
                        <a:ext uri="{28A0092B-C50C-407E-A947-70E740481C1C}">
                          <a14:useLocalDpi xmlns:a14="http://schemas.microsoft.com/office/drawing/2010/main" val="0"/>
                        </a:ext>
                      </a:extLst>
                    </a:blip>
                    <a:srcRect l="18315" t="22037"/>
                    <a:stretch/>
                  </pic:blipFill>
                  <pic:spPr bwMode="auto">
                    <a:xfrm rot="5400000">
                      <a:off x="0" y="0"/>
                      <a:ext cx="3208813" cy="2296982"/>
                    </a:xfrm>
                    <a:prstGeom prst="rect">
                      <a:avLst/>
                    </a:prstGeom>
                    <a:ln>
                      <a:noFill/>
                    </a:ln>
                    <a:extLst>
                      <a:ext uri="{53640926-AAD7-44D8-BBD7-CCE9431645EC}">
                        <a14:shadowObscured xmlns:a14="http://schemas.microsoft.com/office/drawing/2010/main"/>
                      </a:ext>
                    </a:extLst>
                  </pic:spPr>
                </pic:pic>
              </a:graphicData>
            </a:graphic>
          </wp:inline>
        </w:drawing>
      </w:r>
    </w:p>
    <w:p w14:paraId="6100DB59" w14:textId="77777777" w:rsidR="00AB0E44" w:rsidRDefault="00361FA3">
      <w:pPr>
        <w:pStyle w:val="FigureTableNoteSource"/>
      </w:pPr>
      <w:r>
        <w:t>Source: Department of Agriculture and Water Resources</w:t>
      </w:r>
    </w:p>
    <w:p w14:paraId="78EBD259" w14:textId="4CE60F9F" w:rsidR="00AB0E44" w:rsidRDefault="00361FA3" w:rsidP="00203091">
      <w:pPr>
        <w:spacing w:before="240"/>
        <w:rPr>
          <w:lang w:eastAsia="ja-JP"/>
        </w:rPr>
      </w:pPr>
      <w:r>
        <w:rPr>
          <w:lang w:eastAsia="ja-JP"/>
        </w:rPr>
        <w:t>If the cargo fails inspection, measures will be taken to ensure that</w:t>
      </w:r>
      <w:r w:rsidR="004E486D">
        <w:rPr>
          <w:lang w:eastAsia="ja-JP"/>
        </w:rPr>
        <w:t>,</w:t>
      </w:r>
      <w:r>
        <w:rPr>
          <w:lang w:eastAsia="ja-JP"/>
        </w:rPr>
        <w:t xml:space="preserve"> </w:t>
      </w:r>
      <w:r w:rsidR="004E486D">
        <w:rPr>
          <w:lang w:eastAsia="ja-JP"/>
        </w:rPr>
        <w:t xml:space="preserve">before </w:t>
      </w:r>
      <w:r>
        <w:rPr>
          <w:lang w:eastAsia="ja-JP"/>
        </w:rPr>
        <w:t>treatment</w:t>
      </w:r>
      <w:r w:rsidR="004E486D">
        <w:rPr>
          <w:lang w:eastAsia="ja-JP"/>
        </w:rPr>
        <w:t>,</w:t>
      </w:r>
      <w:r>
        <w:rPr>
          <w:lang w:eastAsia="ja-JP"/>
        </w:rPr>
        <w:t xml:space="preserve"> the pest does not present a threat. </w:t>
      </w:r>
      <w:r w:rsidR="004E486D">
        <w:rPr>
          <w:lang w:eastAsia="ja-JP"/>
        </w:rPr>
        <w:t xml:space="preserve">For example, a </w:t>
      </w:r>
      <w:r>
        <w:rPr>
          <w:lang w:eastAsia="ja-JP"/>
        </w:rPr>
        <w:t>ring</w:t>
      </w:r>
      <w:r w:rsidR="004E486D">
        <w:rPr>
          <w:lang w:eastAsia="ja-JP"/>
        </w:rPr>
        <w:t xml:space="preserve"> of </w:t>
      </w:r>
      <w:r>
        <w:rPr>
          <w:lang w:eastAsia="ja-JP"/>
        </w:rPr>
        <w:t>salt</w:t>
      </w:r>
      <w:r w:rsidR="004E486D">
        <w:rPr>
          <w:lang w:eastAsia="ja-JP"/>
        </w:rPr>
        <w:t xml:space="preserve"> may be placed</w:t>
      </w:r>
      <w:r>
        <w:rPr>
          <w:lang w:eastAsia="ja-JP"/>
        </w:rPr>
        <w:t xml:space="preserve"> around suspected vehicles for snails (</w:t>
      </w:r>
      <w:r>
        <w:rPr>
          <w:lang w:eastAsia="ja-JP"/>
        </w:rPr>
        <w:fldChar w:fldCharType="begin"/>
      </w:r>
      <w:r>
        <w:rPr>
          <w:lang w:eastAsia="ja-JP"/>
        </w:rPr>
        <w:instrText xml:space="preserve"> REF _Ref514147711 \h </w:instrText>
      </w:r>
      <w:r>
        <w:rPr>
          <w:lang w:eastAsia="ja-JP"/>
        </w:rPr>
      </w:r>
      <w:r>
        <w:rPr>
          <w:lang w:eastAsia="ja-JP"/>
        </w:rPr>
        <w:fldChar w:fldCharType="separate"/>
      </w:r>
      <w:r w:rsidR="007F78D8">
        <w:t xml:space="preserve">Figure </w:t>
      </w:r>
      <w:r w:rsidR="007F78D8">
        <w:rPr>
          <w:noProof/>
        </w:rPr>
        <w:t>17</w:t>
      </w:r>
      <w:r>
        <w:rPr>
          <w:lang w:eastAsia="ja-JP"/>
        </w:rPr>
        <w:fldChar w:fldCharType="end"/>
      </w:r>
      <w:r>
        <w:rPr>
          <w:lang w:eastAsia="ja-JP"/>
        </w:rPr>
        <w:t>)</w:t>
      </w:r>
      <w:r w:rsidR="004E486D">
        <w:rPr>
          <w:lang w:eastAsia="ja-JP"/>
        </w:rPr>
        <w:t>,</w:t>
      </w:r>
      <w:r>
        <w:rPr>
          <w:lang w:eastAsia="ja-JP"/>
        </w:rPr>
        <w:t xml:space="preserve"> doors </w:t>
      </w:r>
      <w:r w:rsidR="004E486D">
        <w:rPr>
          <w:lang w:eastAsia="ja-JP"/>
        </w:rPr>
        <w:t xml:space="preserve">may be sealed or a vehicle may be </w:t>
      </w:r>
      <w:r>
        <w:rPr>
          <w:lang w:eastAsia="ja-JP"/>
        </w:rPr>
        <w:t>contai</w:t>
      </w:r>
      <w:r w:rsidR="004E486D">
        <w:rPr>
          <w:lang w:eastAsia="ja-JP"/>
        </w:rPr>
        <w:t>ned</w:t>
      </w:r>
      <w:r>
        <w:rPr>
          <w:lang w:eastAsia="ja-JP"/>
        </w:rPr>
        <w:t xml:space="preserve"> in a quarantine area.</w:t>
      </w:r>
    </w:p>
    <w:p w14:paraId="09F1AB8D" w14:textId="5240793A" w:rsidR="00AB0E44" w:rsidRDefault="00361FA3">
      <w:pPr>
        <w:rPr>
          <w:lang w:eastAsia="ja-JP"/>
        </w:rPr>
      </w:pPr>
      <w:r>
        <w:rPr>
          <w:lang w:eastAsia="ja-JP"/>
        </w:rPr>
        <w:t>Used cars and large machinery are at special risk of carrying hitchhikers or contaminants</w:t>
      </w:r>
      <w:r w:rsidR="004E486D">
        <w:rPr>
          <w:lang w:eastAsia="ja-JP"/>
        </w:rPr>
        <w:t>.</w:t>
      </w:r>
      <w:r>
        <w:rPr>
          <w:lang w:eastAsia="ja-JP"/>
        </w:rPr>
        <w:t xml:space="preserve"> </w:t>
      </w:r>
      <w:r w:rsidR="004E486D">
        <w:rPr>
          <w:lang w:eastAsia="ja-JP"/>
        </w:rPr>
        <w:t xml:space="preserve">They </w:t>
      </w:r>
      <w:r>
        <w:rPr>
          <w:lang w:eastAsia="ja-JP"/>
        </w:rPr>
        <w:t>are</w:t>
      </w:r>
      <w:r>
        <w:rPr>
          <w:rFonts w:eastAsia="Times New Roman"/>
          <w:szCs w:val="24"/>
        </w:rPr>
        <w:t xml:space="preserve"> </w:t>
      </w:r>
      <w:r w:rsidR="004E486D">
        <w:rPr>
          <w:rFonts w:eastAsia="Times New Roman"/>
          <w:szCs w:val="24"/>
        </w:rPr>
        <w:t xml:space="preserve">therefore </w:t>
      </w:r>
      <w:r>
        <w:rPr>
          <w:rFonts w:eastAsia="Times New Roman"/>
          <w:szCs w:val="24"/>
        </w:rPr>
        <w:t xml:space="preserve">subject to 100 per cent inspection. </w:t>
      </w:r>
      <w:r w:rsidR="004E486D">
        <w:t>M</w:t>
      </w:r>
      <w:r>
        <w:t>ore thorough inspections may detect hidden risks</w:t>
      </w:r>
      <w:r w:rsidR="004E486D">
        <w:t>. However,</w:t>
      </w:r>
      <w:r>
        <w:t xml:space="preserve"> the large inspection area, significant </w:t>
      </w:r>
      <w:r>
        <w:rPr>
          <w:lang w:eastAsia="ja-JP"/>
        </w:rPr>
        <w:t>quantity</w:t>
      </w:r>
      <w:r>
        <w:t xml:space="preserve"> of inspections and consequently limited time available per item increase the risk </w:t>
      </w:r>
      <w:r w:rsidR="004E486D">
        <w:t xml:space="preserve">that biosecurity officers may overlook </w:t>
      </w:r>
      <w:r>
        <w:t>a hitchhiker or contaminant.</w:t>
      </w:r>
    </w:p>
    <w:p w14:paraId="174F0695" w14:textId="77777777" w:rsidR="00AB0E44" w:rsidRDefault="00361FA3">
      <w:pPr>
        <w:pStyle w:val="Caption"/>
        <w:rPr>
          <w:lang w:eastAsia="ja-JP"/>
        </w:rPr>
      </w:pPr>
      <w:bookmarkStart w:id="96" w:name="_Ref514147711"/>
      <w:bookmarkStart w:id="97" w:name="_Toc521069587"/>
      <w:r>
        <w:t xml:space="preserve">Figure </w:t>
      </w:r>
      <w:r w:rsidR="00F21B3D">
        <w:rPr>
          <w:noProof/>
        </w:rPr>
        <w:fldChar w:fldCharType="begin"/>
      </w:r>
      <w:r w:rsidR="00F21B3D">
        <w:rPr>
          <w:noProof/>
        </w:rPr>
        <w:instrText xml:space="preserve"> SEQ Figure \* ARABIC </w:instrText>
      </w:r>
      <w:r w:rsidR="00F21B3D">
        <w:rPr>
          <w:noProof/>
        </w:rPr>
        <w:fldChar w:fldCharType="separate"/>
      </w:r>
      <w:r w:rsidR="007F78D8">
        <w:rPr>
          <w:noProof/>
        </w:rPr>
        <w:t>17</w:t>
      </w:r>
      <w:r w:rsidR="00F21B3D">
        <w:rPr>
          <w:noProof/>
        </w:rPr>
        <w:fldChar w:fldCharType="end"/>
      </w:r>
      <w:bookmarkEnd w:id="96"/>
      <w:r>
        <w:t xml:space="preserve"> R</w:t>
      </w:r>
      <w:r>
        <w:rPr>
          <w:lang w:eastAsia="ja-JP"/>
        </w:rPr>
        <w:t>ing-salting around a used car before treatment</w:t>
      </w:r>
      <w:bookmarkEnd w:id="97"/>
    </w:p>
    <w:p w14:paraId="4DBC4B1C" w14:textId="77777777" w:rsidR="00AB0E44" w:rsidRDefault="00361FA3">
      <w:pPr>
        <w:rPr>
          <w:lang w:eastAsia="ja-JP"/>
        </w:rPr>
      </w:pPr>
      <w:r>
        <w:rPr>
          <w:noProof/>
          <w:lang w:eastAsia="en-AU"/>
        </w:rPr>
        <w:drawing>
          <wp:inline distT="0" distB="0" distL="0" distR="0" wp14:anchorId="4C3DC239" wp14:editId="0E748455">
            <wp:extent cx="3648723" cy="21336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pecting cars 2.JPG"/>
                    <pic:cNvPicPr/>
                  </pic:nvPicPr>
                  <pic:blipFill rotWithShape="1">
                    <a:blip r:embed="rId43" cstate="print">
                      <a:extLst>
                        <a:ext uri="{28A0092B-C50C-407E-A947-70E740481C1C}">
                          <a14:useLocalDpi xmlns:a14="http://schemas.microsoft.com/office/drawing/2010/main" val="0"/>
                        </a:ext>
                      </a:extLst>
                    </a:blip>
                    <a:srcRect l="28077" t="34566" r="15011" b="21466"/>
                    <a:stretch/>
                  </pic:blipFill>
                  <pic:spPr bwMode="auto">
                    <a:xfrm>
                      <a:off x="0" y="0"/>
                      <a:ext cx="3671511" cy="2146925"/>
                    </a:xfrm>
                    <a:prstGeom prst="rect">
                      <a:avLst/>
                    </a:prstGeom>
                    <a:ln>
                      <a:noFill/>
                    </a:ln>
                    <a:extLst>
                      <a:ext uri="{53640926-AAD7-44D8-BBD7-CCE9431645EC}">
                        <a14:shadowObscured xmlns:a14="http://schemas.microsoft.com/office/drawing/2010/main"/>
                      </a:ext>
                    </a:extLst>
                  </pic:spPr>
                </pic:pic>
              </a:graphicData>
            </a:graphic>
          </wp:inline>
        </w:drawing>
      </w:r>
    </w:p>
    <w:p w14:paraId="4B9A47DD" w14:textId="77777777" w:rsidR="00AB0E44" w:rsidRDefault="00361FA3">
      <w:pPr>
        <w:pStyle w:val="FigureTableNoteSource"/>
        <w:rPr>
          <w:lang w:eastAsia="ja-JP"/>
        </w:rPr>
      </w:pPr>
      <w:r>
        <w:rPr>
          <w:lang w:eastAsia="ja-JP"/>
        </w:rPr>
        <w:t>Source: Department of Agriculture and Water Resources</w:t>
      </w:r>
    </w:p>
    <w:p w14:paraId="78C3C931" w14:textId="433B206F" w:rsidR="00AB0E44" w:rsidRDefault="00D639CE">
      <w:pPr>
        <w:spacing w:before="360"/>
        <w:rPr>
          <w:lang w:eastAsia="ja-JP"/>
        </w:rPr>
      </w:pPr>
      <w:r>
        <w:rPr>
          <w:lang w:eastAsia="ja-JP"/>
        </w:rPr>
        <w:t>N</w:t>
      </w:r>
      <w:r w:rsidR="00361FA3">
        <w:rPr>
          <w:lang w:eastAsia="ja-JP"/>
        </w:rPr>
        <w:t xml:space="preserve">ew cars and tractors may also be heavily contaminated with seeds </w:t>
      </w:r>
      <w:r>
        <w:rPr>
          <w:lang w:eastAsia="ja-JP"/>
        </w:rPr>
        <w:t xml:space="preserve">that </w:t>
      </w:r>
      <w:r w:rsidR="00361FA3">
        <w:rPr>
          <w:lang w:eastAsia="ja-JP"/>
        </w:rPr>
        <w:t>blew onto them while they awaited export to Australia. Five per cent of each shipment of new cars is inspected unless two contaminated vehicles are discovered</w:t>
      </w:r>
      <w:r>
        <w:rPr>
          <w:lang w:eastAsia="ja-JP"/>
        </w:rPr>
        <w:t>.</w:t>
      </w:r>
      <w:r w:rsidR="00361FA3">
        <w:rPr>
          <w:lang w:eastAsia="ja-JP"/>
        </w:rPr>
        <w:t xml:space="preserve"> </w:t>
      </w:r>
      <w:r>
        <w:rPr>
          <w:lang w:eastAsia="ja-JP"/>
        </w:rPr>
        <w:t xml:space="preserve">If two contaminated vehicles are discovered, </w:t>
      </w:r>
      <w:r w:rsidR="00361FA3">
        <w:rPr>
          <w:lang w:eastAsia="ja-JP"/>
        </w:rPr>
        <w:t>the inspection le</w:t>
      </w:r>
      <w:r w:rsidR="00B324D3">
        <w:rPr>
          <w:lang w:eastAsia="ja-JP"/>
        </w:rPr>
        <w:t>vel is increased to 20 per cent (</w:t>
      </w:r>
      <w:r w:rsidR="00B324D3">
        <w:rPr>
          <w:lang w:eastAsia="ja-JP"/>
        </w:rPr>
        <w:fldChar w:fldCharType="begin"/>
      </w:r>
      <w:r w:rsidR="00B324D3">
        <w:rPr>
          <w:lang w:eastAsia="ja-JP"/>
        </w:rPr>
        <w:instrText xml:space="preserve"> REF _Ref514246139 \h </w:instrText>
      </w:r>
      <w:r w:rsidR="00B324D3">
        <w:rPr>
          <w:lang w:eastAsia="ja-JP"/>
        </w:rPr>
      </w:r>
      <w:r w:rsidR="00B324D3">
        <w:rPr>
          <w:lang w:eastAsia="ja-JP"/>
        </w:rPr>
        <w:fldChar w:fldCharType="separate"/>
      </w:r>
      <w:r w:rsidR="007F78D8">
        <w:t xml:space="preserve">Figure </w:t>
      </w:r>
      <w:r w:rsidR="007F78D8">
        <w:rPr>
          <w:noProof/>
        </w:rPr>
        <w:t>18</w:t>
      </w:r>
      <w:r w:rsidR="00B324D3">
        <w:rPr>
          <w:lang w:eastAsia="ja-JP"/>
        </w:rPr>
        <w:fldChar w:fldCharType="end"/>
      </w:r>
      <w:r w:rsidR="00B324D3">
        <w:rPr>
          <w:lang w:eastAsia="ja-JP"/>
        </w:rPr>
        <w:t xml:space="preserve">). </w:t>
      </w:r>
      <w:r w:rsidR="00361FA3">
        <w:rPr>
          <w:lang w:eastAsia="ja-JP"/>
        </w:rPr>
        <w:t>If a further two contaminated vehicles are found, the whole consignment will require detailed inspection, cleaning to remove any visible seeds and then re-inspection. The importer/manufacturer may elect to have the whole consignment cleaned at any stage before re-inspection. This process continues until the biosecurity officer is satisfied the cargo is not carrying any further risk material. If any insects are detected, they are sent for identification by the department’s entomologists while the cargo is held. If regulated pests are identified, the cargo may need fumigation or other special treatment.</w:t>
      </w:r>
    </w:p>
    <w:p w14:paraId="0A0A49D3" w14:textId="532F145E" w:rsidR="00AB0E44" w:rsidRDefault="00361FA3">
      <w:pPr>
        <w:pStyle w:val="Caption"/>
      </w:pPr>
      <w:bookmarkStart w:id="98" w:name="_Ref514246139"/>
      <w:bookmarkStart w:id="99" w:name="_Toc521069588"/>
      <w:r>
        <w:t xml:space="preserve">Figure </w:t>
      </w:r>
      <w:r w:rsidR="00F21B3D">
        <w:rPr>
          <w:noProof/>
        </w:rPr>
        <w:fldChar w:fldCharType="begin"/>
      </w:r>
      <w:r w:rsidR="00F21B3D">
        <w:rPr>
          <w:noProof/>
        </w:rPr>
        <w:instrText xml:space="preserve"> SEQ Figure \* ARABIC </w:instrText>
      </w:r>
      <w:r w:rsidR="00F21B3D">
        <w:rPr>
          <w:noProof/>
        </w:rPr>
        <w:fldChar w:fldCharType="separate"/>
      </w:r>
      <w:r w:rsidR="007F78D8">
        <w:rPr>
          <w:noProof/>
        </w:rPr>
        <w:t>18</w:t>
      </w:r>
      <w:r w:rsidR="00F21B3D">
        <w:rPr>
          <w:noProof/>
        </w:rPr>
        <w:fldChar w:fldCharType="end"/>
      </w:r>
      <w:bookmarkEnd w:id="98"/>
      <w:r>
        <w:rPr>
          <w:noProof/>
        </w:rPr>
        <w:t xml:space="preserve"> Biosecurity officers inspecting new cars for contamination</w:t>
      </w:r>
      <w:bookmarkEnd w:id="99"/>
    </w:p>
    <w:p w14:paraId="47BEE238" w14:textId="77777777" w:rsidR="00AB0E44" w:rsidRDefault="00361FA3">
      <w:pPr>
        <w:rPr>
          <w:lang w:eastAsia="ja-JP"/>
        </w:rPr>
      </w:pPr>
      <w:r>
        <w:rPr>
          <w:noProof/>
          <w:lang w:eastAsia="en-AU"/>
        </w:rPr>
        <w:drawing>
          <wp:inline distT="0" distB="0" distL="0" distR="0" wp14:anchorId="52598850" wp14:editId="4A41AA5C">
            <wp:extent cx="4146698" cy="211668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pecting cars 1.JPG"/>
                    <pic:cNvPicPr/>
                  </pic:nvPicPr>
                  <pic:blipFill rotWithShape="1">
                    <a:blip r:embed="rId44" cstate="print">
                      <a:extLst>
                        <a:ext uri="{28A0092B-C50C-407E-A947-70E740481C1C}">
                          <a14:useLocalDpi xmlns:a14="http://schemas.microsoft.com/office/drawing/2010/main" val="0"/>
                        </a:ext>
                      </a:extLst>
                    </a:blip>
                    <a:srcRect t="6459" r="11321" b="26660"/>
                    <a:stretch/>
                  </pic:blipFill>
                  <pic:spPr bwMode="auto">
                    <a:xfrm>
                      <a:off x="0" y="0"/>
                      <a:ext cx="4170770" cy="2128973"/>
                    </a:xfrm>
                    <a:prstGeom prst="rect">
                      <a:avLst/>
                    </a:prstGeom>
                    <a:ln>
                      <a:noFill/>
                    </a:ln>
                    <a:extLst>
                      <a:ext uri="{53640926-AAD7-44D8-BBD7-CCE9431645EC}">
                        <a14:shadowObscured xmlns:a14="http://schemas.microsoft.com/office/drawing/2010/main"/>
                      </a:ext>
                    </a:extLst>
                  </pic:spPr>
                </pic:pic>
              </a:graphicData>
            </a:graphic>
          </wp:inline>
        </w:drawing>
      </w:r>
    </w:p>
    <w:p w14:paraId="00F94B86" w14:textId="77777777" w:rsidR="00AB0E44" w:rsidRDefault="00361FA3">
      <w:pPr>
        <w:pStyle w:val="FigureTableNoteSource"/>
        <w:rPr>
          <w:lang w:eastAsia="ja-JP"/>
        </w:rPr>
      </w:pPr>
      <w:r>
        <w:rPr>
          <w:lang w:eastAsia="ja-JP"/>
        </w:rPr>
        <w:t>Source: Department of Agriculture and Water Resources</w:t>
      </w:r>
    </w:p>
    <w:p w14:paraId="76D30A99" w14:textId="74FEB6BD" w:rsidR="00AB0E44" w:rsidRDefault="00361FA3">
      <w:pPr>
        <w:spacing w:before="360"/>
        <w:rPr>
          <w:lang w:eastAsia="ja-JP"/>
        </w:rPr>
      </w:pPr>
      <w:r>
        <w:rPr>
          <w:lang w:eastAsia="ja-JP"/>
        </w:rPr>
        <w:t>The department has developed offshore inspection and cleaning arrangements, especially for companies producing new cars from Thailand and shipping used cars from Japan</w:t>
      </w:r>
      <w:r w:rsidR="00D639CE">
        <w:rPr>
          <w:lang w:eastAsia="ja-JP"/>
        </w:rPr>
        <w:t>.</w:t>
      </w:r>
      <w:r>
        <w:rPr>
          <w:lang w:eastAsia="ja-JP"/>
        </w:rPr>
        <w:t xml:space="preserve"> </w:t>
      </w:r>
      <w:r w:rsidR="00D639CE">
        <w:rPr>
          <w:lang w:eastAsia="ja-JP"/>
        </w:rPr>
        <w:t xml:space="preserve">These arrangements </w:t>
      </w:r>
      <w:r>
        <w:rPr>
          <w:lang w:eastAsia="ja-JP"/>
        </w:rPr>
        <w:t>have greatly reduced the inspection failure rates of some car consignments on arrival. These companies have sent staff to observe and work alongside Australian biosecurity officers so that they can implement required biosecurity risk management measures pre-border. This scheme is currently being expanded to cover new cars from Japan and South Korea.</w:t>
      </w:r>
    </w:p>
    <w:p w14:paraId="194A9542" w14:textId="27D5968B" w:rsidR="00AB0E44" w:rsidRDefault="00361FA3">
      <w:r>
        <w:t>During December 2017 over 36,000 new cars arrived at Port Kembla</w:t>
      </w:r>
      <w:r w:rsidR="00D639CE">
        <w:t>.</w:t>
      </w:r>
      <w:r>
        <w:t xml:space="preserve"> </w:t>
      </w:r>
      <w:r w:rsidR="00D639CE">
        <w:t>O</w:t>
      </w:r>
      <w:r>
        <w:t xml:space="preserve">f these, 3,800 were inspected. </w:t>
      </w:r>
      <w:r>
        <w:rPr>
          <w:lang w:eastAsia="ja-JP"/>
        </w:rPr>
        <w:t>This is a rapid turnover considering the capacity of the wharf is 12,000 cars. During peak periods, some low</w:t>
      </w:r>
      <w:r w:rsidR="00D639CE">
        <w:rPr>
          <w:lang w:eastAsia="ja-JP"/>
        </w:rPr>
        <w:t>-</w:t>
      </w:r>
      <w:r>
        <w:rPr>
          <w:lang w:eastAsia="ja-JP"/>
        </w:rPr>
        <w:t>risk vehicles slated for inspection were missed due to resourcing constraints. From 2011–12 to 2016–17, Port Kembla recorded the most non-compliant inspections (4,821) of all discharging ports.</w:t>
      </w:r>
    </w:p>
    <w:p w14:paraId="5D4CC5CA" w14:textId="5C167DA9" w:rsidR="00AB0E44" w:rsidRDefault="00361FA3">
      <w:pPr>
        <w:spacing w:before="240" w:after="0"/>
        <w:rPr>
          <w:lang w:eastAsia="ja-JP"/>
        </w:rPr>
      </w:pPr>
      <w:r>
        <w:rPr>
          <w:lang w:eastAsia="ja-JP"/>
        </w:rPr>
        <w:fldChar w:fldCharType="begin"/>
      </w:r>
      <w:r>
        <w:rPr>
          <w:lang w:eastAsia="ja-JP"/>
        </w:rPr>
        <w:instrText xml:space="preserve"> REF _Ref514147837 \h </w:instrText>
      </w:r>
      <w:r>
        <w:rPr>
          <w:lang w:eastAsia="ja-JP"/>
        </w:rPr>
      </w:r>
      <w:r>
        <w:rPr>
          <w:lang w:eastAsia="ja-JP"/>
        </w:rPr>
        <w:fldChar w:fldCharType="separate"/>
      </w:r>
      <w:r w:rsidR="007F78D8">
        <w:t xml:space="preserve">Table </w:t>
      </w:r>
      <w:r w:rsidR="007F78D8">
        <w:rPr>
          <w:noProof/>
        </w:rPr>
        <w:t>6</w:t>
      </w:r>
      <w:r>
        <w:rPr>
          <w:lang w:eastAsia="ja-JP"/>
        </w:rPr>
        <w:fldChar w:fldCharType="end"/>
      </w:r>
      <w:r>
        <w:rPr>
          <w:lang w:eastAsia="ja-JP"/>
        </w:rPr>
        <w:t xml:space="preserve"> shows that, from 2011–12 to 2016–17, there were 60,855 break</w:t>
      </w:r>
      <w:r w:rsidR="00D639CE">
        <w:rPr>
          <w:lang w:eastAsia="ja-JP"/>
        </w:rPr>
        <w:t>-</w:t>
      </w:r>
      <w:r>
        <w:rPr>
          <w:lang w:eastAsia="ja-JP"/>
        </w:rPr>
        <w:t>bulk cargo consignments. Of these, 65 per cent were inspected</w:t>
      </w:r>
      <w:r w:rsidR="00D639CE">
        <w:rPr>
          <w:lang w:eastAsia="ja-JP"/>
        </w:rPr>
        <w:t>,</w:t>
      </w:r>
      <w:r>
        <w:rPr>
          <w:lang w:eastAsia="ja-JP"/>
        </w:rPr>
        <w:t xml:space="preserve"> 46 per cent </w:t>
      </w:r>
      <w:r w:rsidR="00D639CE">
        <w:rPr>
          <w:lang w:eastAsia="ja-JP"/>
        </w:rPr>
        <w:t xml:space="preserve">were </w:t>
      </w:r>
      <w:r>
        <w:rPr>
          <w:lang w:eastAsia="ja-JP"/>
        </w:rPr>
        <w:t>non-compliant, almost 39 per cent needing cleaning and 0.5 per cent needing total fumigation.</w:t>
      </w:r>
    </w:p>
    <w:p w14:paraId="654CB4CA" w14:textId="65DFABE3" w:rsidR="00AB0E44" w:rsidRDefault="00361FA3">
      <w:pPr>
        <w:pStyle w:val="Caption"/>
        <w:rPr>
          <w:lang w:eastAsia="ja-JP"/>
        </w:rPr>
      </w:pPr>
      <w:bookmarkStart w:id="100" w:name="_Ref514147837"/>
      <w:bookmarkStart w:id="101" w:name="_Toc521069597"/>
      <w:r>
        <w:t xml:space="preserve">Table </w:t>
      </w:r>
      <w:r w:rsidR="00F21B3D">
        <w:rPr>
          <w:noProof/>
        </w:rPr>
        <w:fldChar w:fldCharType="begin"/>
      </w:r>
      <w:r w:rsidR="00F21B3D">
        <w:rPr>
          <w:noProof/>
        </w:rPr>
        <w:instrText xml:space="preserve"> SEQ Table \* ARABIC </w:instrText>
      </w:r>
      <w:r w:rsidR="00F21B3D">
        <w:rPr>
          <w:noProof/>
        </w:rPr>
        <w:fldChar w:fldCharType="separate"/>
      </w:r>
      <w:r w:rsidR="007F78D8">
        <w:rPr>
          <w:noProof/>
        </w:rPr>
        <w:t>6</w:t>
      </w:r>
      <w:r w:rsidR="00F21B3D">
        <w:rPr>
          <w:noProof/>
        </w:rPr>
        <w:fldChar w:fldCharType="end"/>
      </w:r>
      <w:bookmarkEnd w:id="100"/>
      <w:r>
        <w:rPr>
          <w:noProof/>
        </w:rPr>
        <w:t xml:space="preserve"> Break-bulk cargo summary, 2011–12 to 2016–17</w:t>
      </w:r>
      <w:bookmarkEnd w:id="101"/>
    </w:p>
    <w:tbl>
      <w:tblPr>
        <w:tblStyle w:val="Style1"/>
        <w:tblW w:w="0" w:type="auto"/>
        <w:tblBorders>
          <w:top w:val="single" w:sz="4" w:space="0" w:color="auto"/>
          <w:bottom w:val="single" w:sz="4" w:space="0" w:color="auto"/>
        </w:tblBorders>
        <w:tblLayout w:type="fixed"/>
        <w:tblLook w:val="04A0" w:firstRow="1" w:lastRow="0" w:firstColumn="1" w:lastColumn="0" w:noHBand="0" w:noVBand="1"/>
      </w:tblPr>
      <w:tblGrid>
        <w:gridCol w:w="2830"/>
        <w:gridCol w:w="856"/>
        <w:gridCol w:w="1701"/>
        <w:gridCol w:w="1701"/>
      </w:tblGrid>
      <w:tr w:rsidR="00AB0E44" w14:paraId="76E0E710" w14:textId="77777777" w:rsidTr="00FC2C75">
        <w:trPr>
          <w:cnfStyle w:val="100000000000" w:firstRow="1" w:lastRow="0" w:firstColumn="0" w:lastColumn="0" w:oddVBand="0" w:evenVBand="0" w:oddHBand="0" w:evenHBand="0" w:firstRowFirstColumn="0" w:firstRowLastColumn="0" w:lastRowFirstColumn="0" w:lastRowLastColumn="0"/>
          <w:trHeight w:val="237"/>
          <w:tblHead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C0A47D" w14:textId="77777777" w:rsidR="00AB0E44" w:rsidRDefault="00361FA3">
            <w:pPr>
              <w:pStyle w:val="Tabletext"/>
              <w:rPr>
                <w:lang w:eastAsia="ja-JP"/>
              </w:rPr>
            </w:pPr>
            <w:r>
              <w:rPr>
                <w:lang w:eastAsia="ja-JP"/>
              </w:rPr>
              <w:t>Particulars</w:t>
            </w:r>
          </w:p>
        </w:tc>
        <w:tc>
          <w:tcPr>
            <w:tcW w:w="856" w:type="dxa"/>
            <w:tcBorders>
              <w:top w:val="none" w:sz="0" w:space="0" w:color="auto"/>
              <w:left w:val="none" w:sz="0" w:space="0" w:color="auto"/>
              <w:bottom w:val="none" w:sz="0" w:space="0" w:color="auto"/>
              <w:right w:val="none" w:sz="0" w:space="0" w:color="auto"/>
            </w:tcBorders>
          </w:tcPr>
          <w:p w14:paraId="5B7339F5" w14:textId="77777777" w:rsidR="00AB0E44" w:rsidRDefault="00361FA3">
            <w:pPr>
              <w:pStyle w:val="Tabletext"/>
              <w:cnfStyle w:val="100000000000" w:firstRow="1" w:lastRow="0" w:firstColumn="0" w:lastColumn="0" w:oddVBand="0" w:evenVBand="0" w:oddHBand="0" w:evenHBand="0" w:firstRowFirstColumn="0" w:firstRowLastColumn="0" w:lastRowFirstColumn="0" w:lastRowLastColumn="0"/>
              <w:rPr>
                <w:lang w:eastAsia="ja-JP"/>
              </w:rPr>
            </w:pPr>
            <w:r>
              <w:rPr>
                <w:lang w:eastAsia="ja-JP"/>
              </w:rPr>
              <w:t>Entries</w:t>
            </w:r>
          </w:p>
        </w:tc>
        <w:tc>
          <w:tcPr>
            <w:tcW w:w="1701" w:type="dxa"/>
            <w:tcBorders>
              <w:top w:val="none" w:sz="0" w:space="0" w:color="auto"/>
              <w:left w:val="none" w:sz="0" w:space="0" w:color="auto"/>
              <w:bottom w:val="none" w:sz="0" w:space="0" w:color="auto"/>
              <w:right w:val="none" w:sz="0" w:space="0" w:color="auto"/>
            </w:tcBorders>
          </w:tcPr>
          <w:p w14:paraId="6E835114" w14:textId="0AF39C58" w:rsidR="00AB0E44" w:rsidRDefault="00361FA3" w:rsidP="00024729">
            <w:pPr>
              <w:pStyle w:val="Tabletext"/>
              <w:jc w:val="right"/>
              <w:cnfStyle w:val="100000000000" w:firstRow="1" w:lastRow="0" w:firstColumn="0" w:lastColumn="0" w:oddVBand="0" w:evenVBand="0" w:oddHBand="0" w:evenHBand="0" w:firstRowFirstColumn="0" w:firstRowLastColumn="0" w:lastRowFirstColumn="0" w:lastRowLastColumn="0"/>
              <w:rPr>
                <w:lang w:eastAsia="ja-JP"/>
              </w:rPr>
            </w:pPr>
            <w:r>
              <w:rPr>
                <w:lang w:eastAsia="ja-JP"/>
              </w:rPr>
              <w:t>Total consignment count (%)</w:t>
            </w:r>
          </w:p>
        </w:tc>
        <w:tc>
          <w:tcPr>
            <w:tcW w:w="1701" w:type="dxa"/>
            <w:tcBorders>
              <w:top w:val="none" w:sz="0" w:space="0" w:color="auto"/>
              <w:left w:val="none" w:sz="0" w:space="0" w:color="auto"/>
              <w:bottom w:val="none" w:sz="0" w:space="0" w:color="auto"/>
              <w:right w:val="none" w:sz="0" w:space="0" w:color="auto"/>
            </w:tcBorders>
          </w:tcPr>
          <w:p w14:paraId="3ECA6DBE" w14:textId="77777777" w:rsidR="00AB0E44" w:rsidRDefault="00361FA3" w:rsidP="00024729">
            <w:pPr>
              <w:pStyle w:val="Tabletext"/>
              <w:jc w:val="right"/>
              <w:cnfStyle w:val="100000000000" w:firstRow="1" w:lastRow="0" w:firstColumn="0" w:lastColumn="0" w:oddVBand="0" w:evenVBand="0" w:oddHBand="0" w:evenHBand="0" w:firstRowFirstColumn="0" w:firstRowLastColumn="0" w:lastRowFirstColumn="0" w:lastRowLastColumn="0"/>
              <w:rPr>
                <w:lang w:eastAsia="ja-JP"/>
              </w:rPr>
            </w:pPr>
            <w:r>
              <w:rPr>
                <w:lang w:eastAsia="ja-JP"/>
              </w:rPr>
              <w:t>Percentage of total inspections (%)</w:t>
            </w:r>
          </w:p>
        </w:tc>
      </w:tr>
      <w:tr w:rsidR="00AB0E44" w14:paraId="731042BC" w14:textId="77777777" w:rsidTr="00FC2C7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D573C" w14:textId="3EC1A207" w:rsidR="00AB0E44" w:rsidRDefault="00361FA3">
            <w:pPr>
              <w:pStyle w:val="Tabletext"/>
              <w:rPr>
                <w:lang w:eastAsia="ja-JP"/>
              </w:rPr>
            </w:pPr>
            <w:r>
              <w:rPr>
                <w:lang w:eastAsia="ja-JP"/>
              </w:rPr>
              <w:t>Break-bulk consignments</w:t>
            </w:r>
          </w:p>
        </w:tc>
        <w:tc>
          <w:tcPr>
            <w:tcW w:w="856" w:type="dxa"/>
            <w:tcBorders>
              <w:left w:val="none" w:sz="0" w:space="0" w:color="auto"/>
              <w:right w:val="none" w:sz="0" w:space="0" w:color="auto"/>
            </w:tcBorders>
            <w:shd w:val="clear" w:color="auto" w:fill="auto"/>
          </w:tcPr>
          <w:p w14:paraId="73D86D8A"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60,855</w:t>
            </w:r>
          </w:p>
        </w:tc>
        <w:tc>
          <w:tcPr>
            <w:tcW w:w="1701" w:type="dxa"/>
            <w:tcBorders>
              <w:left w:val="none" w:sz="0" w:space="0" w:color="auto"/>
              <w:right w:val="none" w:sz="0" w:space="0" w:color="auto"/>
            </w:tcBorders>
            <w:shd w:val="clear" w:color="auto" w:fill="auto"/>
          </w:tcPr>
          <w:p w14:paraId="50EF31AE"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proofErr w:type="spellStart"/>
            <w:r>
              <w:rPr>
                <w:lang w:eastAsia="ja-JP"/>
              </w:rPr>
              <w:t>na</w:t>
            </w:r>
            <w:proofErr w:type="spellEnd"/>
          </w:p>
        </w:tc>
        <w:tc>
          <w:tcPr>
            <w:tcW w:w="1701" w:type="dxa"/>
            <w:tcBorders>
              <w:left w:val="none" w:sz="0" w:space="0" w:color="auto"/>
              <w:right w:val="none" w:sz="0" w:space="0" w:color="auto"/>
            </w:tcBorders>
            <w:shd w:val="clear" w:color="auto" w:fill="auto"/>
          </w:tcPr>
          <w:p w14:paraId="0351C571"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proofErr w:type="spellStart"/>
            <w:r>
              <w:rPr>
                <w:lang w:eastAsia="ja-JP"/>
              </w:rPr>
              <w:t>na</w:t>
            </w:r>
            <w:proofErr w:type="spellEnd"/>
          </w:p>
        </w:tc>
      </w:tr>
      <w:tr w:rsidR="00AB0E44" w14:paraId="7390093D" w14:textId="77777777" w:rsidTr="00FC2C75">
        <w:trPr>
          <w:trHeight w:val="74"/>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DD1977" w14:textId="2571BA04" w:rsidR="00AB0E44" w:rsidRDefault="00361FA3">
            <w:pPr>
              <w:pStyle w:val="Tabletext"/>
              <w:rPr>
                <w:lang w:eastAsia="ja-JP"/>
              </w:rPr>
            </w:pPr>
            <w:r>
              <w:rPr>
                <w:lang w:eastAsia="ja-JP"/>
              </w:rPr>
              <w:t>Break-bulk inspections</w:t>
            </w:r>
          </w:p>
        </w:tc>
        <w:tc>
          <w:tcPr>
            <w:tcW w:w="856" w:type="dxa"/>
          </w:tcPr>
          <w:p w14:paraId="2A26BBAE"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39,865</w:t>
            </w:r>
          </w:p>
        </w:tc>
        <w:tc>
          <w:tcPr>
            <w:tcW w:w="1701" w:type="dxa"/>
          </w:tcPr>
          <w:p w14:paraId="2AFAC6B2" w14:textId="16F9EC45"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65.5</w:t>
            </w:r>
          </w:p>
        </w:tc>
        <w:tc>
          <w:tcPr>
            <w:tcW w:w="1701" w:type="dxa"/>
          </w:tcPr>
          <w:p w14:paraId="71A57540"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proofErr w:type="spellStart"/>
            <w:r>
              <w:rPr>
                <w:lang w:eastAsia="ja-JP"/>
              </w:rPr>
              <w:t>na</w:t>
            </w:r>
            <w:proofErr w:type="spellEnd"/>
          </w:p>
        </w:tc>
      </w:tr>
      <w:tr w:rsidR="00AB0E44" w14:paraId="470B747B" w14:textId="77777777" w:rsidTr="00FC2C7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BF6610" w14:textId="2B9AD0B0" w:rsidR="00AB0E44" w:rsidRDefault="00361FA3" w:rsidP="00024729">
            <w:pPr>
              <w:pStyle w:val="Tabletext"/>
              <w:rPr>
                <w:lang w:eastAsia="ja-JP"/>
              </w:rPr>
            </w:pPr>
            <w:r>
              <w:rPr>
                <w:lang w:eastAsia="ja-JP"/>
              </w:rPr>
              <w:t xml:space="preserve">Break-bulk inspections not </w:t>
            </w:r>
            <w:r w:rsidR="00024729">
              <w:rPr>
                <w:lang w:eastAsia="ja-JP"/>
              </w:rPr>
              <w:t>passed</w:t>
            </w:r>
          </w:p>
        </w:tc>
        <w:tc>
          <w:tcPr>
            <w:tcW w:w="856" w:type="dxa"/>
            <w:tcBorders>
              <w:left w:val="none" w:sz="0" w:space="0" w:color="auto"/>
              <w:right w:val="none" w:sz="0" w:space="0" w:color="auto"/>
            </w:tcBorders>
            <w:shd w:val="clear" w:color="auto" w:fill="auto"/>
          </w:tcPr>
          <w:p w14:paraId="04BB6C3A"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18,514</w:t>
            </w:r>
          </w:p>
        </w:tc>
        <w:tc>
          <w:tcPr>
            <w:tcW w:w="1701" w:type="dxa"/>
            <w:tcBorders>
              <w:left w:val="none" w:sz="0" w:space="0" w:color="auto"/>
              <w:right w:val="none" w:sz="0" w:space="0" w:color="auto"/>
            </w:tcBorders>
            <w:shd w:val="clear" w:color="auto" w:fill="auto"/>
          </w:tcPr>
          <w:p w14:paraId="25339CA7" w14:textId="6D44B312"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30.4</w:t>
            </w:r>
          </w:p>
        </w:tc>
        <w:tc>
          <w:tcPr>
            <w:tcW w:w="1701" w:type="dxa"/>
            <w:tcBorders>
              <w:left w:val="none" w:sz="0" w:space="0" w:color="auto"/>
              <w:right w:val="none" w:sz="0" w:space="0" w:color="auto"/>
            </w:tcBorders>
            <w:shd w:val="clear" w:color="auto" w:fill="auto"/>
          </w:tcPr>
          <w:p w14:paraId="480D7342" w14:textId="7F96B026"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46.4</w:t>
            </w:r>
          </w:p>
        </w:tc>
      </w:tr>
      <w:tr w:rsidR="00AB0E44" w14:paraId="48886CE3" w14:textId="77777777" w:rsidTr="00FC2C75">
        <w:trPr>
          <w:trHeight w:val="237"/>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8073CB" w14:textId="77777777" w:rsidR="00AB0E44" w:rsidRDefault="00361FA3">
            <w:pPr>
              <w:pStyle w:val="Tabletext"/>
              <w:rPr>
                <w:lang w:eastAsia="ja-JP"/>
              </w:rPr>
            </w:pPr>
            <w:r>
              <w:rPr>
                <w:lang w:eastAsia="ja-JP"/>
              </w:rPr>
              <w:t>Required cleaning</w:t>
            </w:r>
          </w:p>
        </w:tc>
        <w:tc>
          <w:tcPr>
            <w:tcW w:w="856" w:type="dxa"/>
          </w:tcPr>
          <w:p w14:paraId="63E6F5CE"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15,490</w:t>
            </w:r>
          </w:p>
        </w:tc>
        <w:tc>
          <w:tcPr>
            <w:tcW w:w="1701" w:type="dxa"/>
          </w:tcPr>
          <w:p w14:paraId="2E70CF7B" w14:textId="52F09053"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25.4</w:t>
            </w:r>
          </w:p>
        </w:tc>
        <w:tc>
          <w:tcPr>
            <w:tcW w:w="1701" w:type="dxa"/>
          </w:tcPr>
          <w:p w14:paraId="38D46DE3" w14:textId="71DD96FE"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38.9</w:t>
            </w:r>
          </w:p>
        </w:tc>
      </w:tr>
      <w:tr w:rsidR="00AB0E44" w14:paraId="50CD5C38" w14:textId="77777777" w:rsidTr="00FC2C7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C62EFC" w14:textId="5CF67C1E" w:rsidR="00AB0E44" w:rsidRDefault="00361FA3">
            <w:pPr>
              <w:pStyle w:val="Tabletext"/>
              <w:rPr>
                <w:lang w:eastAsia="ja-JP"/>
              </w:rPr>
            </w:pPr>
            <w:r>
              <w:rPr>
                <w:lang w:eastAsia="ja-JP"/>
              </w:rPr>
              <w:t>Fumigated—GAS rate</w:t>
            </w:r>
          </w:p>
        </w:tc>
        <w:tc>
          <w:tcPr>
            <w:tcW w:w="856" w:type="dxa"/>
            <w:tcBorders>
              <w:left w:val="none" w:sz="0" w:space="0" w:color="auto"/>
              <w:right w:val="none" w:sz="0" w:space="0" w:color="auto"/>
            </w:tcBorders>
            <w:shd w:val="clear" w:color="auto" w:fill="auto"/>
          </w:tcPr>
          <w:p w14:paraId="32055051"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29</w:t>
            </w:r>
          </w:p>
        </w:tc>
        <w:tc>
          <w:tcPr>
            <w:tcW w:w="1701" w:type="dxa"/>
            <w:tcBorders>
              <w:left w:val="none" w:sz="0" w:space="0" w:color="auto"/>
              <w:right w:val="none" w:sz="0" w:space="0" w:color="auto"/>
            </w:tcBorders>
            <w:shd w:val="clear" w:color="auto" w:fill="auto"/>
          </w:tcPr>
          <w:p w14:paraId="10E6F3F1" w14:textId="77046FD3"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0.1</w:t>
            </w:r>
          </w:p>
        </w:tc>
        <w:tc>
          <w:tcPr>
            <w:tcW w:w="1701" w:type="dxa"/>
            <w:tcBorders>
              <w:left w:val="none" w:sz="0" w:space="0" w:color="auto"/>
              <w:right w:val="none" w:sz="0" w:space="0" w:color="auto"/>
            </w:tcBorders>
            <w:shd w:val="clear" w:color="auto" w:fill="auto"/>
          </w:tcPr>
          <w:p w14:paraId="07292717" w14:textId="0042E532"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0.1</w:t>
            </w:r>
          </w:p>
        </w:tc>
      </w:tr>
      <w:tr w:rsidR="00AB0E44" w14:paraId="639059DD" w14:textId="77777777" w:rsidTr="00FC2C75">
        <w:trPr>
          <w:trHeight w:val="237"/>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57B964" w14:textId="52226410" w:rsidR="00AB0E44" w:rsidRDefault="00361FA3" w:rsidP="00432E4C">
            <w:pPr>
              <w:pStyle w:val="Tabletext"/>
              <w:rPr>
                <w:lang w:eastAsia="ja-JP"/>
              </w:rPr>
            </w:pPr>
            <w:r>
              <w:rPr>
                <w:lang w:eastAsia="ja-JP"/>
              </w:rPr>
              <w:t>Fum</w:t>
            </w:r>
            <w:r w:rsidR="00FC2C75">
              <w:rPr>
                <w:lang w:eastAsia="ja-JP"/>
              </w:rPr>
              <w:t>igated</w:t>
            </w:r>
            <w:r>
              <w:rPr>
                <w:lang w:eastAsia="ja-JP"/>
              </w:rPr>
              <w:t>—other rate</w:t>
            </w:r>
          </w:p>
        </w:tc>
        <w:tc>
          <w:tcPr>
            <w:tcW w:w="856" w:type="dxa"/>
          </w:tcPr>
          <w:p w14:paraId="4D70247E"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251</w:t>
            </w:r>
          </w:p>
        </w:tc>
        <w:tc>
          <w:tcPr>
            <w:tcW w:w="1701" w:type="dxa"/>
          </w:tcPr>
          <w:p w14:paraId="6234D6A7" w14:textId="1FBD39B5"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0.4</w:t>
            </w:r>
          </w:p>
        </w:tc>
        <w:tc>
          <w:tcPr>
            <w:tcW w:w="1701" w:type="dxa"/>
          </w:tcPr>
          <w:p w14:paraId="201BBF8D" w14:textId="395B9F4F"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0.6</w:t>
            </w:r>
          </w:p>
        </w:tc>
      </w:tr>
    </w:tbl>
    <w:p w14:paraId="76290D8E" w14:textId="546B2D48" w:rsidR="00AB0E44" w:rsidRDefault="00432E4C">
      <w:pPr>
        <w:pStyle w:val="FigureTableNoteSource"/>
        <w:rPr>
          <w:lang w:eastAsia="ja-JP"/>
        </w:rPr>
      </w:pPr>
      <w:r>
        <w:rPr>
          <w:rStyle w:val="Strong"/>
        </w:rPr>
        <w:t xml:space="preserve">Note: </w:t>
      </w:r>
      <w:r w:rsidR="002850E9" w:rsidRPr="002850E9">
        <w:rPr>
          <w:rStyle w:val="Strong"/>
          <w:b w:val="0"/>
        </w:rPr>
        <w:t>GAS (</w:t>
      </w:r>
      <w:r w:rsidRPr="002850E9">
        <w:rPr>
          <w:rStyle w:val="Strong"/>
          <w:b w:val="0"/>
        </w:rPr>
        <w:t>Giant African snail</w:t>
      </w:r>
      <w:r w:rsidR="002850E9">
        <w:rPr>
          <w:rStyle w:val="Strong"/>
          <w:b w:val="0"/>
        </w:rPr>
        <w:t>) fumigation</w:t>
      </w:r>
      <w:r w:rsidRPr="002850E9">
        <w:rPr>
          <w:rStyle w:val="Strong"/>
          <w:b w:val="0"/>
        </w:rPr>
        <w:t xml:space="preserve"> rate is</w:t>
      </w:r>
      <w:r w:rsidR="00C1280F" w:rsidRPr="002850E9">
        <w:rPr>
          <w:rStyle w:val="Strong"/>
          <w:b w:val="0"/>
        </w:rPr>
        <w:t xml:space="preserve"> 10 times</w:t>
      </w:r>
      <w:r w:rsidRPr="002850E9">
        <w:rPr>
          <w:rStyle w:val="Strong"/>
          <w:b w:val="0"/>
        </w:rPr>
        <w:t xml:space="preserve"> higher than other rates.</w:t>
      </w:r>
    </w:p>
    <w:p w14:paraId="1FFA068F" w14:textId="77777777" w:rsidR="00AB0E44" w:rsidRDefault="00361FA3">
      <w:pPr>
        <w:pStyle w:val="FigureTableNoteSource"/>
        <w:rPr>
          <w:lang w:eastAsia="ja-JP"/>
        </w:rPr>
      </w:pPr>
      <w:r>
        <w:rPr>
          <w:lang w:eastAsia="ja-JP"/>
        </w:rPr>
        <w:t>Source: Department of Agriculture and Water Resources</w:t>
      </w:r>
    </w:p>
    <w:p w14:paraId="55DA6D18" w14:textId="60DB0B7B" w:rsidR="00AB0E44" w:rsidRDefault="00361FA3" w:rsidP="00203091">
      <w:pPr>
        <w:spacing w:before="240"/>
        <w:rPr>
          <w:lang w:eastAsia="ja-JP"/>
        </w:rPr>
      </w:pPr>
      <w:r>
        <w:rPr>
          <w:lang w:eastAsia="ja-JP"/>
        </w:rPr>
        <w:t xml:space="preserve">Ten per cent of those needing fumigation required a high rate </w:t>
      </w:r>
      <w:r w:rsidR="00D639CE">
        <w:rPr>
          <w:lang w:eastAsia="ja-JP"/>
        </w:rPr>
        <w:t xml:space="preserve">of fumigation </w:t>
      </w:r>
      <w:r>
        <w:rPr>
          <w:lang w:eastAsia="ja-JP"/>
        </w:rPr>
        <w:t xml:space="preserve">for giant African snails (128 grams per cubic </w:t>
      </w:r>
      <w:r w:rsidRPr="00325572">
        <w:rPr>
          <w:lang w:eastAsia="ja-JP"/>
        </w:rPr>
        <w:t>metre at 21 °C for 24 hours</w:t>
      </w:r>
      <w:r w:rsidR="00D639CE" w:rsidRPr="00325572">
        <w:rPr>
          <w:lang w:eastAsia="ja-JP"/>
        </w:rPr>
        <w:t>).</w:t>
      </w:r>
      <w:r w:rsidRPr="00325572">
        <w:rPr>
          <w:lang w:eastAsia="ja-JP"/>
        </w:rPr>
        <w:t xml:space="preserve"> </w:t>
      </w:r>
      <w:r w:rsidR="00D639CE" w:rsidRPr="00325572">
        <w:rPr>
          <w:lang w:eastAsia="ja-JP"/>
        </w:rPr>
        <w:t>T</w:t>
      </w:r>
      <w:r w:rsidRPr="00325572">
        <w:rPr>
          <w:lang w:eastAsia="ja-JP"/>
        </w:rPr>
        <w:t>he</w:t>
      </w:r>
      <w:r>
        <w:rPr>
          <w:lang w:eastAsia="ja-JP"/>
        </w:rPr>
        <w:t xml:space="preserve"> rest </w:t>
      </w:r>
      <w:r w:rsidR="00D639CE">
        <w:rPr>
          <w:lang w:eastAsia="ja-JP"/>
        </w:rPr>
        <w:t xml:space="preserve">required </w:t>
      </w:r>
      <w:r>
        <w:rPr>
          <w:lang w:eastAsia="ja-JP"/>
        </w:rPr>
        <w:t>a lower rate (32 grams per cubic metre at 21 °C for 24 hours) to kill the pests detected.</w:t>
      </w:r>
    </w:p>
    <w:p w14:paraId="3798270F" w14:textId="3F4A15B2" w:rsidR="00AB0E44" w:rsidRDefault="00361FA3">
      <w:pPr>
        <w:rPr>
          <w:lang w:val="en" w:eastAsia="ja-JP"/>
        </w:rPr>
      </w:pPr>
      <w:r>
        <w:rPr>
          <w:lang w:eastAsia="ja-JP"/>
        </w:rPr>
        <w:t xml:space="preserve">The department depends on methyl bromide for much biosecurity fumigation. </w:t>
      </w:r>
      <w:r w:rsidR="00D639CE">
        <w:rPr>
          <w:lang w:eastAsia="ja-JP"/>
        </w:rPr>
        <w:t xml:space="preserve">Under the </w:t>
      </w:r>
      <w:r w:rsidR="00D639CE" w:rsidRPr="00D639CE">
        <w:rPr>
          <w:lang w:eastAsia="ja-JP"/>
        </w:rPr>
        <w:t>Montreal Protocol on Substances that Deplete the Ozone Layer</w:t>
      </w:r>
      <w:r w:rsidR="00D639CE">
        <w:rPr>
          <w:lang w:eastAsia="ja-JP"/>
        </w:rPr>
        <w:t>, m</w:t>
      </w:r>
      <w:r>
        <w:rPr>
          <w:lang w:eastAsia="ja-JP"/>
        </w:rPr>
        <w:t>ethyl bromide was scheduled to be phased out from January 2005</w:t>
      </w:r>
      <w:r w:rsidR="00D639CE">
        <w:rPr>
          <w:lang w:val="en" w:eastAsia="ja-JP"/>
        </w:rPr>
        <w:t xml:space="preserve">. However, </w:t>
      </w:r>
      <w:r>
        <w:rPr>
          <w:lang w:val="en" w:eastAsia="ja-JP"/>
        </w:rPr>
        <w:t>‘critical use exemptions’, notably for quarantine, were allowed.</w:t>
      </w:r>
      <w:r>
        <w:rPr>
          <w:lang w:eastAsia="ja-JP"/>
        </w:rPr>
        <w:t xml:space="preserve"> Some countries have already stopped using methyl bromide—t</w:t>
      </w:r>
      <w:r>
        <w:rPr>
          <w:lang w:val="en" w:eastAsia="ja-JP"/>
        </w:rPr>
        <w:t xml:space="preserve">he European Union banned it for all uses in March 2010. Australia’s consumption of methyl bromide dropped from over 200 </w:t>
      </w:r>
      <w:proofErr w:type="spellStart"/>
      <w:r>
        <w:rPr>
          <w:lang w:val="en" w:eastAsia="ja-JP"/>
        </w:rPr>
        <w:t>tonnes</w:t>
      </w:r>
      <w:proofErr w:type="spellEnd"/>
      <w:r>
        <w:rPr>
          <w:lang w:val="en" w:eastAsia="ja-JP"/>
        </w:rPr>
        <w:t xml:space="preserve"> in 2004 to </w:t>
      </w:r>
      <w:r w:rsidRPr="00024729">
        <w:rPr>
          <w:lang w:val="en" w:eastAsia="ja-JP"/>
        </w:rPr>
        <w:t xml:space="preserve">32 </w:t>
      </w:r>
      <w:proofErr w:type="spellStart"/>
      <w:r w:rsidRPr="00024729">
        <w:rPr>
          <w:lang w:val="en" w:eastAsia="ja-JP"/>
        </w:rPr>
        <w:t>tonnes</w:t>
      </w:r>
      <w:proofErr w:type="spellEnd"/>
      <w:r w:rsidRPr="00024729">
        <w:rPr>
          <w:lang w:val="en" w:eastAsia="ja-JP"/>
        </w:rPr>
        <w:t xml:space="preserve"> in 2013</w:t>
      </w:r>
      <w:r w:rsidR="00D639CE" w:rsidRPr="00024729">
        <w:rPr>
          <w:lang w:val="en" w:eastAsia="ja-JP"/>
        </w:rPr>
        <w:t>,</w:t>
      </w:r>
      <w:r w:rsidRPr="00024729">
        <w:rPr>
          <w:lang w:val="en" w:eastAsia="ja-JP"/>
        </w:rPr>
        <w:t xml:space="preserve"> and it is </w:t>
      </w:r>
      <w:proofErr w:type="spellStart"/>
      <w:r w:rsidRPr="00024729">
        <w:rPr>
          <w:lang w:val="en" w:eastAsia="ja-JP"/>
        </w:rPr>
        <w:t>trialling</w:t>
      </w:r>
      <w:proofErr w:type="spellEnd"/>
      <w:r w:rsidRPr="00024729">
        <w:rPr>
          <w:lang w:val="en" w:eastAsia="ja-JP"/>
        </w:rPr>
        <w:t xml:space="preserve"> alternatives such as </w:t>
      </w:r>
      <w:proofErr w:type="spellStart"/>
      <w:r w:rsidRPr="00024729">
        <w:rPr>
          <w:lang w:val="en" w:eastAsia="ja-JP"/>
        </w:rPr>
        <w:t>sulphuryl</w:t>
      </w:r>
      <w:proofErr w:type="spellEnd"/>
      <w:r w:rsidRPr="00024729">
        <w:rPr>
          <w:lang w:val="en" w:eastAsia="ja-JP"/>
        </w:rPr>
        <w:t xml:space="preserve"> fluoride. Unfortunately, </w:t>
      </w:r>
      <w:proofErr w:type="spellStart"/>
      <w:r w:rsidR="00D639CE" w:rsidRPr="00024729">
        <w:rPr>
          <w:lang w:val="en" w:eastAsia="ja-JP"/>
        </w:rPr>
        <w:t>sulphuryl</w:t>
      </w:r>
      <w:proofErr w:type="spellEnd"/>
      <w:r w:rsidR="00D639CE" w:rsidRPr="00024729">
        <w:rPr>
          <w:lang w:val="en" w:eastAsia="ja-JP"/>
        </w:rPr>
        <w:t xml:space="preserve"> fluoride </w:t>
      </w:r>
      <w:r w:rsidRPr="00024729">
        <w:rPr>
          <w:lang w:val="en" w:eastAsia="ja-JP"/>
        </w:rPr>
        <w:t>is</w:t>
      </w:r>
      <w:r>
        <w:rPr>
          <w:lang w:val="en" w:eastAsia="ja-JP"/>
        </w:rPr>
        <w:t xml:space="preserve"> a dangerous greenhouse gas</w:t>
      </w:r>
      <w:r w:rsidR="008305EC">
        <w:rPr>
          <w:lang w:val="en" w:eastAsia="ja-JP"/>
        </w:rPr>
        <w:t xml:space="preserve">. It is </w:t>
      </w:r>
      <w:r>
        <w:rPr>
          <w:lang w:val="en" w:eastAsia="ja-JP"/>
        </w:rPr>
        <w:t>4,800 times more potent than carbon dioxide</w:t>
      </w:r>
      <w:r w:rsidR="008305EC">
        <w:rPr>
          <w:lang w:val="en" w:eastAsia="ja-JP"/>
        </w:rPr>
        <w:t xml:space="preserve"> and has </w:t>
      </w:r>
      <w:r>
        <w:rPr>
          <w:lang w:val="en" w:eastAsia="ja-JP"/>
        </w:rPr>
        <w:t xml:space="preserve">a 37-year atmospheric lifespan (Weiss &amp; </w:t>
      </w:r>
      <w:proofErr w:type="spellStart"/>
      <w:r>
        <w:rPr>
          <w:lang w:val="en" w:eastAsia="ja-JP"/>
        </w:rPr>
        <w:t>Prinn</w:t>
      </w:r>
      <w:proofErr w:type="spellEnd"/>
      <w:r>
        <w:rPr>
          <w:lang w:val="en" w:eastAsia="ja-JP"/>
        </w:rPr>
        <w:t xml:space="preserve"> 2011).</w:t>
      </w:r>
    </w:p>
    <w:p w14:paraId="571FF13B" w14:textId="26596FF6" w:rsidR="00197FAF" w:rsidRDefault="00197FAF">
      <w:pPr>
        <w:rPr>
          <w:lang w:eastAsia="ja-JP"/>
        </w:rPr>
      </w:pPr>
      <w:r>
        <w:rPr>
          <w:lang w:val="en" w:eastAsia="ja-JP"/>
        </w:rPr>
        <w:t xml:space="preserve">Chevron Australia and Plant Biosecurity </w:t>
      </w:r>
      <w:r w:rsidRPr="00D86C2A">
        <w:rPr>
          <w:lang w:val="en" w:eastAsia="ja-JP"/>
        </w:rPr>
        <w:t xml:space="preserve">Cooperative Research Centre </w:t>
      </w:r>
      <w:r>
        <w:rPr>
          <w:lang w:val="en" w:eastAsia="ja-JP"/>
        </w:rPr>
        <w:t xml:space="preserve">have successfully undertaken research projects to investigate use of ethyl </w:t>
      </w:r>
      <w:proofErr w:type="spellStart"/>
      <w:r>
        <w:rPr>
          <w:lang w:val="en" w:eastAsia="ja-JP"/>
        </w:rPr>
        <w:t>formate</w:t>
      </w:r>
      <w:proofErr w:type="spellEnd"/>
      <w:r>
        <w:rPr>
          <w:lang w:val="en" w:eastAsia="ja-JP"/>
        </w:rPr>
        <w:t xml:space="preserve"> with nitrogen as fumigation treatment for container disinfestation. Results indicated that </w:t>
      </w:r>
      <w:r w:rsidRPr="00EB79B4">
        <w:rPr>
          <w:lang w:val="en" w:eastAsia="ja-JP"/>
        </w:rPr>
        <w:t xml:space="preserve">ethyl </w:t>
      </w:r>
      <w:proofErr w:type="spellStart"/>
      <w:r w:rsidRPr="00EB79B4">
        <w:rPr>
          <w:lang w:val="en" w:eastAsia="ja-JP"/>
        </w:rPr>
        <w:t>formate</w:t>
      </w:r>
      <w:proofErr w:type="spellEnd"/>
      <w:r>
        <w:rPr>
          <w:lang w:val="en" w:eastAsia="ja-JP"/>
        </w:rPr>
        <w:t xml:space="preserve"> was effective in killing surface pests in 20</w:t>
      </w:r>
      <w:r>
        <w:rPr>
          <w:rFonts w:ascii="Calibri" w:hAnsi="Calibri"/>
          <w:lang w:val="en" w:eastAsia="ja-JP"/>
        </w:rPr>
        <w:t xml:space="preserve">- and 40-foot containers loaded with various items including </w:t>
      </w:r>
      <w:r w:rsidRPr="00677673">
        <w:rPr>
          <w:rFonts w:ascii="Calibri" w:hAnsi="Calibri"/>
          <w:lang w:val="en" w:eastAsia="ja-JP"/>
        </w:rPr>
        <w:t>metals, plastic, towel</w:t>
      </w:r>
      <w:r w:rsidR="001B283F">
        <w:rPr>
          <w:rFonts w:ascii="Calibri" w:hAnsi="Calibri"/>
          <w:lang w:val="en" w:eastAsia="ja-JP"/>
        </w:rPr>
        <w:t>s</w:t>
      </w:r>
      <w:r w:rsidRPr="00677673">
        <w:rPr>
          <w:rFonts w:ascii="Calibri" w:hAnsi="Calibri"/>
          <w:lang w:val="en" w:eastAsia="ja-JP"/>
        </w:rPr>
        <w:t xml:space="preserve"> and toilet paper </w:t>
      </w:r>
      <w:r>
        <w:rPr>
          <w:lang w:val="en" w:eastAsia="ja-JP"/>
        </w:rPr>
        <w:t xml:space="preserve">(Ren and Newman 2015). Further trials are continuing for the use of ethyl </w:t>
      </w:r>
      <w:proofErr w:type="spellStart"/>
      <w:r>
        <w:rPr>
          <w:lang w:val="en" w:eastAsia="ja-JP"/>
        </w:rPr>
        <w:t>formate</w:t>
      </w:r>
      <w:proofErr w:type="spellEnd"/>
      <w:r>
        <w:rPr>
          <w:lang w:val="en" w:eastAsia="ja-JP"/>
        </w:rPr>
        <w:t xml:space="preserve"> for in-transit fumigation of containers from Perth to Barrow Island, Western Australia (Ren et al. 2017).</w:t>
      </w:r>
      <w:r w:rsidR="001B283F">
        <w:rPr>
          <w:lang w:val="en" w:eastAsia="ja-JP"/>
        </w:rPr>
        <w:t xml:space="preserve"> Ethyl </w:t>
      </w:r>
      <w:proofErr w:type="spellStart"/>
      <w:r w:rsidR="001B283F">
        <w:rPr>
          <w:lang w:val="en" w:eastAsia="ja-JP"/>
        </w:rPr>
        <w:t>formate</w:t>
      </w:r>
      <w:proofErr w:type="spellEnd"/>
      <w:r w:rsidR="001B283F">
        <w:rPr>
          <w:lang w:val="en" w:eastAsia="ja-JP"/>
        </w:rPr>
        <w:t xml:space="preserve"> is non-toxic and generally regarded as safe for use in foods, and a formulation in carbon dioxide is already registered for use in Australia.</w:t>
      </w:r>
    </w:p>
    <w:p w14:paraId="631F2F28" w14:textId="77777777" w:rsidR="00AB0E44" w:rsidRDefault="00361FA3" w:rsidP="005721A3">
      <w:pPr>
        <w:pStyle w:val="Caption"/>
        <w:spacing w:before="240"/>
      </w:pPr>
      <w:r>
        <w:t xml:space="preserve">Recommendation </w:t>
      </w:r>
      <w:r w:rsidR="00F21B3D">
        <w:rPr>
          <w:noProof/>
        </w:rPr>
        <w:fldChar w:fldCharType="begin"/>
      </w:r>
      <w:r w:rsidR="00F21B3D">
        <w:rPr>
          <w:noProof/>
        </w:rPr>
        <w:instrText xml:space="preserve"> SEQ Recommendation \* ARABIC </w:instrText>
      </w:r>
      <w:r w:rsidR="00F21B3D">
        <w:rPr>
          <w:noProof/>
        </w:rPr>
        <w:fldChar w:fldCharType="separate"/>
      </w:r>
      <w:r w:rsidR="007F78D8">
        <w:rPr>
          <w:noProof/>
        </w:rPr>
        <w:t>5</w:t>
      </w:r>
      <w:r w:rsidR="00F21B3D">
        <w:rPr>
          <w:noProof/>
        </w:rPr>
        <w:fldChar w:fldCharType="end"/>
      </w:r>
    </w:p>
    <w:p w14:paraId="1C5053CD" w14:textId="068A677C" w:rsidR="00840E53" w:rsidRDefault="00840E53">
      <w:pPr>
        <w:pStyle w:val="BoxText"/>
      </w:pPr>
      <w:r w:rsidRPr="00840E53">
        <w:t>The department should continue to reduce its dependence on methyl bromide gas for fumigation and consider assessing and approving alternative treatments.</w:t>
      </w:r>
    </w:p>
    <w:p w14:paraId="02E7AE1C" w14:textId="77777777" w:rsidR="002F1C95" w:rsidRPr="002F1C95" w:rsidRDefault="00361FA3" w:rsidP="002F1C95">
      <w:pPr>
        <w:pStyle w:val="BoxText"/>
        <w:rPr>
          <w:rStyle w:val="Strong"/>
          <w:b w:val="0"/>
        </w:rPr>
      </w:pPr>
      <w:r>
        <w:rPr>
          <w:rStyle w:val="Strong"/>
        </w:rPr>
        <w:t>Department’s response:</w:t>
      </w:r>
      <w:r w:rsidR="002F1C95">
        <w:rPr>
          <w:rStyle w:val="Strong"/>
          <w:b w:val="0"/>
        </w:rPr>
        <w:t xml:space="preserve"> </w:t>
      </w:r>
      <w:r w:rsidR="002F1C95" w:rsidRPr="002F1C95">
        <w:rPr>
          <w:rStyle w:val="Strong"/>
          <w:b w:val="0"/>
        </w:rPr>
        <w:t xml:space="preserve">Agreed. </w:t>
      </w:r>
    </w:p>
    <w:p w14:paraId="2A7127CF" w14:textId="0D0F2265" w:rsidR="00AB0E44" w:rsidRPr="002F1C95" w:rsidRDefault="002F1C95" w:rsidP="002F1C95">
      <w:pPr>
        <w:pStyle w:val="BoxText"/>
        <w:rPr>
          <w:rStyle w:val="Strong"/>
          <w:b w:val="0"/>
        </w:rPr>
      </w:pPr>
      <w:r w:rsidRPr="002F1C95">
        <w:rPr>
          <w:rStyle w:val="Strong"/>
          <w:b w:val="0"/>
        </w:rPr>
        <w:t>The department is continuing to investigate alternatives to methyl bromide gas for fumigation and is also continuing to assess and approve alternative treatments where relevant.</w:t>
      </w:r>
    </w:p>
    <w:p w14:paraId="521107DD" w14:textId="0D55F767" w:rsidR="00AB0E44" w:rsidRDefault="00361FA3">
      <w:pPr>
        <w:spacing w:before="360"/>
        <w:rPr>
          <w:lang w:eastAsia="ja-JP"/>
        </w:rPr>
      </w:pPr>
      <w:r>
        <w:rPr>
          <w:lang w:eastAsia="ja-JP"/>
        </w:rPr>
        <w:t xml:space="preserve">In general, </w:t>
      </w:r>
      <w:r w:rsidR="00D639CE">
        <w:rPr>
          <w:lang w:eastAsia="ja-JP"/>
        </w:rPr>
        <w:t xml:space="preserve">the department and its associated overseas and industry collaborators appear to be managing </w:t>
      </w:r>
      <w:r>
        <w:rPr>
          <w:lang w:eastAsia="ja-JP"/>
        </w:rPr>
        <w:t>the external biosecurity risks of break</w:t>
      </w:r>
      <w:r w:rsidR="00D639CE">
        <w:rPr>
          <w:lang w:eastAsia="ja-JP"/>
        </w:rPr>
        <w:t>-</w:t>
      </w:r>
      <w:r>
        <w:rPr>
          <w:lang w:eastAsia="ja-JP"/>
        </w:rPr>
        <w:t xml:space="preserve">bulk cargo well. However, large complex consignments may sometimes overwhelm available inspection resources. The biosecurity inspection teams at Port Kembla and other ports contain very experienced staff with high </w:t>
      </w:r>
      <w:r w:rsidR="008305EC">
        <w:rPr>
          <w:lang w:eastAsia="ja-JP"/>
        </w:rPr>
        <w:t xml:space="preserve">levels of </w:t>
      </w:r>
      <w:r>
        <w:rPr>
          <w:lang w:eastAsia="ja-JP"/>
        </w:rPr>
        <w:t xml:space="preserve">expertise in finding and removing pests and contamination from complex vehicles and machinery. </w:t>
      </w:r>
      <w:r w:rsidR="00D639CE">
        <w:rPr>
          <w:lang w:eastAsia="ja-JP"/>
        </w:rPr>
        <w:t>However, p</w:t>
      </w:r>
      <w:r>
        <w:rPr>
          <w:lang w:eastAsia="ja-JP"/>
        </w:rPr>
        <w:t>ressures will continue to increase</w:t>
      </w:r>
      <w:r w:rsidR="00D639CE">
        <w:rPr>
          <w:lang w:eastAsia="ja-JP"/>
        </w:rPr>
        <w:t>.</w:t>
      </w:r>
      <w:r>
        <w:rPr>
          <w:lang w:eastAsia="ja-JP"/>
        </w:rPr>
        <w:t xml:space="preserve"> </w:t>
      </w:r>
      <w:r w:rsidR="00D639CE">
        <w:rPr>
          <w:lang w:eastAsia="ja-JP"/>
        </w:rPr>
        <w:t>F</w:t>
      </w:r>
      <w:r>
        <w:rPr>
          <w:lang w:eastAsia="ja-JP"/>
        </w:rPr>
        <w:t>or example, due to cessation of domestic car manufacturing, Australia will import more new cars. In February 2018, New Zealand refused access to three ships from Japan carrying 10,000 cars</w:t>
      </w:r>
      <w:r w:rsidR="00D639CE">
        <w:rPr>
          <w:lang w:eastAsia="ja-JP"/>
        </w:rPr>
        <w:t xml:space="preserve"> because </w:t>
      </w:r>
      <w:r>
        <w:rPr>
          <w:lang w:eastAsia="ja-JP"/>
        </w:rPr>
        <w:t xml:space="preserve">brown marmorated stink bugs </w:t>
      </w:r>
      <w:r w:rsidR="00D639CE">
        <w:rPr>
          <w:lang w:eastAsia="ja-JP"/>
        </w:rPr>
        <w:t xml:space="preserve">were detected </w:t>
      </w:r>
      <w:proofErr w:type="spellStart"/>
      <w:r>
        <w:rPr>
          <w:lang w:eastAsia="ja-JP"/>
        </w:rPr>
        <w:t>onboard</w:t>
      </w:r>
      <w:proofErr w:type="spellEnd"/>
      <w:r>
        <w:rPr>
          <w:lang w:eastAsia="ja-JP"/>
        </w:rPr>
        <w:t>.</w:t>
      </w:r>
    </w:p>
    <w:p w14:paraId="7267970D" w14:textId="77777777" w:rsidR="00AB0E44" w:rsidRDefault="00361FA3" w:rsidP="005721A3">
      <w:pPr>
        <w:pStyle w:val="Caption"/>
        <w:spacing w:before="240"/>
      </w:pPr>
      <w:r>
        <w:t xml:space="preserve">Recommendation </w:t>
      </w:r>
      <w:r w:rsidR="00F21B3D">
        <w:rPr>
          <w:noProof/>
        </w:rPr>
        <w:fldChar w:fldCharType="begin"/>
      </w:r>
      <w:r w:rsidR="00F21B3D">
        <w:rPr>
          <w:noProof/>
        </w:rPr>
        <w:instrText xml:space="preserve"> SEQ Recommendation \* ARABIC </w:instrText>
      </w:r>
      <w:r w:rsidR="00F21B3D">
        <w:rPr>
          <w:noProof/>
        </w:rPr>
        <w:fldChar w:fldCharType="separate"/>
      </w:r>
      <w:r w:rsidR="007F78D8">
        <w:rPr>
          <w:noProof/>
        </w:rPr>
        <w:t>6</w:t>
      </w:r>
      <w:r w:rsidR="00F21B3D">
        <w:rPr>
          <w:noProof/>
        </w:rPr>
        <w:fldChar w:fldCharType="end"/>
      </w:r>
    </w:p>
    <w:p w14:paraId="0B1AD1E6" w14:textId="43ADE600" w:rsidR="00AB0E44" w:rsidRDefault="00361FA3">
      <w:pPr>
        <w:pStyle w:val="BoxText"/>
      </w:pPr>
      <w:r>
        <w:t xml:space="preserve">The department should develop a </w:t>
      </w:r>
      <w:r w:rsidR="00A6322D">
        <w:t xml:space="preserve">comprehensive </w:t>
      </w:r>
      <w:r>
        <w:t xml:space="preserve">training and rotation program to maintain a pool of </w:t>
      </w:r>
      <w:r w:rsidR="00A6322D">
        <w:t xml:space="preserve">competent </w:t>
      </w:r>
      <w:r>
        <w:t>biosecurity officers</w:t>
      </w:r>
      <w:r w:rsidR="00A6322D">
        <w:t xml:space="preserve"> with expertise </w:t>
      </w:r>
      <w:r>
        <w:t>in specialised inspection areas</w:t>
      </w:r>
      <w:r w:rsidR="00A6322D">
        <w:t xml:space="preserve"> and the experience necessary </w:t>
      </w:r>
      <w:r>
        <w:t xml:space="preserve">to cope with peaks in import inspection demand. This </w:t>
      </w:r>
      <w:r w:rsidR="00A6322D">
        <w:t xml:space="preserve">program </w:t>
      </w:r>
      <w:r>
        <w:t>should be regularly reviewed and adequately resourced.</w:t>
      </w:r>
    </w:p>
    <w:p w14:paraId="5E9E7A58" w14:textId="77777777" w:rsidR="002F1C95" w:rsidRPr="002F1C95" w:rsidRDefault="00361FA3" w:rsidP="002F1C95">
      <w:pPr>
        <w:pStyle w:val="BoxText"/>
        <w:rPr>
          <w:rStyle w:val="Strong"/>
          <w:b w:val="0"/>
        </w:rPr>
      </w:pPr>
      <w:r>
        <w:rPr>
          <w:rStyle w:val="Strong"/>
        </w:rPr>
        <w:t>Department’s response:</w:t>
      </w:r>
      <w:r w:rsidR="002F1C95">
        <w:rPr>
          <w:rStyle w:val="Strong"/>
          <w:b w:val="0"/>
        </w:rPr>
        <w:t xml:space="preserve"> </w:t>
      </w:r>
      <w:r w:rsidR="002F1C95" w:rsidRPr="002F1C95">
        <w:rPr>
          <w:rStyle w:val="Strong"/>
          <w:b w:val="0"/>
        </w:rPr>
        <w:t xml:space="preserve">Agreed. </w:t>
      </w:r>
    </w:p>
    <w:p w14:paraId="38728D75" w14:textId="00C86EFE" w:rsidR="00244AE3" w:rsidRPr="002F1C95" w:rsidRDefault="002F1C95" w:rsidP="002F1C95">
      <w:pPr>
        <w:pStyle w:val="BoxText"/>
        <w:rPr>
          <w:rStyle w:val="Strong"/>
          <w:b w:val="0"/>
        </w:rPr>
      </w:pPr>
      <w:r w:rsidRPr="002F1C95">
        <w:rPr>
          <w:rStyle w:val="Strong"/>
          <w:b w:val="0"/>
        </w:rPr>
        <w:t>The department is further strengthening its training and workforce allocation processes to ensure that specialist biosecurity functions, such as break-bulk cargo inspections, are undertaken by a well-trained and competent workforce in a dynamic demand-driven environment.</w:t>
      </w:r>
    </w:p>
    <w:p w14:paraId="714F2129" w14:textId="16B98D61" w:rsidR="00AB0E44" w:rsidRPr="008F735C" w:rsidRDefault="00244AE3" w:rsidP="002F2B47">
      <w:pPr>
        <w:pStyle w:val="Heading3"/>
      </w:pPr>
      <w:r w:rsidRPr="00D0366E">
        <w:t xml:space="preserve"> </w:t>
      </w:r>
      <w:bookmarkStart w:id="102" w:name="_Toc521069550"/>
      <w:r w:rsidR="00361FA3" w:rsidRPr="008F735C">
        <w:t>Bulk</w:t>
      </w:r>
      <w:r w:rsidR="008305EC" w:rsidRPr="008F735C">
        <w:t xml:space="preserve"> </w:t>
      </w:r>
      <w:r w:rsidR="00361FA3" w:rsidRPr="008F735C">
        <w:t>cargo hold entry pathway</w:t>
      </w:r>
      <w:bookmarkEnd w:id="102"/>
    </w:p>
    <w:p w14:paraId="03B803FB" w14:textId="7EE6B319" w:rsidR="00AB0E44" w:rsidRDefault="00361FA3">
      <w:pPr>
        <w:spacing w:before="240"/>
        <w:rPr>
          <w:b/>
          <w:u w:val="single"/>
        </w:rPr>
      </w:pPr>
      <w:r w:rsidRPr="00521B2B">
        <w:rPr>
          <w:lang w:eastAsia="ja-JP"/>
        </w:rPr>
        <w:t xml:space="preserve">Bulk cargo carriers make up about 40 per cent of </w:t>
      </w:r>
      <w:r w:rsidR="00521B2B" w:rsidRPr="00536693">
        <w:rPr>
          <w:lang w:eastAsia="ja-JP"/>
        </w:rPr>
        <w:t xml:space="preserve">vessels in </w:t>
      </w:r>
      <w:r w:rsidRPr="00521B2B">
        <w:rPr>
          <w:lang w:eastAsia="ja-JP"/>
        </w:rPr>
        <w:t>the international shipping sector.</w:t>
      </w:r>
      <w:r>
        <w:rPr>
          <w:lang w:eastAsia="ja-JP"/>
        </w:rPr>
        <w:t xml:space="preserve"> During 2017, 11,986 bulk carriers arrived in Australia, accounting for over 70 per cent of all vessel arrivals. Most of these carried commodities such as coal or iron ore</w:t>
      </w:r>
      <w:r w:rsidR="00357A9F">
        <w:rPr>
          <w:lang w:eastAsia="ja-JP"/>
        </w:rPr>
        <w:t>,</w:t>
      </w:r>
      <w:r>
        <w:rPr>
          <w:lang w:eastAsia="ja-JP"/>
        </w:rPr>
        <w:t xml:space="preserve"> </w:t>
      </w:r>
      <w:r w:rsidR="00357A9F">
        <w:rPr>
          <w:lang w:eastAsia="ja-JP"/>
        </w:rPr>
        <w:t xml:space="preserve">so </w:t>
      </w:r>
      <w:r w:rsidR="00834CFC">
        <w:rPr>
          <w:lang w:eastAsia="ja-JP"/>
        </w:rPr>
        <w:t xml:space="preserve">there was </w:t>
      </w:r>
      <w:r>
        <w:rPr>
          <w:lang w:eastAsia="ja-JP"/>
        </w:rPr>
        <w:t>essentially zero biosecurity risk of hitchhikers or contaminants inside their holds. Other shipments included plant-based stock feeds, grains, or fertilisers</w:t>
      </w:r>
      <w:r w:rsidR="00834CFC">
        <w:rPr>
          <w:lang w:eastAsia="ja-JP"/>
        </w:rPr>
        <w:t>.</w:t>
      </w:r>
      <w:r>
        <w:rPr>
          <w:lang w:eastAsia="ja-JP"/>
        </w:rPr>
        <w:t xml:space="preserve"> </w:t>
      </w:r>
      <w:r w:rsidR="00521B2B">
        <w:rPr>
          <w:lang w:eastAsia="ja-JP"/>
        </w:rPr>
        <w:t xml:space="preserve">There was </w:t>
      </w:r>
      <w:r>
        <w:rPr>
          <w:lang w:eastAsia="ja-JP"/>
        </w:rPr>
        <w:t xml:space="preserve">a moderate to high risk </w:t>
      </w:r>
      <w:r w:rsidR="00521B2B">
        <w:rPr>
          <w:lang w:eastAsia="ja-JP"/>
        </w:rPr>
        <w:t xml:space="preserve">that these could </w:t>
      </w:r>
      <w:r>
        <w:rPr>
          <w:lang w:eastAsia="ja-JP"/>
        </w:rPr>
        <w:t>bring in hitchhiker pests or contaminants.</w:t>
      </w:r>
    </w:p>
    <w:p w14:paraId="457D5ED1" w14:textId="71A88623" w:rsidR="00AB0E44" w:rsidRDefault="00361FA3">
      <w:pPr>
        <w:rPr>
          <w:szCs w:val="24"/>
        </w:rPr>
      </w:pPr>
      <w:r w:rsidRPr="00521B2B">
        <w:t xml:space="preserve">The </w:t>
      </w:r>
      <w:r w:rsidRPr="00521B2B">
        <w:rPr>
          <w:lang w:eastAsia="ja-JP"/>
        </w:rPr>
        <w:t>department</w:t>
      </w:r>
      <w:r w:rsidRPr="00521B2B">
        <w:t xml:space="preserve"> imposes strict controls on the importation of bulk goods in ships’ holds</w:t>
      </w:r>
      <w:r w:rsidR="00521B2B" w:rsidRPr="00521B2B">
        <w:t>. This is</w:t>
      </w:r>
      <w:r w:rsidRPr="00FD0B0E">
        <w:t xml:space="preserve"> to ensure that they do not contain exotic pests and contaminants harbouring plant, animal and human diseases.</w:t>
      </w:r>
      <w:r w:rsidRPr="00A81D6D">
        <w:t xml:space="preserve"> </w:t>
      </w:r>
      <w:r w:rsidR="00521B2B">
        <w:t xml:space="preserve">These </w:t>
      </w:r>
      <w:r w:rsidRPr="00521B2B">
        <w:t xml:space="preserve">pests could also cross-contaminate our grain exports if ships’ holds are not properly cleaned. For example, plant-based stock feed (imported in bulk) could bring into Australia plant pathogens </w:t>
      </w:r>
      <w:r w:rsidRPr="00226C8C">
        <w:t xml:space="preserve">such as </w:t>
      </w:r>
      <w:proofErr w:type="spellStart"/>
      <w:r w:rsidRPr="00226C8C">
        <w:t>Karnal</w:t>
      </w:r>
      <w:proofErr w:type="spellEnd"/>
      <w:r w:rsidRPr="00226C8C">
        <w:t xml:space="preserve"> bunt (</w:t>
      </w:r>
      <w:proofErr w:type="spellStart"/>
      <w:r w:rsidRPr="00226C8C">
        <w:rPr>
          <w:i/>
        </w:rPr>
        <w:t>Tilletia</w:t>
      </w:r>
      <w:proofErr w:type="spellEnd"/>
      <w:r w:rsidRPr="00226C8C">
        <w:rPr>
          <w:i/>
        </w:rPr>
        <w:t xml:space="preserve"> </w:t>
      </w:r>
      <w:proofErr w:type="spellStart"/>
      <w:r w:rsidRPr="00226C8C">
        <w:rPr>
          <w:i/>
        </w:rPr>
        <w:t>indica</w:t>
      </w:r>
      <w:proofErr w:type="spellEnd"/>
      <w:r w:rsidRPr="00226C8C">
        <w:t xml:space="preserve">) and pests such as </w:t>
      </w:r>
      <w:proofErr w:type="spellStart"/>
      <w:r w:rsidRPr="00226C8C">
        <w:t>khapra</w:t>
      </w:r>
      <w:proofErr w:type="spellEnd"/>
      <w:r w:rsidRPr="00226C8C">
        <w:t xml:space="preserve"> beetle, which</w:t>
      </w:r>
      <w:r w:rsidRPr="00FD0B0E">
        <w:t xml:space="preserve"> would have serious impacts on local and </w:t>
      </w:r>
      <w:r w:rsidRPr="00A81D6D">
        <w:t xml:space="preserve">export markets. </w:t>
      </w:r>
      <w:r w:rsidR="00521B2B">
        <w:rPr>
          <w:szCs w:val="24"/>
        </w:rPr>
        <w:t>S</w:t>
      </w:r>
      <w:r w:rsidRPr="00521B2B">
        <w:rPr>
          <w:szCs w:val="24"/>
        </w:rPr>
        <w:t>eeds of exotic invasive weeds and other plant pests</w:t>
      </w:r>
      <w:r w:rsidR="00521B2B">
        <w:rPr>
          <w:szCs w:val="24"/>
        </w:rPr>
        <w:t xml:space="preserve"> could also be introduced in this way</w:t>
      </w:r>
      <w:r w:rsidRPr="00521B2B">
        <w:rPr>
          <w:szCs w:val="24"/>
        </w:rPr>
        <w:t>.</w:t>
      </w:r>
    </w:p>
    <w:p w14:paraId="75AB5F53" w14:textId="0E6973E7" w:rsidR="00AB0E44" w:rsidRDefault="00521B2B">
      <w:pPr>
        <w:rPr>
          <w:lang w:eastAsia="ja-JP"/>
        </w:rPr>
      </w:pPr>
      <w:r>
        <w:rPr>
          <w:lang w:eastAsia="ja-JP"/>
        </w:rPr>
        <w:t xml:space="preserve">Because of </w:t>
      </w:r>
      <w:r w:rsidR="00361FA3">
        <w:rPr>
          <w:lang w:eastAsia="ja-JP"/>
        </w:rPr>
        <w:t xml:space="preserve">the size </w:t>
      </w:r>
      <w:r w:rsidR="00834CFC">
        <w:rPr>
          <w:lang w:eastAsia="ja-JP"/>
        </w:rPr>
        <w:t xml:space="preserve">of bulk vessels </w:t>
      </w:r>
      <w:r w:rsidR="00361FA3">
        <w:rPr>
          <w:lang w:eastAsia="ja-JP"/>
        </w:rPr>
        <w:t xml:space="preserve">and variability between </w:t>
      </w:r>
      <w:r w:rsidR="00834CFC">
        <w:rPr>
          <w:lang w:eastAsia="ja-JP"/>
        </w:rPr>
        <w:t>them</w:t>
      </w:r>
      <w:r>
        <w:rPr>
          <w:lang w:eastAsia="ja-JP"/>
        </w:rPr>
        <w:t xml:space="preserve">, bulk vessel </w:t>
      </w:r>
      <w:r>
        <w:t>inspections</w:t>
      </w:r>
      <w:r>
        <w:rPr>
          <w:lang w:eastAsia="ja-JP"/>
        </w:rPr>
        <w:t xml:space="preserve"> are complex</w:t>
      </w:r>
      <w:r w:rsidR="00361FA3">
        <w:rPr>
          <w:lang w:eastAsia="ja-JP"/>
        </w:rPr>
        <w:t xml:space="preserve">. As a result, </w:t>
      </w:r>
      <w:r w:rsidR="00FD0B0E">
        <w:rPr>
          <w:lang w:eastAsia="ja-JP"/>
        </w:rPr>
        <w:t xml:space="preserve">to manage these risks, </w:t>
      </w:r>
      <w:r w:rsidR="00361FA3">
        <w:rPr>
          <w:lang w:eastAsia="ja-JP"/>
        </w:rPr>
        <w:t xml:space="preserve">special protocols and work instructions have been developed </w:t>
      </w:r>
      <w:r w:rsidR="00FD0B0E" w:rsidRPr="00536693">
        <w:rPr>
          <w:lang w:eastAsia="ja-JP"/>
        </w:rPr>
        <w:t>for inspecting ships’ holds</w:t>
      </w:r>
      <w:r w:rsidR="00361FA3" w:rsidRPr="00FD0B0E">
        <w:rPr>
          <w:lang w:eastAsia="ja-JP"/>
        </w:rPr>
        <w:t>.</w:t>
      </w:r>
      <w:r w:rsidR="00361FA3">
        <w:rPr>
          <w:lang w:eastAsia="ja-JP"/>
        </w:rPr>
        <w:t xml:space="preserve"> Inspection officers must have a comprehensive understanding of the relevant bulk vessel inspection instructional material and adapt to the wide range of circumstances </w:t>
      </w:r>
      <w:r w:rsidR="00834CFC">
        <w:rPr>
          <w:lang w:eastAsia="ja-JP"/>
        </w:rPr>
        <w:t xml:space="preserve">they might </w:t>
      </w:r>
      <w:r w:rsidR="00361FA3">
        <w:rPr>
          <w:lang w:eastAsia="ja-JP"/>
        </w:rPr>
        <w:t>encounter during a bulk vessel inspection.</w:t>
      </w:r>
    </w:p>
    <w:p w14:paraId="4A74E677" w14:textId="16058FE2" w:rsidR="00AB0E44" w:rsidRDefault="00834CFC">
      <w:pPr>
        <w:rPr>
          <w:lang w:eastAsia="ja-JP"/>
        </w:rPr>
      </w:pPr>
      <w:r>
        <w:rPr>
          <w:lang w:eastAsia="ja-JP"/>
        </w:rPr>
        <w:t xml:space="preserve">A biosecurity officer must inspect all </w:t>
      </w:r>
      <w:r w:rsidR="00361FA3">
        <w:rPr>
          <w:lang w:eastAsia="ja-JP"/>
        </w:rPr>
        <w:t xml:space="preserve">accessible areas of the bulk vessel, </w:t>
      </w:r>
      <w:r w:rsidR="00361FA3">
        <w:t>except</w:t>
      </w:r>
      <w:r w:rsidR="00361FA3">
        <w:rPr>
          <w:lang w:eastAsia="ja-JP"/>
        </w:rPr>
        <w:t xml:space="preserve"> holds under ballast and holds already loaded, as far as it is appropriate to do so. </w:t>
      </w:r>
      <w:r w:rsidR="00361FA3">
        <w:rPr>
          <w:bCs/>
          <w:lang w:eastAsia="ja-JP"/>
        </w:rPr>
        <w:t>Inspectors must work at heights, in poorly lit confined spaces, on slippery surfaces and possibly with noxious gases.</w:t>
      </w:r>
      <w:r w:rsidR="00361FA3">
        <w:rPr>
          <w:lang w:eastAsia="ja-JP"/>
        </w:rPr>
        <w:t xml:space="preserve"> For safety reasons inspections must occur during daytime with two officers present. It can take up to two years for an inspection officer to be fully accredited and trained.</w:t>
      </w:r>
    </w:p>
    <w:p w14:paraId="01BA520E" w14:textId="39100484" w:rsidR="00AB0E44" w:rsidRDefault="00FD0B0E">
      <w:pPr>
        <w:rPr>
          <w:bCs/>
          <w:lang w:eastAsia="ja-JP"/>
        </w:rPr>
      </w:pPr>
      <w:r w:rsidRPr="00536693">
        <w:rPr>
          <w:bCs/>
          <w:lang w:eastAsia="ja-JP"/>
        </w:rPr>
        <w:t xml:space="preserve">There is a real prospect that </w:t>
      </w:r>
      <w:r>
        <w:rPr>
          <w:bCs/>
          <w:lang w:eastAsia="ja-JP"/>
        </w:rPr>
        <w:t>the inspections currently being done by biosecurity officers could one day be done using</w:t>
      </w:r>
      <w:r w:rsidR="00361FA3" w:rsidRPr="00FD0B0E">
        <w:rPr>
          <w:bCs/>
          <w:lang w:eastAsia="ja-JP"/>
        </w:rPr>
        <w:t xml:space="preserve"> new technology. For example, CSIRO has developed a </w:t>
      </w:r>
      <w:proofErr w:type="spellStart"/>
      <w:r w:rsidR="00361FA3" w:rsidRPr="00FD0B0E">
        <w:rPr>
          <w:bCs/>
          <w:lang w:eastAsia="ja-JP"/>
        </w:rPr>
        <w:t>Cybernose</w:t>
      </w:r>
      <w:proofErr w:type="spellEnd"/>
      <w:r w:rsidR="00361FA3" w:rsidRPr="00FD0B0E">
        <w:rPr>
          <w:bCs/>
          <w:lang w:eastAsia="ja-JP"/>
        </w:rPr>
        <w:t>® biosensor which can pick up minute traces of</w:t>
      </w:r>
      <w:r w:rsidR="00361FA3">
        <w:rPr>
          <w:bCs/>
          <w:lang w:eastAsia="ja-JP"/>
        </w:rPr>
        <w:t xml:space="preserve"> odours. The device mimics the sophisticated smell receptors of nematode worms, re-engineered to emit light which changes colour when a specific odour binds to the sensor. The current target is the smell of specific insect contamination in grain</w:t>
      </w:r>
      <w:r w:rsidR="00834CFC">
        <w:rPr>
          <w:bCs/>
          <w:lang w:eastAsia="ja-JP"/>
        </w:rPr>
        <w:t>.</w:t>
      </w:r>
      <w:r w:rsidR="00361FA3">
        <w:rPr>
          <w:bCs/>
          <w:lang w:eastAsia="ja-JP"/>
        </w:rPr>
        <w:t xml:space="preserve"> </w:t>
      </w:r>
      <w:r w:rsidR="00834CFC">
        <w:rPr>
          <w:bCs/>
          <w:lang w:eastAsia="ja-JP"/>
        </w:rPr>
        <w:t>F</w:t>
      </w:r>
      <w:r w:rsidR="00361FA3">
        <w:rPr>
          <w:bCs/>
          <w:lang w:eastAsia="ja-JP"/>
        </w:rPr>
        <w:t>uture projects will address other biosecurity targets in other commodities.</w:t>
      </w:r>
    </w:p>
    <w:p w14:paraId="12A0FC1F" w14:textId="49CC9F83" w:rsidR="008305EC" w:rsidRDefault="00361FA3">
      <w:pPr>
        <w:rPr>
          <w:bCs/>
          <w:lang w:eastAsia="ja-JP"/>
        </w:rPr>
      </w:pPr>
      <w:r>
        <w:rPr>
          <w:bCs/>
          <w:lang w:eastAsia="ja-JP"/>
        </w:rPr>
        <w:t>Drone technology is playing an increasing role in the maritime industry for inspection and survey work</w:t>
      </w:r>
      <w:r w:rsidR="00834CFC">
        <w:rPr>
          <w:bCs/>
          <w:lang w:eastAsia="ja-JP"/>
        </w:rPr>
        <w:t>.</w:t>
      </w:r>
      <w:r>
        <w:rPr>
          <w:bCs/>
          <w:lang w:eastAsia="ja-JP"/>
        </w:rPr>
        <w:t xml:space="preserve"> </w:t>
      </w:r>
      <w:r w:rsidR="00834CFC">
        <w:rPr>
          <w:bCs/>
          <w:lang w:eastAsia="ja-JP"/>
        </w:rPr>
        <w:t xml:space="preserve">Drones </w:t>
      </w:r>
      <w:r>
        <w:rPr>
          <w:bCs/>
          <w:lang w:eastAsia="ja-JP"/>
        </w:rPr>
        <w:t>could easily be adapted for biosecurity inspections of hulls, potentially reducing costs, increasing efficiency and improving safety.</w:t>
      </w:r>
    </w:p>
    <w:p w14:paraId="63EA88FF" w14:textId="417B7A70" w:rsidR="00AB0E44" w:rsidRDefault="00361FA3">
      <w:pPr>
        <w:rPr>
          <w:bCs/>
          <w:lang w:eastAsia="ja-JP"/>
        </w:rPr>
      </w:pPr>
      <w:r>
        <w:rPr>
          <w:bCs/>
          <w:lang w:eastAsia="ja-JP"/>
        </w:rPr>
        <w:t xml:space="preserve">The </w:t>
      </w:r>
      <w:proofErr w:type="spellStart"/>
      <w:r>
        <w:rPr>
          <w:bCs/>
          <w:lang w:eastAsia="ja-JP"/>
        </w:rPr>
        <w:t>Cybernose</w:t>
      </w:r>
      <w:proofErr w:type="spellEnd"/>
      <w:r>
        <w:rPr>
          <w:bCs/>
          <w:lang w:eastAsia="ja-JP"/>
        </w:rPr>
        <w:t xml:space="preserve">® and other technologies may </w:t>
      </w:r>
      <w:r w:rsidR="00834CFC">
        <w:rPr>
          <w:bCs/>
          <w:lang w:eastAsia="ja-JP"/>
        </w:rPr>
        <w:t xml:space="preserve">be used </w:t>
      </w:r>
      <w:r>
        <w:rPr>
          <w:bCs/>
          <w:lang w:eastAsia="ja-JP"/>
        </w:rPr>
        <w:t xml:space="preserve">in the future </w:t>
      </w:r>
      <w:r w:rsidR="00834CFC">
        <w:rPr>
          <w:bCs/>
          <w:lang w:eastAsia="ja-JP"/>
        </w:rPr>
        <w:t xml:space="preserve">to carry out </w:t>
      </w:r>
      <w:r w:rsidRPr="00FD0B0E">
        <w:rPr>
          <w:bCs/>
          <w:lang w:eastAsia="ja-JP"/>
        </w:rPr>
        <w:t>the dangerous and unpleasant work of inspecting</w:t>
      </w:r>
      <w:r>
        <w:rPr>
          <w:bCs/>
          <w:lang w:eastAsia="ja-JP"/>
        </w:rPr>
        <w:t xml:space="preserve"> ships’ holds</w:t>
      </w:r>
      <w:r w:rsidR="00134D52">
        <w:rPr>
          <w:bCs/>
          <w:lang w:eastAsia="ja-JP"/>
        </w:rPr>
        <w:t xml:space="preserve"> and hulls</w:t>
      </w:r>
      <w:r>
        <w:rPr>
          <w:bCs/>
          <w:lang w:eastAsia="ja-JP"/>
        </w:rPr>
        <w:t>.</w:t>
      </w:r>
    </w:p>
    <w:p w14:paraId="37969B65" w14:textId="77777777" w:rsidR="00AB0E44" w:rsidRDefault="00361FA3" w:rsidP="005721A3">
      <w:pPr>
        <w:pStyle w:val="Caption"/>
        <w:spacing w:before="240"/>
      </w:pPr>
      <w:r>
        <w:t xml:space="preserve">Recommendation </w:t>
      </w:r>
      <w:r w:rsidR="00F21B3D">
        <w:rPr>
          <w:noProof/>
        </w:rPr>
        <w:fldChar w:fldCharType="begin"/>
      </w:r>
      <w:r w:rsidR="00F21B3D">
        <w:rPr>
          <w:noProof/>
        </w:rPr>
        <w:instrText xml:space="preserve"> SEQ Recommendation \* ARABIC </w:instrText>
      </w:r>
      <w:r w:rsidR="00F21B3D">
        <w:rPr>
          <w:noProof/>
        </w:rPr>
        <w:fldChar w:fldCharType="separate"/>
      </w:r>
      <w:r w:rsidR="007F78D8">
        <w:rPr>
          <w:noProof/>
        </w:rPr>
        <w:t>7</w:t>
      </w:r>
      <w:r w:rsidR="00F21B3D">
        <w:rPr>
          <w:noProof/>
        </w:rPr>
        <w:fldChar w:fldCharType="end"/>
      </w:r>
    </w:p>
    <w:p w14:paraId="27D44CBB" w14:textId="0A1BD5FE" w:rsidR="00AB0E44" w:rsidRDefault="008F735C">
      <w:pPr>
        <w:pStyle w:val="BoxText"/>
      </w:pPr>
      <w:r w:rsidRPr="008F735C">
        <w:t>The department should continue to work with research and development organisations and industry to develop automated inspection capability for containers and for ship bulk cargo holds and hulls.</w:t>
      </w:r>
    </w:p>
    <w:p w14:paraId="02120247" w14:textId="77777777" w:rsidR="002F1C95" w:rsidRPr="002F1C95" w:rsidRDefault="00361FA3" w:rsidP="002F1C95">
      <w:pPr>
        <w:pStyle w:val="BoxText"/>
        <w:rPr>
          <w:rStyle w:val="Strong"/>
          <w:b w:val="0"/>
        </w:rPr>
      </w:pPr>
      <w:r>
        <w:rPr>
          <w:rStyle w:val="Strong"/>
        </w:rPr>
        <w:t>Department’s response:</w:t>
      </w:r>
      <w:r w:rsidR="002F1C95">
        <w:rPr>
          <w:rStyle w:val="Strong"/>
          <w:b w:val="0"/>
        </w:rPr>
        <w:t xml:space="preserve"> </w:t>
      </w:r>
      <w:r w:rsidR="002F1C95" w:rsidRPr="002F1C95">
        <w:rPr>
          <w:rStyle w:val="Strong"/>
          <w:b w:val="0"/>
        </w:rPr>
        <w:t xml:space="preserve">Agreed. </w:t>
      </w:r>
    </w:p>
    <w:p w14:paraId="16907003" w14:textId="07EE0BF4" w:rsidR="00AB0E44" w:rsidRPr="002F1C95" w:rsidRDefault="002F1C95" w:rsidP="002F1C95">
      <w:pPr>
        <w:pStyle w:val="BoxText"/>
        <w:rPr>
          <w:rStyle w:val="Strong"/>
          <w:b w:val="0"/>
        </w:rPr>
      </w:pPr>
      <w:r w:rsidRPr="002F1C95">
        <w:rPr>
          <w:rStyle w:val="Strong"/>
          <w:b w:val="0"/>
        </w:rPr>
        <w:t>The department is currently working with a research organisation to explore the potential use of emerging scanning technologies to automatically detect the presence of pests or contamination.</w:t>
      </w:r>
    </w:p>
    <w:p w14:paraId="3E25E0E8" w14:textId="54075D25" w:rsidR="00AB0E44" w:rsidRDefault="00361FA3">
      <w:pPr>
        <w:pStyle w:val="Heading2"/>
      </w:pPr>
      <w:bookmarkStart w:id="103" w:name="_Toc521069551"/>
      <w:r>
        <w:t>Aircraft and air cargo entry pathway</w:t>
      </w:r>
      <w:bookmarkEnd w:id="103"/>
    </w:p>
    <w:p w14:paraId="485ED959" w14:textId="6ED7ECD9" w:rsidR="00FD0B0E" w:rsidRDefault="00361FA3">
      <w:pPr>
        <w:spacing w:before="240" w:after="0"/>
        <w:rPr>
          <w:lang w:eastAsia="en-AU"/>
        </w:rPr>
      </w:pPr>
      <w:r>
        <w:rPr>
          <w:lang w:eastAsia="en-AU"/>
        </w:rPr>
        <w:t xml:space="preserve">In 2015–16 over 183,000 international flights carried over 18 million passengers into Australia. </w:t>
      </w:r>
      <w:r w:rsidR="00834CFC">
        <w:rPr>
          <w:lang w:eastAsia="en-AU"/>
        </w:rPr>
        <w:t>Also</w:t>
      </w:r>
      <w:r>
        <w:rPr>
          <w:lang w:eastAsia="en-AU"/>
        </w:rPr>
        <w:t xml:space="preserve">, over two million commercial air cargo consignments arrived—52 per cent into Sydney, 27 per cent into Melbourne, </w:t>
      </w:r>
      <w:r w:rsidR="00834CFC">
        <w:rPr>
          <w:lang w:eastAsia="en-AU"/>
        </w:rPr>
        <w:t xml:space="preserve">9 </w:t>
      </w:r>
      <w:r>
        <w:rPr>
          <w:lang w:eastAsia="en-AU"/>
        </w:rPr>
        <w:t>per cent into both Brisbane and Perth</w:t>
      </w:r>
      <w:r w:rsidR="00834CFC">
        <w:rPr>
          <w:lang w:eastAsia="en-AU"/>
        </w:rPr>
        <w:t xml:space="preserve"> and </w:t>
      </w:r>
      <w:r>
        <w:rPr>
          <w:lang w:eastAsia="en-AU"/>
        </w:rPr>
        <w:t>the rest into Adelaide and Darwin</w:t>
      </w:r>
      <w:r w:rsidR="00883A69">
        <w:rPr>
          <w:lang w:eastAsia="en-AU"/>
        </w:rPr>
        <w:t>.</w:t>
      </w:r>
    </w:p>
    <w:p w14:paraId="4E31F880" w14:textId="0DB6C4FD" w:rsidR="00AB0E44" w:rsidRDefault="00834CFC" w:rsidP="00214738">
      <w:pPr>
        <w:spacing w:after="0"/>
        <w:rPr>
          <w:lang w:eastAsia="en-AU"/>
        </w:rPr>
      </w:pPr>
      <w:r>
        <w:rPr>
          <w:lang w:eastAsia="en-AU"/>
        </w:rPr>
        <w:t>Of these</w:t>
      </w:r>
      <w:r w:rsidR="00FD0B0E">
        <w:rPr>
          <w:lang w:eastAsia="en-AU"/>
        </w:rPr>
        <w:t xml:space="preserve"> arrivals</w:t>
      </w:r>
      <w:r>
        <w:rPr>
          <w:lang w:eastAsia="en-AU"/>
        </w:rPr>
        <w:t xml:space="preserve">, 5 </w:t>
      </w:r>
      <w:r w:rsidR="00361FA3">
        <w:rPr>
          <w:lang w:eastAsia="en-AU"/>
        </w:rPr>
        <w:t>per cent (110,000) were referred to the department. Of those referred, 40 per cent required some sort of intervention</w:t>
      </w:r>
      <w:r w:rsidR="00FD0B0E">
        <w:rPr>
          <w:lang w:eastAsia="en-AU"/>
        </w:rPr>
        <w:t>.</w:t>
      </w:r>
      <w:r w:rsidR="00361FA3" w:rsidRPr="00FD0B0E">
        <w:rPr>
          <w:lang w:eastAsia="en-AU"/>
        </w:rPr>
        <w:t xml:space="preserve"> </w:t>
      </w:r>
      <w:r w:rsidR="00FD0B0E">
        <w:rPr>
          <w:lang w:eastAsia="en-AU"/>
        </w:rPr>
        <w:t xml:space="preserve">Of these, </w:t>
      </w:r>
      <w:r w:rsidR="00361FA3" w:rsidRPr="00FD0B0E">
        <w:rPr>
          <w:lang w:eastAsia="en-AU"/>
        </w:rPr>
        <w:t>10</w:t>
      </w:r>
      <w:r w:rsidR="00361FA3">
        <w:rPr>
          <w:lang w:eastAsia="en-AU"/>
        </w:rPr>
        <w:t xml:space="preserve"> per cent (11,000) </w:t>
      </w:r>
      <w:r w:rsidR="00FD0B0E">
        <w:rPr>
          <w:lang w:eastAsia="en-AU"/>
        </w:rPr>
        <w:t xml:space="preserve">were </w:t>
      </w:r>
      <w:r w:rsidR="00361FA3">
        <w:rPr>
          <w:lang w:eastAsia="en-AU"/>
        </w:rPr>
        <w:t>non-compliant (</w:t>
      </w:r>
      <w:r w:rsidR="00361FA3">
        <w:rPr>
          <w:lang w:eastAsia="en-AU"/>
        </w:rPr>
        <w:fldChar w:fldCharType="begin"/>
      </w:r>
      <w:r w:rsidR="00361FA3">
        <w:rPr>
          <w:lang w:eastAsia="en-AU"/>
        </w:rPr>
        <w:instrText xml:space="preserve"> REF _Ref513829269 \h </w:instrText>
      </w:r>
      <w:r w:rsidR="00361FA3">
        <w:rPr>
          <w:lang w:eastAsia="en-AU"/>
        </w:rPr>
      </w:r>
      <w:r w:rsidR="00361FA3">
        <w:rPr>
          <w:lang w:eastAsia="en-AU"/>
        </w:rPr>
        <w:fldChar w:fldCharType="separate"/>
      </w:r>
      <w:r w:rsidR="007F78D8">
        <w:t xml:space="preserve">Figure </w:t>
      </w:r>
      <w:r w:rsidR="007F78D8">
        <w:rPr>
          <w:noProof/>
        </w:rPr>
        <w:t>19</w:t>
      </w:r>
      <w:r w:rsidR="00361FA3">
        <w:rPr>
          <w:lang w:eastAsia="en-AU"/>
        </w:rPr>
        <w:fldChar w:fldCharType="end"/>
      </w:r>
      <w:r w:rsidR="00361FA3">
        <w:rPr>
          <w:lang w:eastAsia="en-AU"/>
        </w:rPr>
        <w:t>). For the same period, 31 million non-commercial air cargo consignments (valued up to $1</w:t>
      </w:r>
      <w:r>
        <w:rPr>
          <w:lang w:eastAsia="en-AU"/>
        </w:rPr>
        <w:t>,</w:t>
      </w:r>
      <w:r w:rsidR="00361FA3">
        <w:rPr>
          <w:lang w:eastAsia="en-AU"/>
        </w:rPr>
        <w:t>000) arrived in Australia. Of these, 24 per cent (160,000) required intervention</w:t>
      </w:r>
      <w:r>
        <w:rPr>
          <w:lang w:eastAsia="en-AU"/>
        </w:rPr>
        <w:t>.</w:t>
      </w:r>
      <w:r w:rsidR="00361FA3">
        <w:rPr>
          <w:lang w:eastAsia="en-AU"/>
        </w:rPr>
        <w:t xml:space="preserve"> </w:t>
      </w:r>
      <w:r>
        <w:rPr>
          <w:lang w:eastAsia="en-AU"/>
        </w:rPr>
        <w:t xml:space="preserve">Of these, </w:t>
      </w:r>
      <w:r w:rsidR="00361FA3">
        <w:rPr>
          <w:lang w:eastAsia="en-AU"/>
        </w:rPr>
        <w:t xml:space="preserve">only </w:t>
      </w:r>
      <w:r>
        <w:rPr>
          <w:lang w:eastAsia="en-AU"/>
        </w:rPr>
        <w:t xml:space="preserve">1 </w:t>
      </w:r>
      <w:r w:rsidR="00361FA3">
        <w:rPr>
          <w:lang w:eastAsia="en-AU"/>
        </w:rPr>
        <w:t xml:space="preserve">per cent (7,600) </w:t>
      </w:r>
      <w:r>
        <w:rPr>
          <w:lang w:eastAsia="en-AU"/>
        </w:rPr>
        <w:t xml:space="preserve">was </w:t>
      </w:r>
      <w:r w:rsidR="00361FA3">
        <w:rPr>
          <w:lang w:eastAsia="en-AU"/>
        </w:rPr>
        <w:t>non-compliant.</w:t>
      </w:r>
    </w:p>
    <w:p w14:paraId="6E1726A1" w14:textId="77777777" w:rsidR="00AB0E44" w:rsidRDefault="00361FA3">
      <w:pPr>
        <w:pStyle w:val="Caption"/>
        <w:rPr>
          <w:lang w:eastAsia="en-AU"/>
        </w:rPr>
      </w:pPr>
      <w:bookmarkStart w:id="104" w:name="_Ref513829269"/>
      <w:bookmarkStart w:id="105" w:name="_Toc521069589"/>
      <w:r>
        <w:t xml:space="preserve">Figure </w:t>
      </w:r>
      <w:r w:rsidR="00F21B3D">
        <w:rPr>
          <w:noProof/>
        </w:rPr>
        <w:fldChar w:fldCharType="begin"/>
      </w:r>
      <w:r w:rsidR="00F21B3D">
        <w:rPr>
          <w:noProof/>
        </w:rPr>
        <w:instrText xml:space="preserve"> SEQ Figure \* ARABIC </w:instrText>
      </w:r>
      <w:r w:rsidR="00F21B3D">
        <w:rPr>
          <w:noProof/>
        </w:rPr>
        <w:fldChar w:fldCharType="separate"/>
      </w:r>
      <w:r w:rsidR="007F78D8">
        <w:rPr>
          <w:noProof/>
        </w:rPr>
        <w:t>19</w:t>
      </w:r>
      <w:r w:rsidR="00F21B3D">
        <w:rPr>
          <w:noProof/>
        </w:rPr>
        <w:fldChar w:fldCharType="end"/>
      </w:r>
      <w:bookmarkEnd w:id="104"/>
      <w:r>
        <w:t xml:space="preserve"> Commercial air cargo pathway, 2014–15</w:t>
      </w:r>
      <w:bookmarkEnd w:id="105"/>
    </w:p>
    <w:p w14:paraId="0931F06B" w14:textId="354520C9" w:rsidR="00AB0E44" w:rsidRDefault="00696C7C">
      <w:pPr>
        <w:rPr>
          <w:lang w:eastAsia="en-AU"/>
        </w:rPr>
      </w:pPr>
      <w:r w:rsidRPr="00696C7C">
        <w:rPr>
          <w:noProof/>
          <w:lang w:eastAsia="en-AU"/>
        </w:rPr>
        <w:drawing>
          <wp:inline distT="0" distB="0" distL="0" distR="0" wp14:anchorId="3B0A5FFB" wp14:editId="1E378F06">
            <wp:extent cx="5654346" cy="3448879"/>
            <wp:effectExtent l="0" t="0" r="3810" b="0"/>
            <wp:docPr id="2" name="Picture 2" descr="Diagram showing the 17 million incoming passengers and crew, of which 5 million declare goods. The department assesses over 7.9 million passengers, screening over 2.4 million passnegers by x-ray, detector dogs or ma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001cl04fs02\igb$\Current reviews\01. Hitchhikers and contaminants\05. Photographs- visio diagrams\Photos\Picture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75946" cy="3462054"/>
                    </a:xfrm>
                    <a:prstGeom prst="rect">
                      <a:avLst/>
                    </a:prstGeom>
                    <a:noFill/>
                    <a:ln>
                      <a:noFill/>
                    </a:ln>
                  </pic:spPr>
                </pic:pic>
              </a:graphicData>
            </a:graphic>
          </wp:inline>
        </w:drawing>
      </w:r>
    </w:p>
    <w:p w14:paraId="5BE0EB26" w14:textId="0C260DD4" w:rsidR="00AB0E44" w:rsidRDefault="00361FA3">
      <w:pPr>
        <w:pStyle w:val="FigureTableNoteSource"/>
        <w:rPr>
          <w:lang w:eastAsia="en-AU"/>
        </w:rPr>
      </w:pPr>
      <w:r w:rsidRPr="003163D9">
        <w:rPr>
          <w:b/>
          <w:lang w:eastAsia="en-AU"/>
        </w:rPr>
        <w:t>Note:</w:t>
      </w:r>
      <w:r>
        <w:rPr>
          <w:lang w:eastAsia="en-AU"/>
        </w:rPr>
        <w:t xml:space="preserve"> Percentages shown are percentages of the total 2 million </w:t>
      </w:r>
      <w:r w:rsidR="00B77F98">
        <w:rPr>
          <w:lang w:eastAsia="en-AU"/>
        </w:rPr>
        <w:t>declaration</w:t>
      </w:r>
      <w:r>
        <w:rPr>
          <w:lang w:eastAsia="en-AU"/>
        </w:rPr>
        <w:t>s.</w:t>
      </w:r>
    </w:p>
    <w:p w14:paraId="5EA9E612" w14:textId="77777777" w:rsidR="00AB0E44" w:rsidRDefault="00361FA3">
      <w:pPr>
        <w:pStyle w:val="FigureTableNoteSource"/>
        <w:rPr>
          <w:lang w:eastAsia="en-AU"/>
        </w:rPr>
      </w:pPr>
      <w:r>
        <w:rPr>
          <w:lang w:eastAsia="en-AU"/>
        </w:rPr>
        <w:t>Source: Department of Agriculture and Water Resources</w:t>
      </w:r>
    </w:p>
    <w:p w14:paraId="36EC3581" w14:textId="607F2043" w:rsidR="00AB0E44" w:rsidRDefault="00361FA3">
      <w:pPr>
        <w:spacing w:before="240" w:after="0"/>
        <w:rPr>
          <w:lang w:eastAsia="en-AU"/>
        </w:rPr>
      </w:pPr>
      <w:r>
        <w:rPr>
          <w:lang w:eastAsia="en-AU"/>
        </w:rPr>
        <w:t xml:space="preserve">Aircraft and air cargo pose relatively low biosecurity risks from hitchhikers and contaminants, </w:t>
      </w:r>
      <w:r w:rsidR="00834CFC">
        <w:rPr>
          <w:lang w:eastAsia="en-AU"/>
        </w:rPr>
        <w:t>although</w:t>
      </w:r>
      <w:r>
        <w:rPr>
          <w:lang w:eastAsia="en-AU"/>
        </w:rPr>
        <w:t xml:space="preserve"> insects, especially mosquitoes, and occasionally other animals</w:t>
      </w:r>
      <w:r w:rsidR="00834CFC">
        <w:rPr>
          <w:lang w:eastAsia="en-AU"/>
        </w:rPr>
        <w:t xml:space="preserve"> can </w:t>
      </w:r>
      <w:r>
        <w:rPr>
          <w:lang w:eastAsia="en-AU"/>
        </w:rPr>
        <w:t>hitchhik</w:t>
      </w:r>
      <w:r w:rsidR="00834CFC">
        <w:rPr>
          <w:lang w:eastAsia="en-AU"/>
        </w:rPr>
        <w:t>e</w:t>
      </w:r>
      <w:r>
        <w:rPr>
          <w:lang w:eastAsia="en-AU"/>
        </w:rPr>
        <w:t xml:space="preserve"> in passenger cabins or air cargo containers or holds. Between 2012 and 2017 over 84,000 pests—85 mosquitoes, 84,000 other insects, 60 reptiles, </w:t>
      </w:r>
      <w:r w:rsidR="00834CFC">
        <w:rPr>
          <w:lang w:eastAsia="en-AU"/>
        </w:rPr>
        <w:t xml:space="preserve">six </w:t>
      </w:r>
      <w:r>
        <w:rPr>
          <w:lang w:eastAsia="en-AU"/>
        </w:rPr>
        <w:t xml:space="preserve">mammals, 20 amphibians and </w:t>
      </w:r>
      <w:r w:rsidR="00834CFC">
        <w:rPr>
          <w:lang w:eastAsia="en-AU"/>
        </w:rPr>
        <w:t xml:space="preserve">seven </w:t>
      </w:r>
      <w:r>
        <w:rPr>
          <w:lang w:eastAsia="en-AU"/>
        </w:rPr>
        <w:t>birds</w:t>
      </w:r>
      <w:r w:rsidR="00834CFC">
        <w:rPr>
          <w:lang w:eastAsia="en-AU"/>
        </w:rPr>
        <w:t>—</w:t>
      </w:r>
      <w:r>
        <w:rPr>
          <w:lang w:eastAsia="en-AU"/>
        </w:rPr>
        <w:t>were recorded in air cargo or cargo holds.</w:t>
      </w:r>
    </w:p>
    <w:p w14:paraId="1ECD5E19" w14:textId="462952BB" w:rsidR="00AB0E44" w:rsidRDefault="00361FA3">
      <w:pPr>
        <w:rPr>
          <w:lang w:eastAsia="ja-JP"/>
        </w:rPr>
      </w:pPr>
      <w:r>
        <w:rPr>
          <w:lang w:eastAsia="en-AU"/>
        </w:rPr>
        <w:t xml:space="preserve">General aircraft sanitation measures manage these risks effectively. </w:t>
      </w:r>
      <w:r w:rsidR="00FD0B0E">
        <w:rPr>
          <w:lang w:eastAsia="ja-JP"/>
        </w:rPr>
        <w:t xml:space="preserve">When </w:t>
      </w:r>
      <w:r w:rsidR="00834CFC">
        <w:rPr>
          <w:lang w:eastAsia="ja-JP"/>
        </w:rPr>
        <w:t xml:space="preserve">any </w:t>
      </w:r>
      <w:r>
        <w:rPr>
          <w:lang w:eastAsia="ja-JP"/>
        </w:rPr>
        <w:t xml:space="preserve">aircraft </w:t>
      </w:r>
      <w:r w:rsidR="00834CFC">
        <w:rPr>
          <w:lang w:eastAsia="ja-JP"/>
        </w:rPr>
        <w:t xml:space="preserve">is </w:t>
      </w:r>
      <w:r>
        <w:rPr>
          <w:lang w:eastAsia="ja-JP"/>
        </w:rPr>
        <w:t>flying into Australia</w:t>
      </w:r>
      <w:r w:rsidR="00834CFC">
        <w:rPr>
          <w:lang w:eastAsia="ja-JP"/>
        </w:rPr>
        <w:t>,</w:t>
      </w:r>
      <w:r>
        <w:rPr>
          <w:lang w:eastAsia="ja-JP"/>
        </w:rPr>
        <w:t xml:space="preserve"> </w:t>
      </w:r>
      <w:r w:rsidR="00FD0B0E">
        <w:rPr>
          <w:lang w:eastAsia="ja-JP"/>
        </w:rPr>
        <w:t>the captain must report to the department</w:t>
      </w:r>
      <w:r>
        <w:rPr>
          <w:lang w:eastAsia="ja-JP"/>
        </w:rPr>
        <w:t xml:space="preserve"> if:</w:t>
      </w:r>
    </w:p>
    <w:p w14:paraId="479F9C74" w14:textId="541123A4" w:rsidR="00AB0E44" w:rsidRDefault="00361FA3">
      <w:pPr>
        <w:pStyle w:val="ListBullet"/>
      </w:pPr>
      <w:r>
        <w:t>there is any animal or plant in the cabin of the aircraft</w:t>
      </w:r>
    </w:p>
    <w:p w14:paraId="5141F0E5" w14:textId="3091379A" w:rsidR="00AB0E44" w:rsidRDefault="00361FA3">
      <w:pPr>
        <w:pStyle w:val="ListBullet"/>
      </w:pPr>
      <w:r>
        <w:t>an animal died in the cabin during the flight</w:t>
      </w:r>
      <w:r w:rsidR="008305EC">
        <w:t>, and/or</w:t>
      </w:r>
    </w:p>
    <w:p w14:paraId="6A0D23A1" w14:textId="77777777" w:rsidR="00AB0E44" w:rsidRDefault="00361FA3">
      <w:pPr>
        <w:pStyle w:val="ListBullet"/>
      </w:pPr>
      <w:proofErr w:type="gramStart"/>
      <w:r>
        <w:t>prescribed</w:t>
      </w:r>
      <w:proofErr w:type="gramEnd"/>
      <w:r>
        <w:t xml:space="preserve"> disinsection measures have not occurred.</w:t>
      </w:r>
    </w:p>
    <w:p w14:paraId="151CCC87" w14:textId="50801394" w:rsidR="00AB0E44" w:rsidRDefault="00FD0B0E">
      <w:pPr>
        <w:rPr>
          <w:lang w:eastAsia="ja-JP"/>
        </w:rPr>
      </w:pPr>
      <w:r>
        <w:rPr>
          <w:lang w:eastAsia="ja-JP"/>
        </w:rPr>
        <w:t xml:space="preserve">The report must be made when the aircraft is as near as possible to top of descent or 30 minutes before the aircraft is expected to arrive at its first landing point in Australia. </w:t>
      </w:r>
      <w:r w:rsidR="00834CFC">
        <w:rPr>
          <w:lang w:eastAsia="ja-JP"/>
        </w:rPr>
        <w:t>If the captain does not report</w:t>
      </w:r>
      <w:r>
        <w:rPr>
          <w:lang w:eastAsia="ja-JP"/>
        </w:rPr>
        <w:t xml:space="preserve"> any of these events</w:t>
      </w:r>
      <w:r w:rsidR="00361FA3">
        <w:rPr>
          <w:lang w:eastAsia="ja-JP"/>
        </w:rPr>
        <w:t xml:space="preserve">, </w:t>
      </w:r>
      <w:r w:rsidR="00834CFC">
        <w:rPr>
          <w:lang w:eastAsia="ja-JP"/>
        </w:rPr>
        <w:t xml:space="preserve">the </w:t>
      </w:r>
      <w:r w:rsidR="00361FA3">
        <w:rPr>
          <w:lang w:eastAsia="ja-JP"/>
        </w:rPr>
        <w:t xml:space="preserve">aircraft is automatically given positive pratique (permission, after landing, to embark or disembark, discharge or load cargo or </w:t>
      </w:r>
      <w:r w:rsidR="00361FA3" w:rsidRPr="00FD0B0E">
        <w:rPr>
          <w:lang w:eastAsia="ja-JP"/>
        </w:rPr>
        <w:t xml:space="preserve">stores). </w:t>
      </w:r>
      <w:r w:rsidR="00376EE2" w:rsidRPr="00FD0B0E">
        <w:rPr>
          <w:lang w:eastAsia="ja-JP"/>
        </w:rPr>
        <w:t xml:space="preserve">However, </w:t>
      </w:r>
      <w:r w:rsidRPr="00536693">
        <w:rPr>
          <w:lang w:eastAsia="ja-JP"/>
        </w:rPr>
        <w:t>i</w:t>
      </w:r>
      <w:r w:rsidR="00361FA3" w:rsidRPr="00FD0B0E">
        <w:rPr>
          <w:lang w:eastAsia="ja-JP"/>
        </w:rPr>
        <w:t xml:space="preserve">f </w:t>
      </w:r>
      <w:r w:rsidRPr="00536693">
        <w:rPr>
          <w:lang w:eastAsia="ja-JP"/>
        </w:rPr>
        <w:t xml:space="preserve">the captain reports </w:t>
      </w:r>
      <w:r w:rsidR="00361FA3" w:rsidRPr="00FD0B0E">
        <w:rPr>
          <w:lang w:eastAsia="ja-JP"/>
        </w:rPr>
        <w:t xml:space="preserve">any of these </w:t>
      </w:r>
      <w:r w:rsidR="006D3E19" w:rsidRPr="009935C1">
        <w:rPr>
          <w:lang w:eastAsia="ja-JP"/>
        </w:rPr>
        <w:t>events</w:t>
      </w:r>
      <w:r w:rsidR="00361FA3" w:rsidRPr="00FD0B0E">
        <w:rPr>
          <w:lang w:eastAsia="ja-JP"/>
        </w:rPr>
        <w:t>, departmental officers meet the aircraft on arrival</w:t>
      </w:r>
      <w:r>
        <w:rPr>
          <w:lang w:eastAsia="ja-JP"/>
        </w:rPr>
        <w:t>,</w:t>
      </w:r>
      <w:r w:rsidR="00361FA3" w:rsidRPr="00FD0B0E">
        <w:rPr>
          <w:lang w:eastAsia="ja-JP"/>
        </w:rPr>
        <w:t xml:space="preserve"> and all passengers and crew must remain on board until </w:t>
      </w:r>
      <w:r w:rsidR="008305EC">
        <w:rPr>
          <w:lang w:eastAsia="ja-JP"/>
        </w:rPr>
        <w:t xml:space="preserve">departmental officers authorise </w:t>
      </w:r>
      <w:r w:rsidR="00361FA3" w:rsidRPr="00FD0B0E">
        <w:rPr>
          <w:lang w:eastAsia="ja-JP"/>
        </w:rPr>
        <w:t>pratique.</w:t>
      </w:r>
    </w:p>
    <w:p w14:paraId="0CDF263F" w14:textId="0739E18B" w:rsidR="00AB0E44" w:rsidRDefault="00361FA3">
      <w:pPr>
        <w:rPr>
          <w:lang w:eastAsia="en-AU"/>
        </w:rPr>
      </w:pPr>
      <w:r>
        <w:rPr>
          <w:lang w:eastAsia="ja-JP"/>
        </w:rPr>
        <w:t>Apart from treating an individual aircraft where hitchhiker problems are detected, enhanced measures may be put in place for specific pests, seasons and/or pathways, as indicated by interceptions. For example, as outlined in the Inspector-</w:t>
      </w:r>
      <w:r w:rsidRPr="00696C7C">
        <w:rPr>
          <w:lang w:eastAsia="ja-JP"/>
        </w:rPr>
        <w:t>General’s management of biosecurity risks posed by invasive vector mosquitoes</w:t>
      </w:r>
      <w:r w:rsidR="00C126E6">
        <w:rPr>
          <w:lang w:eastAsia="ja-JP"/>
        </w:rPr>
        <w:t xml:space="preserve"> (I</w:t>
      </w:r>
      <w:r w:rsidR="00155BB5">
        <w:rPr>
          <w:lang w:eastAsia="ja-JP"/>
        </w:rPr>
        <w:t>nspector-</w:t>
      </w:r>
      <w:r w:rsidR="00C126E6">
        <w:rPr>
          <w:lang w:eastAsia="ja-JP"/>
        </w:rPr>
        <w:t>G</w:t>
      </w:r>
      <w:r w:rsidR="00155BB5">
        <w:rPr>
          <w:lang w:eastAsia="ja-JP"/>
        </w:rPr>
        <w:t xml:space="preserve">eneral of </w:t>
      </w:r>
      <w:r w:rsidR="00C126E6">
        <w:rPr>
          <w:lang w:eastAsia="ja-JP"/>
        </w:rPr>
        <w:t>B</w:t>
      </w:r>
      <w:r w:rsidR="00155BB5">
        <w:rPr>
          <w:lang w:eastAsia="ja-JP"/>
        </w:rPr>
        <w:t>iosecurity</w:t>
      </w:r>
      <w:r w:rsidR="00C126E6">
        <w:rPr>
          <w:lang w:eastAsia="ja-JP"/>
        </w:rPr>
        <w:t xml:space="preserve"> 2017)</w:t>
      </w:r>
      <w:r w:rsidR="00FD0B0E" w:rsidRPr="00696C7C">
        <w:rPr>
          <w:lang w:eastAsia="ja-JP"/>
        </w:rPr>
        <w:t>,</w:t>
      </w:r>
      <w:r w:rsidRPr="00696C7C">
        <w:rPr>
          <w:lang w:eastAsia="ja-JP"/>
        </w:rPr>
        <w:t xml:space="preserve"> the department, on instruction</w:t>
      </w:r>
      <w:r>
        <w:rPr>
          <w:lang w:eastAsia="ja-JP"/>
        </w:rPr>
        <w:t xml:space="preserve"> from Department of Health (Chief Human Biosecurity Officer), has on occasion implemented mandatory additional aircraft disinsection measures for flights from specific destinations after intercepting invasive vector mosquitoes from those ports.</w:t>
      </w:r>
    </w:p>
    <w:p w14:paraId="67CAF223" w14:textId="18191205" w:rsidR="00AB0E44" w:rsidRDefault="00361FA3">
      <w:pPr>
        <w:rPr>
          <w:lang w:eastAsia="ja-JP"/>
        </w:rPr>
      </w:pPr>
      <w:r w:rsidRPr="004745B8">
        <w:rPr>
          <w:lang w:eastAsia="ja-JP"/>
        </w:rPr>
        <w:t>Risk goods such</w:t>
      </w:r>
      <w:r>
        <w:rPr>
          <w:lang w:eastAsia="ja-JP"/>
        </w:rPr>
        <w:t xml:space="preserve"> as food waste, unused aircraft inflight provisions and aircraft cleaning residues are subject to biosecurity control and can only be removed from the aircraft with </w:t>
      </w:r>
      <w:r w:rsidR="00376EE2">
        <w:rPr>
          <w:lang w:eastAsia="ja-JP"/>
        </w:rPr>
        <w:t xml:space="preserve">the </w:t>
      </w:r>
      <w:r>
        <w:rPr>
          <w:lang w:eastAsia="ja-JP"/>
        </w:rPr>
        <w:t xml:space="preserve">permission </w:t>
      </w:r>
      <w:r w:rsidR="00376EE2">
        <w:rPr>
          <w:lang w:eastAsia="ja-JP"/>
        </w:rPr>
        <w:t xml:space="preserve">of </w:t>
      </w:r>
      <w:r>
        <w:rPr>
          <w:lang w:eastAsia="ja-JP"/>
        </w:rPr>
        <w:t>a biosecurity officer. Industry conducts the removal and disposal activities under either:</w:t>
      </w:r>
    </w:p>
    <w:p w14:paraId="6FB80BD8" w14:textId="76234619" w:rsidR="00AB0E44" w:rsidRDefault="00361FA3">
      <w:pPr>
        <w:pStyle w:val="ListBullet"/>
      </w:pPr>
      <w:r>
        <w:t>an entity under an approved arrangement with the department</w:t>
      </w:r>
    </w:p>
    <w:p w14:paraId="7F3EAEF4" w14:textId="31657E14" w:rsidR="00AB0E44" w:rsidRDefault="00361FA3">
      <w:pPr>
        <w:pStyle w:val="ListBullet"/>
      </w:pPr>
      <w:proofErr w:type="gramStart"/>
      <w:r w:rsidRPr="004745B8">
        <w:t>supervision</w:t>
      </w:r>
      <w:proofErr w:type="gramEnd"/>
      <w:r w:rsidRPr="004745B8">
        <w:t xml:space="preserve"> by a biosecurity officer of all elements and not otherwise conducted by an</w:t>
      </w:r>
      <w:r>
        <w:t xml:space="preserve"> </w:t>
      </w:r>
      <w:r w:rsidR="00241CD2">
        <w:t>a</w:t>
      </w:r>
      <w:r w:rsidR="000F7F89">
        <w:t xml:space="preserve">pproved </w:t>
      </w:r>
      <w:r w:rsidR="00241CD2">
        <w:t>a</w:t>
      </w:r>
      <w:r w:rsidR="000F7F89">
        <w:t>rrangement</w:t>
      </w:r>
      <w:r w:rsidR="00001851">
        <w:t xml:space="preserve"> site operator</w:t>
      </w:r>
      <w:r>
        <w:t>.</w:t>
      </w:r>
    </w:p>
    <w:p w14:paraId="22CAD143" w14:textId="3A9EDDDB" w:rsidR="00AB0E44" w:rsidRDefault="00361FA3">
      <w:pPr>
        <w:rPr>
          <w:lang w:eastAsia="ja-JP"/>
        </w:rPr>
      </w:pPr>
      <w:r>
        <w:rPr>
          <w:lang w:eastAsia="ja-JP"/>
        </w:rPr>
        <w:t xml:space="preserve">The department also works with airlines to educate international passengers </w:t>
      </w:r>
      <w:r w:rsidR="00FD0B0E">
        <w:rPr>
          <w:lang w:eastAsia="ja-JP"/>
        </w:rPr>
        <w:t xml:space="preserve">before departure and during flight </w:t>
      </w:r>
      <w:r>
        <w:rPr>
          <w:lang w:eastAsia="ja-JP"/>
        </w:rPr>
        <w:t>about Australian biosecurity requirements</w:t>
      </w:r>
      <w:r w:rsidR="0017143B">
        <w:rPr>
          <w:lang w:eastAsia="ja-JP"/>
        </w:rPr>
        <w:t>;</w:t>
      </w:r>
      <w:r>
        <w:rPr>
          <w:lang w:eastAsia="ja-JP"/>
        </w:rPr>
        <w:t xml:space="preserve"> and to limit</w:t>
      </w:r>
      <w:r w:rsidR="00376EE2">
        <w:rPr>
          <w:lang w:eastAsia="ja-JP"/>
        </w:rPr>
        <w:t xml:space="preserve"> the amount of</w:t>
      </w:r>
      <w:r>
        <w:rPr>
          <w:lang w:eastAsia="ja-JP"/>
        </w:rPr>
        <w:t xml:space="preserve"> unused food </w:t>
      </w:r>
      <w:r w:rsidR="00376EE2">
        <w:rPr>
          <w:lang w:eastAsia="ja-JP"/>
        </w:rPr>
        <w:t xml:space="preserve">that leaves </w:t>
      </w:r>
      <w:r>
        <w:rPr>
          <w:lang w:eastAsia="ja-JP"/>
        </w:rPr>
        <w:t>the plane.</w:t>
      </w:r>
    </w:p>
    <w:p w14:paraId="59CAC33E" w14:textId="513495B5" w:rsidR="00AB0E44" w:rsidRDefault="00376EE2">
      <w:pPr>
        <w:rPr>
          <w:lang w:eastAsia="en-AU"/>
        </w:rPr>
      </w:pPr>
      <w:r>
        <w:rPr>
          <w:lang w:eastAsia="en-AU"/>
        </w:rPr>
        <w:t xml:space="preserve">There is a risk that </w:t>
      </w:r>
      <w:r w:rsidR="00361FA3">
        <w:rPr>
          <w:lang w:eastAsia="en-AU"/>
        </w:rPr>
        <w:t xml:space="preserve">hitchhikers </w:t>
      </w:r>
      <w:r w:rsidR="0017143B">
        <w:rPr>
          <w:lang w:eastAsia="en-AU"/>
        </w:rPr>
        <w:t xml:space="preserve">and </w:t>
      </w:r>
      <w:r w:rsidR="00361FA3">
        <w:rPr>
          <w:lang w:eastAsia="en-AU"/>
        </w:rPr>
        <w:t xml:space="preserve">contaminants </w:t>
      </w:r>
      <w:r>
        <w:rPr>
          <w:lang w:eastAsia="en-AU"/>
        </w:rPr>
        <w:t xml:space="preserve">can enter the country through passengers and mail that arrive by air. Therefore, </w:t>
      </w:r>
      <w:r w:rsidR="00361FA3">
        <w:rPr>
          <w:lang w:eastAsia="en-AU"/>
        </w:rPr>
        <w:t xml:space="preserve">an extensive and comprehensive program of </w:t>
      </w:r>
      <w:r>
        <w:rPr>
          <w:lang w:eastAsia="en-AU"/>
        </w:rPr>
        <w:t xml:space="preserve">inspection of </w:t>
      </w:r>
      <w:r w:rsidR="00361FA3">
        <w:rPr>
          <w:lang w:eastAsia="en-AU"/>
        </w:rPr>
        <w:t>incoming passenger</w:t>
      </w:r>
      <w:r>
        <w:rPr>
          <w:lang w:eastAsia="en-AU"/>
        </w:rPr>
        <w:t>s</w:t>
      </w:r>
      <w:r w:rsidR="00361FA3">
        <w:rPr>
          <w:lang w:eastAsia="en-AU"/>
        </w:rPr>
        <w:t xml:space="preserve"> and mail </w:t>
      </w:r>
      <w:r>
        <w:rPr>
          <w:lang w:eastAsia="en-AU"/>
        </w:rPr>
        <w:t xml:space="preserve">is used to control these risks. This inspection program </w:t>
      </w:r>
      <w:r w:rsidR="00361FA3">
        <w:rPr>
          <w:lang w:eastAsia="en-AU"/>
        </w:rPr>
        <w:t>is out of scope for this review.</w:t>
      </w:r>
    </w:p>
    <w:p w14:paraId="52B0FB70" w14:textId="31C06513" w:rsidR="00AB0E44" w:rsidRDefault="00376EE2">
      <w:pPr>
        <w:rPr>
          <w:lang w:eastAsia="en-AU"/>
        </w:rPr>
      </w:pPr>
      <w:r>
        <w:rPr>
          <w:lang w:eastAsia="en-AU"/>
        </w:rPr>
        <w:t>T</w:t>
      </w:r>
      <w:r w:rsidR="00361FA3">
        <w:rPr>
          <w:lang w:eastAsia="en-AU"/>
        </w:rPr>
        <w:t>he policy for the management of hitchhiker pests on aircraft is well established</w:t>
      </w:r>
      <w:r>
        <w:rPr>
          <w:lang w:eastAsia="en-AU"/>
        </w:rPr>
        <w:t>. However,</w:t>
      </w:r>
      <w:r w:rsidR="00361FA3">
        <w:rPr>
          <w:lang w:eastAsia="en-AU"/>
        </w:rPr>
        <w:t xml:space="preserve"> aircraft biosecurity management policy is not as developed or </w:t>
      </w:r>
      <w:r w:rsidR="0017143B">
        <w:rPr>
          <w:lang w:eastAsia="en-AU"/>
        </w:rPr>
        <w:t xml:space="preserve">as </w:t>
      </w:r>
      <w:r w:rsidR="00361FA3" w:rsidRPr="009935C1">
        <w:rPr>
          <w:lang w:eastAsia="en-AU"/>
        </w:rPr>
        <w:t xml:space="preserve">comprehensively stated </w:t>
      </w:r>
      <w:r w:rsidR="00361FA3" w:rsidRPr="00AE1BFF">
        <w:rPr>
          <w:lang w:eastAsia="en-AU"/>
        </w:rPr>
        <w:t>as the policy for the commercial vessel pathway</w:t>
      </w:r>
      <w:r w:rsidR="00361FA3" w:rsidRPr="00A81D6D">
        <w:rPr>
          <w:lang w:eastAsia="en-AU"/>
        </w:rPr>
        <w:t>. Developing a similar framework for aircraft management would help ensure the policy is comprehensive, transparent and applied</w:t>
      </w:r>
      <w:r w:rsidR="00361FA3">
        <w:rPr>
          <w:lang w:eastAsia="en-AU"/>
        </w:rPr>
        <w:t xml:space="preserve"> consistently</w:t>
      </w:r>
      <w:r w:rsidR="00AE1BFF">
        <w:rPr>
          <w:lang w:eastAsia="en-AU"/>
        </w:rPr>
        <w:t>.</w:t>
      </w:r>
      <w:r w:rsidR="00361FA3">
        <w:rPr>
          <w:lang w:eastAsia="en-AU"/>
        </w:rPr>
        <w:t xml:space="preserve"> </w:t>
      </w:r>
      <w:r w:rsidR="00AE1BFF">
        <w:rPr>
          <w:lang w:eastAsia="en-AU"/>
        </w:rPr>
        <w:t xml:space="preserve">It </w:t>
      </w:r>
      <w:r w:rsidR="00361FA3">
        <w:rPr>
          <w:lang w:eastAsia="en-AU"/>
        </w:rPr>
        <w:t xml:space="preserve">would </w:t>
      </w:r>
      <w:r w:rsidR="00AE1BFF">
        <w:rPr>
          <w:lang w:eastAsia="en-AU"/>
        </w:rPr>
        <w:t xml:space="preserve">also </w:t>
      </w:r>
      <w:r w:rsidR="00361FA3">
        <w:rPr>
          <w:lang w:eastAsia="en-AU"/>
        </w:rPr>
        <w:t>enable the department to better understand compliance within the pathway through capturing, analysing, reporting and actioning findings. These features are essential for a regulator to ensure that appropriate steps are taken to improve voluntary compliance, remove impediments to compliance, improve transparency of compliance within the pathway and the industry, and improve engagement of and relationships with industry.</w:t>
      </w:r>
    </w:p>
    <w:p w14:paraId="6AAAD053" w14:textId="77777777" w:rsidR="00AB0E44" w:rsidRDefault="00361FA3" w:rsidP="005721A3">
      <w:pPr>
        <w:pStyle w:val="Caption"/>
        <w:spacing w:before="240"/>
      </w:pPr>
      <w:r>
        <w:t xml:space="preserve">Recommendation </w:t>
      </w:r>
      <w:r w:rsidR="00F21B3D">
        <w:rPr>
          <w:noProof/>
        </w:rPr>
        <w:fldChar w:fldCharType="begin"/>
      </w:r>
      <w:r w:rsidR="00F21B3D">
        <w:rPr>
          <w:noProof/>
        </w:rPr>
        <w:instrText xml:space="preserve"> SEQ Recommendation \* ARABIC </w:instrText>
      </w:r>
      <w:r w:rsidR="00F21B3D">
        <w:rPr>
          <w:noProof/>
        </w:rPr>
        <w:fldChar w:fldCharType="separate"/>
      </w:r>
      <w:r w:rsidR="007F78D8">
        <w:rPr>
          <w:noProof/>
        </w:rPr>
        <w:t>8</w:t>
      </w:r>
      <w:r w:rsidR="00F21B3D">
        <w:rPr>
          <w:noProof/>
        </w:rPr>
        <w:fldChar w:fldCharType="end"/>
      </w:r>
    </w:p>
    <w:p w14:paraId="3606FBC9" w14:textId="395F0A6C" w:rsidR="00AB0E44" w:rsidRDefault="00361FA3">
      <w:pPr>
        <w:pStyle w:val="BoxText"/>
      </w:pPr>
      <w:r>
        <w:t xml:space="preserve">The department should develop </w:t>
      </w:r>
      <w:r w:rsidR="00A6322D">
        <w:t xml:space="preserve">a </w:t>
      </w:r>
      <w:r>
        <w:t xml:space="preserve">policy framework </w:t>
      </w:r>
      <w:r w:rsidR="00A6322D">
        <w:t xml:space="preserve">for biosecurity management of aircraft </w:t>
      </w:r>
      <w:r>
        <w:t xml:space="preserve">similar to </w:t>
      </w:r>
      <w:r w:rsidR="00A6322D">
        <w:t xml:space="preserve">its policy </w:t>
      </w:r>
      <w:r>
        <w:t xml:space="preserve">for </w:t>
      </w:r>
      <w:r w:rsidR="00A6322D">
        <w:t xml:space="preserve">the biosecurity management of </w:t>
      </w:r>
      <w:r>
        <w:t>commercial vessels.</w:t>
      </w:r>
    </w:p>
    <w:p w14:paraId="21C50D37" w14:textId="77777777" w:rsidR="002F1C95" w:rsidRPr="002F1C95" w:rsidRDefault="00361FA3" w:rsidP="002F1C95">
      <w:pPr>
        <w:pStyle w:val="BoxText"/>
        <w:rPr>
          <w:rStyle w:val="Strong"/>
          <w:b w:val="0"/>
        </w:rPr>
      </w:pPr>
      <w:r>
        <w:rPr>
          <w:rStyle w:val="Strong"/>
        </w:rPr>
        <w:t>Department’s response:</w:t>
      </w:r>
      <w:r w:rsidR="002F1C95">
        <w:rPr>
          <w:rStyle w:val="Strong"/>
          <w:b w:val="0"/>
        </w:rPr>
        <w:t xml:space="preserve"> </w:t>
      </w:r>
      <w:r w:rsidR="002F1C95" w:rsidRPr="002F1C95">
        <w:rPr>
          <w:rStyle w:val="Strong"/>
          <w:b w:val="0"/>
        </w:rPr>
        <w:t xml:space="preserve">Agreed. </w:t>
      </w:r>
    </w:p>
    <w:p w14:paraId="44F61C9F" w14:textId="1F98AA4F" w:rsidR="00AB0E44" w:rsidRPr="002F1C95" w:rsidRDefault="002F1C95" w:rsidP="002F1C95">
      <w:pPr>
        <w:pStyle w:val="BoxText"/>
        <w:rPr>
          <w:rStyle w:val="Strong"/>
          <w:b w:val="0"/>
        </w:rPr>
      </w:pPr>
      <w:r w:rsidRPr="002F1C95">
        <w:rPr>
          <w:rStyle w:val="Strong"/>
          <w:b w:val="0"/>
        </w:rPr>
        <w:t>Work has already commenced to develop a policy framework for biosecurity management of aircraft.</w:t>
      </w:r>
    </w:p>
    <w:p w14:paraId="30B4C7FE" w14:textId="77777777" w:rsidR="00AB0E44" w:rsidRDefault="00361FA3">
      <w:pPr>
        <w:pStyle w:val="Heading2"/>
      </w:pPr>
      <w:bookmarkStart w:id="106" w:name="_Toc521069552"/>
      <w:r>
        <w:t>Seasonal hitchhiker pest risk management</w:t>
      </w:r>
      <w:bookmarkEnd w:id="106"/>
    </w:p>
    <w:p w14:paraId="22693903" w14:textId="77777777" w:rsidR="00AB0E44" w:rsidRDefault="00361FA3">
      <w:pPr>
        <w:rPr>
          <w:lang w:eastAsia="ja-JP"/>
        </w:rPr>
      </w:pPr>
      <w:r>
        <w:rPr>
          <w:lang w:eastAsia="ja-JP"/>
        </w:rPr>
        <w:t>Extra targeted biosecurity risk management measures have been devised for a number of seasonal hitchhiker pests of particular concern to Australia.</w:t>
      </w:r>
    </w:p>
    <w:p w14:paraId="39BCE47C" w14:textId="77777777" w:rsidR="00AB0E44" w:rsidRDefault="00361FA3">
      <w:pPr>
        <w:pStyle w:val="Heading3"/>
        <w:rPr>
          <w:rFonts w:eastAsia="Calibri"/>
        </w:rPr>
      </w:pPr>
      <w:bookmarkStart w:id="107" w:name="_Toc509242469"/>
      <w:bookmarkStart w:id="108" w:name="_Toc473547390"/>
      <w:bookmarkStart w:id="109" w:name="_Toc521069553"/>
      <w:r>
        <w:rPr>
          <w:rFonts w:eastAsia="Calibri"/>
        </w:rPr>
        <w:t>Brown marmorated stink bug (</w:t>
      </w:r>
      <w:proofErr w:type="spellStart"/>
      <w:r>
        <w:rPr>
          <w:rFonts w:eastAsia="Calibri"/>
          <w:i/>
        </w:rPr>
        <w:t>Halyomorpha</w:t>
      </w:r>
      <w:proofErr w:type="spellEnd"/>
      <w:r>
        <w:rPr>
          <w:rFonts w:eastAsia="Calibri"/>
          <w:i/>
        </w:rPr>
        <w:t xml:space="preserve"> </w:t>
      </w:r>
      <w:proofErr w:type="spellStart"/>
      <w:r>
        <w:rPr>
          <w:rFonts w:eastAsia="Calibri"/>
          <w:i/>
        </w:rPr>
        <w:t>halys</w:t>
      </w:r>
      <w:proofErr w:type="spellEnd"/>
      <w:r>
        <w:rPr>
          <w:rFonts w:eastAsia="Calibri"/>
        </w:rPr>
        <w:t>)</w:t>
      </w:r>
      <w:bookmarkEnd w:id="107"/>
      <w:bookmarkEnd w:id="109"/>
    </w:p>
    <w:p w14:paraId="1E962BF6" w14:textId="349A7D46" w:rsidR="00AB0E44" w:rsidRDefault="00361FA3">
      <w:r>
        <w:t>The brown marmorated stink bug is a pest of over 100 agricultural and horticultural plants</w:t>
      </w:r>
      <w:r w:rsidR="00F029AC">
        <w:t>. It</w:t>
      </w:r>
      <w:r>
        <w:t xml:space="preserve"> damag</w:t>
      </w:r>
      <w:r w:rsidR="00F029AC">
        <w:t>es</w:t>
      </w:r>
      <w:r>
        <w:t xml:space="preserve"> many fruits and crops</w:t>
      </w:r>
      <w:r w:rsidR="00F029AC">
        <w:t>,</w:t>
      </w:r>
      <w:r>
        <w:t xml:space="preserve"> such as maize and soybean, by preventing early development or making near</w:t>
      </w:r>
      <w:r w:rsidR="00F029AC">
        <w:t>-</w:t>
      </w:r>
      <w:r>
        <w:t>ripe fruit unsaleable as fresh fruit. The bugs may also infest houses, causing significant amenity and human health impacts.</w:t>
      </w:r>
    </w:p>
    <w:p w14:paraId="022137B7" w14:textId="6EAA4F07" w:rsidR="00AB0E44" w:rsidRDefault="00206F0E">
      <w:r>
        <w:t xml:space="preserve">The brown marmorated stink bug </w:t>
      </w:r>
      <w:r w:rsidR="00361FA3">
        <w:t xml:space="preserve">is native to China, Japan, Korea and Taiwan. It spread to the US in the late 1990s, Canada in the late 2000s and Europe between 2007 and 2013 (CABI 2013). In the US, with no native predators, </w:t>
      </w:r>
      <w:r>
        <w:t xml:space="preserve">the bug </w:t>
      </w:r>
      <w:r w:rsidR="00361FA3">
        <w:t>reached pest levels by the early 2000s, becoming more cold-tolerant and pesticide-resistant</w:t>
      </w:r>
      <w:r w:rsidR="00F029AC">
        <w:t>.</w:t>
      </w:r>
      <w:r w:rsidR="00361FA3">
        <w:t xml:space="preserve"> </w:t>
      </w:r>
      <w:r w:rsidR="00F029AC">
        <w:t xml:space="preserve">It </w:t>
      </w:r>
      <w:r w:rsidR="00361FA3">
        <w:t>is still spreading there and</w:t>
      </w:r>
      <w:r w:rsidR="00F029AC">
        <w:t>,</w:t>
      </w:r>
      <w:r w:rsidR="00361FA3">
        <w:t xml:space="preserve"> more recently</w:t>
      </w:r>
      <w:r w:rsidR="00F029AC">
        <w:t>,</w:t>
      </w:r>
      <w:r w:rsidR="00361FA3">
        <w:t xml:space="preserve"> in Europe despite attempts at eradication.</w:t>
      </w:r>
    </w:p>
    <w:p w14:paraId="4F631590" w14:textId="25A95AAC" w:rsidR="00AB0E44" w:rsidRDefault="00361FA3">
      <w:r>
        <w:t xml:space="preserve">The overwintering behaviour of adult </w:t>
      </w:r>
      <w:r w:rsidR="00206F0E">
        <w:t xml:space="preserve">bug </w:t>
      </w:r>
      <w:r>
        <w:t>increases the chance that they may be moved between locations. In the autumn, large numbers of adult insects seek dark</w:t>
      </w:r>
      <w:r w:rsidR="00F029AC">
        <w:t>,</w:t>
      </w:r>
      <w:r>
        <w:t xml:space="preserve"> sheltered spaces to hibernate. </w:t>
      </w:r>
      <w:r w:rsidR="00206F0E">
        <w:t xml:space="preserve">Brown marmorated stink bug </w:t>
      </w:r>
      <w:r>
        <w:t>may be present in household items like furniture</w:t>
      </w:r>
      <w:r w:rsidR="00F029AC">
        <w:t xml:space="preserve">, </w:t>
      </w:r>
      <w:r>
        <w:t>new or used vehicles and shipping containers packed for export during the northern winter. When the ships cross the equator, the bugs come out of hibernation early and begin to breed, forming large populations by the time they arrive in Australia (and also New Zealand).</w:t>
      </w:r>
    </w:p>
    <w:p w14:paraId="273F03FE" w14:textId="0805A0BB" w:rsidR="00AB0E44" w:rsidRDefault="00206F0E">
      <w:pPr>
        <w:rPr>
          <w:lang w:eastAsia="ja-JP"/>
        </w:rPr>
      </w:pPr>
      <w:r>
        <w:rPr>
          <w:lang w:eastAsia="ja-JP"/>
        </w:rPr>
        <w:t xml:space="preserve">Brown marmorated stink bugs </w:t>
      </w:r>
      <w:r w:rsidR="00361FA3">
        <w:rPr>
          <w:lang w:eastAsia="ja-JP"/>
        </w:rPr>
        <w:t>have been identified in very large numbers since December 2014 as a seasonal pest requiring specific attention, particularly for break</w:t>
      </w:r>
      <w:r w:rsidR="00F029AC">
        <w:rPr>
          <w:lang w:eastAsia="ja-JP"/>
        </w:rPr>
        <w:t>-</w:t>
      </w:r>
      <w:r w:rsidR="00361FA3">
        <w:rPr>
          <w:lang w:eastAsia="ja-JP"/>
        </w:rPr>
        <w:t>bulk cargo shipped from the US in the September to April period (</w:t>
      </w:r>
      <w:r w:rsidR="00361FA3">
        <w:rPr>
          <w:lang w:eastAsia="ja-JP"/>
        </w:rPr>
        <w:fldChar w:fldCharType="begin"/>
      </w:r>
      <w:r w:rsidR="00361FA3">
        <w:rPr>
          <w:lang w:eastAsia="ja-JP"/>
        </w:rPr>
        <w:instrText xml:space="preserve"> REF _Ref513829637 \h </w:instrText>
      </w:r>
      <w:r w:rsidR="00361FA3">
        <w:rPr>
          <w:lang w:eastAsia="ja-JP"/>
        </w:rPr>
      </w:r>
      <w:r w:rsidR="00361FA3">
        <w:rPr>
          <w:lang w:eastAsia="ja-JP"/>
        </w:rPr>
        <w:fldChar w:fldCharType="separate"/>
      </w:r>
      <w:r w:rsidR="007F78D8">
        <w:t xml:space="preserve">Table </w:t>
      </w:r>
      <w:r w:rsidR="007F78D8">
        <w:rPr>
          <w:noProof/>
        </w:rPr>
        <w:t>7</w:t>
      </w:r>
      <w:r w:rsidR="00361FA3">
        <w:rPr>
          <w:lang w:eastAsia="ja-JP"/>
        </w:rPr>
        <w:fldChar w:fldCharType="end"/>
      </w:r>
      <w:r w:rsidR="00361FA3">
        <w:rPr>
          <w:lang w:eastAsia="ja-JP"/>
        </w:rPr>
        <w:t xml:space="preserve">). Since 2016 invasion of parts of Europe </w:t>
      </w:r>
      <w:r>
        <w:rPr>
          <w:lang w:eastAsia="ja-JP"/>
        </w:rPr>
        <w:t xml:space="preserve">by the brown marmorated stink bug </w:t>
      </w:r>
      <w:r w:rsidR="00361FA3">
        <w:rPr>
          <w:lang w:eastAsia="ja-JP"/>
        </w:rPr>
        <w:t>has also necessitated special attention to cargo shipped in the same period from Italian ports.</w:t>
      </w:r>
    </w:p>
    <w:p w14:paraId="601CAF52" w14:textId="77777777" w:rsidR="00AB0E44" w:rsidRDefault="00361FA3">
      <w:pPr>
        <w:pStyle w:val="Caption"/>
        <w:rPr>
          <w:noProof/>
        </w:rPr>
      </w:pPr>
      <w:bookmarkStart w:id="110" w:name="_Ref513829637"/>
      <w:bookmarkStart w:id="111" w:name="_Toc521069598"/>
      <w:r>
        <w:t xml:space="preserve">Table </w:t>
      </w:r>
      <w:r w:rsidR="00F21B3D">
        <w:rPr>
          <w:noProof/>
        </w:rPr>
        <w:fldChar w:fldCharType="begin"/>
      </w:r>
      <w:r w:rsidR="00F21B3D">
        <w:rPr>
          <w:noProof/>
        </w:rPr>
        <w:instrText xml:space="preserve"> SEQ Table \* ARABIC </w:instrText>
      </w:r>
      <w:r w:rsidR="00F21B3D">
        <w:rPr>
          <w:noProof/>
        </w:rPr>
        <w:fldChar w:fldCharType="separate"/>
      </w:r>
      <w:r w:rsidR="007F78D8">
        <w:rPr>
          <w:noProof/>
        </w:rPr>
        <w:t>7</w:t>
      </w:r>
      <w:r w:rsidR="00F21B3D">
        <w:rPr>
          <w:noProof/>
        </w:rPr>
        <w:fldChar w:fldCharType="end"/>
      </w:r>
      <w:bookmarkEnd w:id="110"/>
      <w:r>
        <w:rPr>
          <w:noProof/>
        </w:rPr>
        <w:t xml:space="preserve"> Brown marmorated stink bug interceptions, by countries of origin and pathway, 2012–2017</w:t>
      </w:r>
      <w:bookmarkEnd w:id="111"/>
    </w:p>
    <w:tbl>
      <w:tblPr>
        <w:tblStyle w:val="PlainTable5"/>
        <w:tblW w:w="9016" w:type="dxa"/>
        <w:tblBorders>
          <w:top w:val="single" w:sz="4" w:space="0" w:color="auto"/>
          <w:bottom w:val="single" w:sz="4" w:space="0" w:color="auto"/>
        </w:tblBorders>
        <w:tblLayout w:type="fixed"/>
        <w:tblLook w:val="04A0" w:firstRow="1" w:lastRow="0" w:firstColumn="1" w:lastColumn="0" w:noHBand="0" w:noVBand="1"/>
      </w:tblPr>
      <w:tblGrid>
        <w:gridCol w:w="1701"/>
        <w:gridCol w:w="914"/>
        <w:gridCol w:w="914"/>
        <w:gridCol w:w="724"/>
        <w:gridCol w:w="1134"/>
        <w:gridCol w:w="850"/>
        <w:gridCol w:w="950"/>
        <w:gridCol w:w="1035"/>
        <w:gridCol w:w="794"/>
      </w:tblGrid>
      <w:tr w:rsidR="00AB0E44" w:rsidRPr="005B3E05" w14:paraId="45CFB23E" w14:textId="77777777" w:rsidTr="005B3E05">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1701" w:type="dxa"/>
            <w:tcBorders>
              <w:top w:val="single" w:sz="4" w:space="0" w:color="auto"/>
              <w:bottom w:val="nil"/>
            </w:tcBorders>
            <w:shd w:val="clear" w:color="auto" w:fill="auto"/>
          </w:tcPr>
          <w:p w14:paraId="477EB6C7" w14:textId="77777777" w:rsidR="00AB0E44" w:rsidRPr="005B3E05" w:rsidRDefault="00361FA3" w:rsidP="005B3E05">
            <w:pPr>
              <w:pStyle w:val="Tableheading"/>
              <w:rPr>
                <w:i w:val="0"/>
              </w:rPr>
            </w:pPr>
            <w:r w:rsidRPr="005B3E05">
              <w:rPr>
                <w:i w:val="0"/>
              </w:rPr>
              <w:t>Country of origin</w:t>
            </w:r>
          </w:p>
        </w:tc>
        <w:tc>
          <w:tcPr>
            <w:tcW w:w="914" w:type="dxa"/>
            <w:tcBorders>
              <w:top w:val="single" w:sz="4" w:space="0" w:color="auto"/>
              <w:bottom w:val="nil"/>
            </w:tcBorders>
            <w:shd w:val="clear" w:color="auto" w:fill="auto"/>
          </w:tcPr>
          <w:p w14:paraId="6336CFE6" w14:textId="77777777" w:rsidR="00AB0E44" w:rsidRPr="005B3E05" w:rsidRDefault="00361FA3" w:rsidP="005B3E05">
            <w:pPr>
              <w:pStyle w:val="Tableheading"/>
              <w:jc w:val="right"/>
              <w:cnfStyle w:val="100000000000" w:firstRow="1" w:lastRow="0" w:firstColumn="0" w:lastColumn="0" w:oddVBand="0" w:evenVBand="0" w:oddHBand="0" w:evenHBand="0" w:firstRowFirstColumn="0" w:firstRowLastColumn="0" w:lastRowFirstColumn="0" w:lastRowLastColumn="0"/>
              <w:rPr>
                <w:i w:val="0"/>
              </w:rPr>
            </w:pPr>
            <w:r w:rsidRPr="005B3E05">
              <w:rPr>
                <w:i w:val="0"/>
              </w:rPr>
              <w:t>Air cargo</w:t>
            </w:r>
          </w:p>
        </w:tc>
        <w:tc>
          <w:tcPr>
            <w:tcW w:w="914" w:type="dxa"/>
            <w:tcBorders>
              <w:top w:val="single" w:sz="4" w:space="0" w:color="auto"/>
              <w:bottom w:val="nil"/>
            </w:tcBorders>
            <w:shd w:val="clear" w:color="auto" w:fill="auto"/>
          </w:tcPr>
          <w:p w14:paraId="48D2A211" w14:textId="77777777" w:rsidR="00AB0E44" w:rsidRPr="005B3E05" w:rsidRDefault="00361FA3" w:rsidP="005B3E05">
            <w:pPr>
              <w:pStyle w:val="Tableheading"/>
              <w:jc w:val="right"/>
              <w:cnfStyle w:val="100000000000" w:firstRow="1" w:lastRow="0" w:firstColumn="0" w:lastColumn="0" w:oddVBand="0" w:evenVBand="0" w:oddHBand="0" w:evenHBand="0" w:firstRowFirstColumn="0" w:firstRowLastColumn="0" w:lastRowFirstColumn="0" w:lastRowLastColumn="0"/>
              <w:rPr>
                <w:i w:val="0"/>
              </w:rPr>
            </w:pPr>
            <w:r w:rsidRPr="005B3E05">
              <w:rPr>
                <w:i w:val="0"/>
              </w:rPr>
              <w:t>Air baggage</w:t>
            </w:r>
          </w:p>
        </w:tc>
        <w:tc>
          <w:tcPr>
            <w:tcW w:w="724" w:type="dxa"/>
            <w:tcBorders>
              <w:top w:val="single" w:sz="4" w:space="0" w:color="auto"/>
              <w:bottom w:val="nil"/>
            </w:tcBorders>
            <w:shd w:val="clear" w:color="auto" w:fill="auto"/>
          </w:tcPr>
          <w:p w14:paraId="53A03526" w14:textId="77777777" w:rsidR="00AB0E44" w:rsidRPr="005B3E05" w:rsidRDefault="00361FA3" w:rsidP="005B3E05">
            <w:pPr>
              <w:pStyle w:val="Tableheading"/>
              <w:jc w:val="right"/>
              <w:cnfStyle w:val="100000000000" w:firstRow="1" w:lastRow="0" w:firstColumn="0" w:lastColumn="0" w:oddVBand="0" w:evenVBand="0" w:oddHBand="0" w:evenHBand="0" w:firstRowFirstColumn="0" w:firstRowLastColumn="0" w:lastRowFirstColumn="0" w:lastRowLastColumn="0"/>
              <w:rPr>
                <w:i w:val="0"/>
              </w:rPr>
            </w:pPr>
            <w:r w:rsidRPr="005B3E05">
              <w:rPr>
                <w:i w:val="0"/>
              </w:rPr>
              <w:t>Sea cargo</w:t>
            </w:r>
          </w:p>
        </w:tc>
        <w:tc>
          <w:tcPr>
            <w:tcW w:w="1134" w:type="dxa"/>
            <w:tcBorders>
              <w:top w:val="single" w:sz="4" w:space="0" w:color="auto"/>
              <w:bottom w:val="nil"/>
            </w:tcBorders>
            <w:shd w:val="clear" w:color="auto" w:fill="auto"/>
          </w:tcPr>
          <w:p w14:paraId="4423DDE1" w14:textId="77777777" w:rsidR="00AB0E44" w:rsidRPr="005B3E05" w:rsidRDefault="00361FA3" w:rsidP="005B3E05">
            <w:pPr>
              <w:pStyle w:val="Tableheading"/>
              <w:jc w:val="right"/>
              <w:cnfStyle w:val="100000000000" w:firstRow="1" w:lastRow="0" w:firstColumn="0" w:lastColumn="0" w:oddVBand="0" w:evenVBand="0" w:oddHBand="0" w:evenHBand="0" w:firstRowFirstColumn="0" w:firstRowLastColumn="0" w:lastRowFirstColumn="0" w:lastRowLastColumn="0"/>
              <w:rPr>
                <w:i w:val="0"/>
              </w:rPr>
            </w:pPr>
            <w:r w:rsidRPr="005B3E05">
              <w:rPr>
                <w:i w:val="0"/>
              </w:rPr>
              <w:t>Commercial vessel</w:t>
            </w:r>
          </w:p>
        </w:tc>
        <w:tc>
          <w:tcPr>
            <w:tcW w:w="850" w:type="dxa"/>
            <w:tcBorders>
              <w:top w:val="single" w:sz="4" w:space="0" w:color="auto"/>
              <w:bottom w:val="nil"/>
            </w:tcBorders>
            <w:shd w:val="clear" w:color="auto" w:fill="auto"/>
          </w:tcPr>
          <w:p w14:paraId="2F03C9DF" w14:textId="77777777" w:rsidR="00AB0E44" w:rsidRPr="005B3E05" w:rsidRDefault="00361FA3" w:rsidP="005B3E05">
            <w:pPr>
              <w:pStyle w:val="Tableheading"/>
              <w:jc w:val="right"/>
              <w:cnfStyle w:val="100000000000" w:firstRow="1" w:lastRow="0" w:firstColumn="0" w:lastColumn="0" w:oddVBand="0" w:evenVBand="0" w:oddHBand="0" w:evenHBand="0" w:firstRowFirstColumn="0" w:firstRowLastColumn="0" w:lastRowFirstColumn="0" w:lastRowLastColumn="0"/>
              <w:rPr>
                <w:i w:val="0"/>
              </w:rPr>
            </w:pPr>
            <w:r w:rsidRPr="005B3E05">
              <w:rPr>
                <w:i w:val="0"/>
              </w:rPr>
              <w:t>Mail</w:t>
            </w:r>
          </w:p>
        </w:tc>
        <w:tc>
          <w:tcPr>
            <w:tcW w:w="950" w:type="dxa"/>
            <w:tcBorders>
              <w:top w:val="single" w:sz="4" w:space="0" w:color="auto"/>
              <w:bottom w:val="nil"/>
            </w:tcBorders>
            <w:shd w:val="clear" w:color="auto" w:fill="auto"/>
          </w:tcPr>
          <w:p w14:paraId="3F642E47" w14:textId="77777777" w:rsidR="00AB0E44" w:rsidRPr="005B3E05" w:rsidRDefault="00361FA3" w:rsidP="005B3E05">
            <w:pPr>
              <w:pStyle w:val="Tableheading"/>
              <w:jc w:val="right"/>
              <w:cnfStyle w:val="100000000000" w:firstRow="1" w:lastRow="0" w:firstColumn="0" w:lastColumn="0" w:oddVBand="0" w:evenVBand="0" w:oddHBand="0" w:evenHBand="0" w:firstRowFirstColumn="0" w:firstRowLastColumn="0" w:lastRowFirstColumn="0" w:lastRowLastColumn="0"/>
              <w:rPr>
                <w:i w:val="0"/>
              </w:rPr>
            </w:pPr>
            <w:r w:rsidRPr="005B3E05">
              <w:rPr>
                <w:i w:val="0"/>
              </w:rPr>
              <w:t>Empty container</w:t>
            </w:r>
          </w:p>
        </w:tc>
        <w:tc>
          <w:tcPr>
            <w:tcW w:w="1035" w:type="dxa"/>
            <w:tcBorders>
              <w:top w:val="single" w:sz="4" w:space="0" w:color="auto"/>
              <w:bottom w:val="nil"/>
            </w:tcBorders>
            <w:shd w:val="clear" w:color="auto" w:fill="auto"/>
          </w:tcPr>
          <w:p w14:paraId="01503177" w14:textId="77777777" w:rsidR="00AB0E44" w:rsidRPr="005B3E05" w:rsidRDefault="00361FA3" w:rsidP="005B3E05">
            <w:pPr>
              <w:pStyle w:val="Tableheading"/>
              <w:jc w:val="right"/>
              <w:cnfStyle w:val="100000000000" w:firstRow="1" w:lastRow="0" w:firstColumn="0" w:lastColumn="0" w:oddVBand="0" w:evenVBand="0" w:oddHBand="0" w:evenHBand="0" w:firstRowFirstColumn="0" w:firstRowLastColumn="0" w:lastRowFirstColumn="0" w:lastRowLastColumn="0"/>
              <w:rPr>
                <w:i w:val="0"/>
              </w:rPr>
            </w:pPr>
            <w:r w:rsidRPr="005B3E05">
              <w:rPr>
                <w:i w:val="0"/>
              </w:rPr>
              <w:t>FCL/LCL container</w:t>
            </w:r>
          </w:p>
        </w:tc>
        <w:tc>
          <w:tcPr>
            <w:tcW w:w="794" w:type="dxa"/>
            <w:tcBorders>
              <w:top w:val="single" w:sz="4" w:space="0" w:color="auto"/>
              <w:bottom w:val="nil"/>
            </w:tcBorders>
            <w:shd w:val="clear" w:color="auto" w:fill="auto"/>
          </w:tcPr>
          <w:p w14:paraId="7C864345" w14:textId="77777777" w:rsidR="00AB0E44" w:rsidRPr="005B3E05" w:rsidRDefault="00361FA3" w:rsidP="005B3E05">
            <w:pPr>
              <w:pStyle w:val="Tableheading"/>
              <w:jc w:val="right"/>
              <w:cnfStyle w:val="100000000000" w:firstRow="1" w:lastRow="0" w:firstColumn="0" w:lastColumn="0" w:oddVBand="0" w:evenVBand="0" w:oddHBand="0" w:evenHBand="0" w:firstRowFirstColumn="0" w:firstRowLastColumn="0" w:lastRowFirstColumn="0" w:lastRowLastColumn="0"/>
              <w:rPr>
                <w:i w:val="0"/>
              </w:rPr>
            </w:pPr>
            <w:r w:rsidRPr="005B3E05">
              <w:rPr>
                <w:i w:val="0"/>
              </w:rPr>
              <w:t>Total</w:t>
            </w:r>
          </w:p>
        </w:tc>
      </w:tr>
      <w:tr w:rsidR="00AB0E44" w:rsidRPr="005B3E05" w14:paraId="26FCDA40" w14:textId="77777777" w:rsidTr="005B3E05">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auto"/>
          </w:tcPr>
          <w:p w14:paraId="4BF5C36C" w14:textId="77777777" w:rsidR="00AB0E44" w:rsidRPr="005B3E05" w:rsidRDefault="00361FA3">
            <w:pPr>
              <w:pStyle w:val="Tabletext"/>
              <w:jc w:val="left"/>
              <w:rPr>
                <w:i w:val="0"/>
              </w:rPr>
            </w:pPr>
            <w:r w:rsidRPr="005B3E05">
              <w:rPr>
                <w:i w:val="0"/>
              </w:rPr>
              <w:t>United States</w:t>
            </w:r>
          </w:p>
        </w:tc>
        <w:tc>
          <w:tcPr>
            <w:tcW w:w="914" w:type="dxa"/>
            <w:tcBorders>
              <w:top w:val="nil"/>
              <w:left w:val="nil"/>
              <w:bottom w:val="nil"/>
            </w:tcBorders>
            <w:shd w:val="clear" w:color="auto" w:fill="auto"/>
          </w:tcPr>
          <w:p w14:paraId="2E56EA57"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3</w:t>
            </w:r>
          </w:p>
        </w:tc>
        <w:tc>
          <w:tcPr>
            <w:tcW w:w="914" w:type="dxa"/>
            <w:tcBorders>
              <w:top w:val="nil"/>
              <w:bottom w:val="nil"/>
            </w:tcBorders>
            <w:shd w:val="clear" w:color="auto" w:fill="auto"/>
          </w:tcPr>
          <w:p w14:paraId="5768D8DB"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3</w:t>
            </w:r>
          </w:p>
        </w:tc>
        <w:tc>
          <w:tcPr>
            <w:tcW w:w="724" w:type="dxa"/>
            <w:tcBorders>
              <w:top w:val="nil"/>
              <w:bottom w:val="nil"/>
            </w:tcBorders>
            <w:shd w:val="clear" w:color="auto" w:fill="auto"/>
          </w:tcPr>
          <w:p w14:paraId="6C542DCF"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76</w:t>
            </w:r>
          </w:p>
        </w:tc>
        <w:tc>
          <w:tcPr>
            <w:tcW w:w="1134" w:type="dxa"/>
            <w:tcBorders>
              <w:top w:val="nil"/>
              <w:bottom w:val="nil"/>
            </w:tcBorders>
            <w:shd w:val="clear" w:color="auto" w:fill="auto"/>
          </w:tcPr>
          <w:p w14:paraId="746E5FBF"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30</w:t>
            </w:r>
          </w:p>
        </w:tc>
        <w:tc>
          <w:tcPr>
            <w:tcW w:w="850" w:type="dxa"/>
            <w:tcBorders>
              <w:top w:val="nil"/>
              <w:bottom w:val="nil"/>
            </w:tcBorders>
            <w:shd w:val="clear" w:color="auto" w:fill="auto"/>
          </w:tcPr>
          <w:p w14:paraId="495C24D6"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1</w:t>
            </w:r>
          </w:p>
        </w:tc>
        <w:tc>
          <w:tcPr>
            <w:tcW w:w="950" w:type="dxa"/>
            <w:tcBorders>
              <w:top w:val="nil"/>
              <w:bottom w:val="nil"/>
            </w:tcBorders>
            <w:shd w:val="clear" w:color="auto" w:fill="auto"/>
          </w:tcPr>
          <w:p w14:paraId="6EFE08B8"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1</w:t>
            </w:r>
          </w:p>
        </w:tc>
        <w:tc>
          <w:tcPr>
            <w:tcW w:w="1035" w:type="dxa"/>
            <w:tcBorders>
              <w:top w:val="nil"/>
              <w:bottom w:val="nil"/>
            </w:tcBorders>
            <w:shd w:val="clear" w:color="auto" w:fill="auto"/>
          </w:tcPr>
          <w:p w14:paraId="22A17906"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44</w:t>
            </w:r>
          </w:p>
        </w:tc>
        <w:tc>
          <w:tcPr>
            <w:tcW w:w="794" w:type="dxa"/>
            <w:tcBorders>
              <w:top w:val="nil"/>
              <w:bottom w:val="nil"/>
            </w:tcBorders>
            <w:shd w:val="clear" w:color="auto" w:fill="auto"/>
          </w:tcPr>
          <w:p w14:paraId="27ACB086"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158</w:t>
            </w:r>
          </w:p>
        </w:tc>
      </w:tr>
      <w:tr w:rsidR="00AB0E44" w:rsidRPr="005B3E05" w14:paraId="5921BCC7" w14:textId="77777777" w:rsidTr="005B3E05">
        <w:trPr>
          <w:trHeight w:val="74"/>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auto"/>
          </w:tcPr>
          <w:p w14:paraId="4D4D8D5C" w14:textId="77777777" w:rsidR="00AB0E44" w:rsidRPr="005B3E05" w:rsidRDefault="00361FA3">
            <w:pPr>
              <w:pStyle w:val="Tabletext"/>
              <w:jc w:val="left"/>
              <w:rPr>
                <w:i w:val="0"/>
              </w:rPr>
            </w:pPr>
            <w:r w:rsidRPr="005B3E05">
              <w:rPr>
                <w:i w:val="0"/>
              </w:rPr>
              <w:t xml:space="preserve">Italy </w:t>
            </w:r>
          </w:p>
        </w:tc>
        <w:tc>
          <w:tcPr>
            <w:tcW w:w="914" w:type="dxa"/>
            <w:tcBorders>
              <w:top w:val="nil"/>
              <w:left w:val="nil"/>
              <w:bottom w:val="nil"/>
            </w:tcBorders>
            <w:shd w:val="clear" w:color="auto" w:fill="auto"/>
          </w:tcPr>
          <w:p w14:paraId="3334E088"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0</w:t>
            </w:r>
          </w:p>
        </w:tc>
        <w:tc>
          <w:tcPr>
            <w:tcW w:w="914" w:type="dxa"/>
            <w:tcBorders>
              <w:top w:val="nil"/>
              <w:bottom w:val="nil"/>
            </w:tcBorders>
            <w:shd w:val="clear" w:color="auto" w:fill="auto"/>
          </w:tcPr>
          <w:p w14:paraId="0E96A0A5"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0</w:t>
            </w:r>
          </w:p>
        </w:tc>
        <w:tc>
          <w:tcPr>
            <w:tcW w:w="724" w:type="dxa"/>
            <w:tcBorders>
              <w:top w:val="nil"/>
              <w:bottom w:val="nil"/>
            </w:tcBorders>
            <w:shd w:val="clear" w:color="auto" w:fill="auto"/>
          </w:tcPr>
          <w:p w14:paraId="439D883F"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20</w:t>
            </w:r>
          </w:p>
        </w:tc>
        <w:tc>
          <w:tcPr>
            <w:tcW w:w="1134" w:type="dxa"/>
            <w:tcBorders>
              <w:top w:val="nil"/>
              <w:bottom w:val="nil"/>
            </w:tcBorders>
            <w:shd w:val="clear" w:color="auto" w:fill="auto"/>
          </w:tcPr>
          <w:p w14:paraId="0D80BC78"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1</w:t>
            </w:r>
          </w:p>
        </w:tc>
        <w:tc>
          <w:tcPr>
            <w:tcW w:w="850" w:type="dxa"/>
            <w:tcBorders>
              <w:top w:val="nil"/>
              <w:bottom w:val="nil"/>
            </w:tcBorders>
            <w:shd w:val="clear" w:color="auto" w:fill="auto"/>
          </w:tcPr>
          <w:p w14:paraId="1ECB0A6F"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0</w:t>
            </w:r>
          </w:p>
        </w:tc>
        <w:tc>
          <w:tcPr>
            <w:tcW w:w="950" w:type="dxa"/>
            <w:tcBorders>
              <w:top w:val="nil"/>
              <w:bottom w:val="nil"/>
            </w:tcBorders>
            <w:shd w:val="clear" w:color="auto" w:fill="auto"/>
          </w:tcPr>
          <w:p w14:paraId="6E5BF8B2"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0</w:t>
            </w:r>
          </w:p>
        </w:tc>
        <w:tc>
          <w:tcPr>
            <w:tcW w:w="1035" w:type="dxa"/>
            <w:tcBorders>
              <w:top w:val="nil"/>
              <w:bottom w:val="nil"/>
            </w:tcBorders>
            <w:shd w:val="clear" w:color="auto" w:fill="auto"/>
          </w:tcPr>
          <w:p w14:paraId="5960C397"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27</w:t>
            </w:r>
          </w:p>
        </w:tc>
        <w:tc>
          <w:tcPr>
            <w:tcW w:w="794" w:type="dxa"/>
            <w:tcBorders>
              <w:top w:val="nil"/>
              <w:bottom w:val="nil"/>
            </w:tcBorders>
            <w:shd w:val="clear" w:color="auto" w:fill="auto"/>
          </w:tcPr>
          <w:p w14:paraId="703C6CAB"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48</w:t>
            </w:r>
          </w:p>
        </w:tc>
      </w:tr>
      <w:tr w:rsidR="00AB0E44" w:rsidRPr="005B3E05" w14:paraId="666AA88E" w14:textId="77777777" w:rsidTr="005B3E0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auto"/>
          </w:tcPr>
          <w:p w14:paraId="7E54046B" w14:textId="77777777" w:rsidR="00AB0E44" w:rsidRPr="005B3E05" w:rsidRDefault="00361FA3">
            <w:pPr>
              <w:pStyle w:val="Tabletext"/>
              <w:jc w:val="left"/>
              <w:rPr>
                <w:i w:val="0"/>
              </w:rPr>
            </w:pPr>
            <w:r w:rsidRPr="005B3E05">
              <w:rPr>
                <w:i w:val="0"/>
              </w:rPr>
              <w:t>China</w:t>
            </w:r>
          </w:p>
        </w:tc>
        <w:tc>
          <w:tcPr>
            <w:tcW w:w="914" w:type="dxa"/>
            <w:tcBorders>
              <w:top w:val="nil"/>
              <w:left w:val="nil"/>
              <w:bottom w:val="nil"/>
            </w:tcBorders>
            <w:shd w:val="clear" w:color="auto" w:fill="auto"/>
          </w:tcPr>
          <w:p w14:paraId="783A6CD0"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0</w:t>
            </w:r>
          </w:p>
        </w:tc>
        <w:tc>
          <w:tcPr>
            <w:tcW w:w="914" w:type="dxa"/>
            <w:tcBorders>
              <w:top w:val="nil"/>
              <w:bottom w:val="nil"/>
            </w:tcBorders>
            <w:shd w:val="clear" w:color="auto" w:fill="auto"/>
          </w:tcPr>
          <w:p w14:paraId="746D4FC9"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3</w:t>
            </w:r>
          </w:p>
        </w:tc>
        <w:tc>
          <w:tcPr>
            <w:tcW w:w="724" w:type="dxa"/>
            <w:tcBorders>
              <w:top w:val="nil"/>
              <w:bottom w:val="nil"/>
            </w:tcBorders>
            <w:shd w:val="clear" w:color="auto" w:fill="auto"/>
          </w:tcPr>
          <w:p w14:paraId="209AC556"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6</w:t>
            </w:r>
          </w:p>
        </w:tc>
        <w:tc>
          <w:tcPr>
            <w:tcW w:w="1134" w:type="dxa"/>
            <w:tcBorders>
              <w:top w:val="nil"/>
              <w:bottom w:val="nil"/>
            </w:tcBorders>
            <w:shd w:val="clear" w:color="auto" w:fill="auto"/>
          </w:tcPr>
          <w:p w14:paraId="6C913CB2"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5</w:t>
            </w:r>
          </w:p>
        </w:tc>
        <w:tc>
          <w:tcPr>
            <w:tcW w:w="850" w:type="dxa"/>
            <w:tcBorders>
              <w:top w:val="nil"/>
              <w:bottom w:val="nil"/>
            </w:tcBorders>
            <w:shd w:val="clear" w:color="auto" w:fill="auto"/>
          </w:tcPr>
          <w:p w14:paraId="1AD26B4F"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0</w:t>
            </w:r>
          </w:p>
        </w:tc>
        <w:tc>
          <w:tcPr>
            <w:tcW w:w="950" w:type="dxa"/>
            <w:tcBorders>
              <w:top w:val="nil"/>
              <w:bottom w:val="nil"/>
            </w:tcBorders>
            <w:shd w:val="clear" w:color="auto" w:fill="auto"/>
          </w:tcPr>
          <w:p w14:paraId="156B65E2"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0</w:t>
            </w:r>
          </w:p>
        </w:tc>
        <w:tc>
          <w:tcPr>
            <w:tcW w:w="1035" w:type="dxa"/>
            <w:tcBorders>
              <w:top w:val="nil"/>
              <w:bottom w:val="nil"/>
            </w:tcBorders>
            <w:shd w:val="clear" w:color="auto" w:fill="auto"/>
          </w:tcPr>
          <w:p w14:paraId="54303AB5"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23</w:t>
            </w:r>
          </w:p>
        </w:tc>
        <w:tc>
          <w:tcPr>
            <w:tcW w:w="794" w:type="dxa"/>
            <w:tcBorders>
              <w:top w:val="nil"/>
              <w:bottom w:val="nil"/>
            </w:tcBorders>
            <w:shd w:val="clear" w:color="auto" w:fill="auto"/>
          </w:tcPr>
          <w:p w14:paraId="59492704"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37</w:t>
            </w:r>
          </w:p>
        </w:tc>
      </w:tr>
      <w:tr w:rsidR="00AB0E44" w:rsidRPr="005B3E05" w14:paraId="26A20A84" w14:textId="77777777" w:rsidTr="005B3E05">
        <w:trPr>
          <w:trHeight w:val="74"/>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auto"/>
          </w:tcPr>
          <w:p w14:paraId="24D14334" w14:textId="77777777" w:rsidR="00AB0E44" w:rsidRPr="005B3E05" w:rsidRDefault="00361FA3">
            <w:pPr>
              <w:pStyle w:val="Tabletext"/>
              <w:jc w:val="left"/>
              <w:rPr>
                <w:i w:val="0"/>
              </w:rPr>
            </w:pPr>
            <w:r w:rsidRPr="005B3E05">
              <w:rPr>
                <w:i w:val="0"/>
              </w:rPr>
              <w:t>Japan</w:t>
            </w:r>
          </w:p>
        </w:tc>
        <w:tc>
          <w:tcPr>
            <w:tcW w:w="914" w:type="dxa"/>
            <w:tcBorders>
              <w:top w:val="nil"/>
              <w:left w:val="nil"/>
              <w:bottom w:val="nil"/>
            </w:tcBorders>
            <w:shd w:val="clear" w:color="auto" w:fill="auto"/>
          </w:tcPr>
          <w:p w14:paraId="0B0BDFC9"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0</w:t>
            </w:r>
          </w:p>
        </w:tc>
        <w:tc>
          <w:tcPr>
            <w:tcW w:w="914" w:type="dxa"/>
            <w:tcBorders>
              <w:top w:val="nil"/>
              <w:bottom w:val="nil"/>
            </w:tcBorders>
            <w:shd w:val="clear" w:color="auto" w:fill="auto"/>
          </w:tcPr>
          <w:p w14:paraId="6194D6D8"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2</w:t>
            </w:r>
          </w:p>
        </w:tc>
        <w:tc>
          <w:tcPr>
            <w:tcW w:w="724" w:type="dxa"/>
            <w:tcBorders>
              <w:top w:val="nil"/>
              <w:bottom w:val="nil"/>
            </w:tcBorders>
            <w:shd w:val="clear" w:color="auto" w:fill="auto"/>
          </w:tcPr>
          <w:p w14:paraId="2602F87C"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11</w:t>
            </w:r>
          </w:p>
        </w:tc>
        <w:tc>
          <w:tcPr>
            <w:tcW w:w="1134" w:type="dxa"/>
            <w:tcBorders>
              <w:top w:val="nil"/>
              <w:bottom w:val="nil"/>
            </w:tcBorders>
            <w:shd w:val="clear" w:color="auto" w:fill="auto"/>
          </w:tcPr>
          <w:p w14:paraId="5B03629F"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2</w:t>
            </w:r>
          </w:p>
        </w:tc>
        <w:tc>
          <w:tcPr>
            <w:tcW w:w="850" w:type="dxa"/>
            <w:tcBorders>
              <w:top w:val="nil"/>
              <w:bottom w:val="nil"/>
            </w:tcBorders>
            <w:shd w:val="clear" w:color="auto" w:fill="auto"/>
          </w:tcPr>
          <w:p w14:paraId="2BEB42BB"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0</w:t>
            </w:r>
          </w:p>
        </w:tc>
        <w:tc>
          <w:tcPr>
            <w:tcW w:w="950" w:type="dxa"/>
            <w:tcBorders>
              <w:top w:val="nil"/>
              <w:bottom w:val="nil"/>
            </w:tcBorders>
            <w:shd w:val="clear" w:color="auto" w:fill="auto"/>
          </w:tcPr>
          <w:p w14:paraId="7B6BD905"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0</w:t>
            </w:r>
          </w:p>
        </w:tc>
        <w:tc>
          <w:tcPr>
            <w:tcW w:w="1035" w:type="dxa"/>
            <w:tcBorders>
              <w:top w:val="nil"/>
              <w:bottom w:val="nil"/>
            </w:tcBorders>
            <w:shd w:val="clear" w:color="auto" w:fill="auto"/>
          </w:tcPr>
          <w:p w14:paraId="737193E4"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2</w:t>
            </w:r>
          </w:p>
        </w:tc>
        <w:tc>
          <w:tcPr>
            <w:tcW w:w="794" w:type="dxa"/>
            <w:tcBorders>
              <w:top w:val="nil"/>
              <w:bottom w:val="nil"/>
            </w:tcBorders>
            <w:shd w:val="clear" w:color="auto" w:fill="auto"/>
          </w:tcPr>
          <w:p w14:paraId="6743946D"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17</w:t>
            </w:r>
          </w:p>
        </w:tc>
      </w:tr>
      <w:tr w:rsidR="00AB0E44" w:rsidRPr="005B3E05" w14:paraId="0271A3F2" w14:textId="77777777" w:rsidTr="005B3E0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auto"/>
          </w:tcPr>
          <w:p w14:paraId="317A3987" w14:textId="77777777" w:rsidR="00AB0E44" w:rsidRPr="005B3E05" w:rsidRDefault="00361FA3">
            <w:pPr>
              <w:pStyle w:val="Tabletext"/>
              <w:jc w:val="left"/>
              <w:rPr>
                <w:i w:val="0"/>
              </w:rPr>
            </w:pPr>
            <w:r w:rsidRPr="005B3E05">
              <w:rPr>
                <w:i w:val="0"/>
              </w:rPr>
              <w:t>Belgium</w:t>
            </w:r>
          </w:p>
        </w:tc>
        <w:tc>
          <w:tcPr>
            <w:tcW w:w="914" w:type="dxa"/>
            <w:tcBorders>
              <w:top w:val="nil"/>
              <w:left w:val="nil"/>
              <w:bottom w:val="nil"/>
            </w:tcBorders>
            <w:shd w:val="clear" w:color="auto" w:fill="auto"/>
          </w:tcPr>
          <w:p w14:paraId="38FDC623"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0</w:t>
            </w:r>
          </w:p>
        </w:tc>
        <w:tc>
          <w:tcPr>
            <w:tcW w:w="914" w:type="dxa"/>
            <w:tcBorders>
              <w:top w:val="nil"/>
              <w:bottom w:val="nil"/>
            </w:tcBorders>
            <w:shd w:val="clear" w:color="auto" w:fill="auto"/>
          </w:tcPr>
          <w:p w14:paraId="7AA6FB3D"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0</w:t>
            </w:r>
          </w:p>
        </w:tc>
        <w:tc>
          <w:tcPr>
            <w:tcW w:w="724" w:type="dxa"/>
            <w:tcBorders>
              <w:top w:val="nil"/>
              <w:bottom w:val="nil"/>
            </w:tcBorders>
            <w:shd w:val="clear" w:color="auto" w:fill="auto"/>
          </w:tcPr>
          <w:p w14:paraId="73013AC8"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5</w:t>
            </w:r>
          </w:p>
        </w:tc>
        <w:tc>
          <w:tcPr>
            <w:tcW w:w="1134" w:type="dxa"/>
            <w:tcBorders>
              <w:top w:val="nil"/>
              <w:bottom w:val="nil"/>
            </w:tcBorders>
            <w:shd w:val="clear" w:color="auto" w:fill="auto"/>
          </w:tcPr>
          <w:p w14:paraId="113912F4"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1</w:t>
            </w:r>
          </w:p>
        </w:tc>
        <w:tc>
          <w:tcPr>
            <w:tcW w:w="850" w:type="dxa"/>
            <w:tcBorders>
              <w:top w:val="nil"/>
              <w:bottom w:val="nil"/>
            </w:tcBorders>
            <w:shd w:val="clear" w:color="auto" w:fill="auto"/>
          </w:tcPr>
          <w:p w14:paraId="5598DDB3"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0</w:t>
            </w:r>
          </w:p>
        </w:tc>
        <w:tc>
          <w:tcPr>
            <w:tcW w:w="950" w:type="dxa"/>
            <w:tcBorders>
              <w:top w:val="nil"/>
              <w:bottom w:val="nil"/>
            </w:tcBorders>
            <w:shd w:val="clear" w:color="auto" w:fill="auto"/>
          </w:tcPr>
          <w:p w14:paraId="647E0BAB"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0</w:t>
            </w:r>
          </w:p>
        </w:tc>
        <w:tc>
          <w:tcPr>
            <w:tcW w:w="1035" w:type="dxa"/>
            <w:tcBorders>
              <w:top w:val="nil"/>
              <w:bottom w:val="nil"/>
            </w:tcBorders>
            <w:shd w:val="clear" w:color="auto" w:fill="auto"/>
          </w:tcPr>
          <w:p w14:paraId="529291B0"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0</w:t>
            </w:r>
          </w:p>
        </w:tc>
        <w:tc>
          <w:tcPr>
            <w:tcW w:w="794" w:type="dxa"/>
            <w:tcBorders>
              <w:top w:val="nil"/>
              <w:bottom w:val="nil"/>
            </w:tcBorders>
            <w:shd w:val="clear" w:color="auto" w:fill="auto"/>
          </w:tcPr>
          <w:p w14:paraId="5BEBDC5C"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6</w:t>
            </w:r>
          </w:p>
        </w:tc>
      </w:tr>
      <w:tr w:rsidR="00AB0E44" w:rsidRPr="005B3E05" w14:paraId="6423FB67" w14:textId="77777777" w:rsidTr="005B3E05">
        <w:trPr>
          <w:trHeight w:val="74"/>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auto"/>
          </w:tcPr>
          <w:p w14:paraId="5CAB2B51" w14:textId="77777777" w:rsidR="00AB0E44" w:rsidRPr="005B3E05" w:rsidRDefault="00361FA3">
            <w:pPr>
              <w:pStyle w:val="Tabletext"/>
              <w:jc w:val="left"/>
              <w:rPr>
                <w:i w:val="0"/>
              </w:rPr>
            </w:pPr>
            <w:r w:rsidRPr="005B3E05">
              <w:rPr>
                <w:i w:val="0"/>
              </w:rPr>
              <w:t>Unknown</w:t>
            </w:r>
          </w:p>
        </w:tc>
        <w:tc>
          <w:tcPr>
            <w:tcW w:w="914" w:type="dxa"/>
            <w:tcBorders>
              <w:top w:val="nil"/>
              <w:left w:val="nil"/>
              <w:bottom w:val="nil"/>
            </w:tcBorders>
            <w:shd w:val="clear" w:color="auto" w:fill="auto"/>
          </w:tcPr>
          <w:p w14:paraId="2DA9A94E"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0</w:t>
            </w:r>
          </w:p>
        </w:tc>
        <w:tc>
          <w:tcPr>
            <w:tcW w:w="914" w:type="dxa"/>
            <w:tcBorders>
              <w:top w:val="nil"/>
              <w:bottom w:val="nil"/>
            </w:tcBorders>
            <w:shd w:val="clear" w:color="auto" w:fill="auto"/>
          </w:tcPr>
          <w:p w14:paraId="60D0EEE0"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1</w:t>
            </w:r>
          </w:p>
        </w:tc>
        <w:tc>
          <w:tcPr>
            <w:tcW w:w="724" w:type="dxa"/>
            <w:tcBorders>
              <w:top w:val="nil"/>
              <w:bottom w:val="nil"/>
            </w:tcBorders>
            <w:shd w:val="clear" w:color="auto" w:fill="auto"/>
          </w:tcPr>
          <w:p w14:paraId="4A68E389"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3</w:t>
            </w:r>
          </w:p>
        </w:tc>
        <w:tc>
          <w:tcPr>
            <w:tcW w:w="1134" w:type="dxa"/>
            <w:tcBorders>
              <w:top w:val="nil"/>
              <w:bottom w:val="nil"/>
            </w:tcBorders>
            <w:shd w:val="clear" w:color="auto" w:fill="auto"/>
          </w:tcPr>
          <w:p w14:paraId="34EDE8A5"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2</w:t>
            </w:r>
          </w:p>
        </w:tc>
        <w:tc>
          <w:tcPr>
            <w:tcW w:w="850" w:type="dxa"/>
            <w:tcBorders>
              <w:top w:val="nil"/>
              <w:bottom w:val="nil"/>
            </w:tcBorders>
            <w:shd w:val="clear" w:color="auto" w:fill="auto"/>
          </w:tcPr>
          <w:p w14:paraId="2602CEAB"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0</w:t>
            </w:r>
          </w:p>
        </w:tc>
        <w:tc>
          <w:tcPr>
            <w:tcW w:w="950" w:type="dxa"/>
            <w:tcBorders>
              <w:top w:val="nil"/>
              <w:bottom w:val="nil"/>
            </w:tcBorders>
            <w:shd w:val="clear" w:color="auto" w:fill="auto"/>
          </w:tcPr>
          <w:p w14:paraId="54BF4FF6"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0</w:t>
            </w:r>
          </w:p>
        </w:tc>
        <w:tc>
          <w:tcPr>
            <w:tcW w:w="1035" w:type="dxa"/>
            <w:tcBorders>
              <w:top w:val="nil"/>
              <w:bottom w:val="nil"/>
            </w:tcBorders>
            <w:shd w:val="clear" w:color="auto" w:fill="auto"/>
          </w:tcPr>
          <w:p w14:paraId="4A6B620A"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0</w:t>
            </w:r>
          </w:p>
        </w:tc>
        <w:tc>
          <w:tcPr>
            <w:tcW w:w="794" w:type="dxa"/>
            <w:tcBorders>
              <w:top w:val="nil"/>
              <w:bottom w:val="nil"/>
            </w:tcBorders>
            <w:shd w:val="clear" w:color="auto" w:fill="auto"/>
          </w:tcPr>
          <w:p w14:paraId="149CF306"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6</w:t>
            </w:r>
          </w:p>
        </w:tc>
      </w:tr>
      <w:tr w:rsidR="00AB0E44" w:rsidRPr="005B3E05" w14:paraId="23F506F0" w14:textId="77777777" w:rsidTr="005B3E05">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auto"/>
          </w:tcPr>
          <w:p w14:paraId="53709088" w14:textId="77777777" w:rsidR="00AB0E44" w:rsidRPr="005B3E05" w:rsidRDefault="00361FA3">
            <w:pPr>
              <w:pStyle w:val="Tabletext"/>
              <w:jc w:val="left"/>
              <w:rPr>
                <w:i w:val="0"/>
              </w:rPr>
            </w:pPr>
            <w:r w:rsidRPr="005B3E05">
              <w:rPr>
                <w:i w:val="0"/>
              </w:rPr>
              <w:t>Other (11 countries)</w:t>
            </w:r>
          </w:p>
        </w:tc>
        <w:tc>
          <w:tcPr>
            <w:tcW w:w="914" w:type="dxa"/>
            <w:tcBorders>
              <w:top w:val="nil"/>
              <w:left w:val="nil"/>
              <w:bottom w:val="nil"/>
            </w:tcBorders>
            <w:shd w:val="clear" w:color="auto" w:fill="auto"/>
          </w:tcPr>
          <w:p w14:paraId="2065A3C0"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1</w:t>
            </w:r>
          </w:p>
        </w:tc>
        <w:tc>
          <w:tcPr>
            <w:tcW w:w="914" w:type="dxa"/>
            <w:tcBorders>
              <w:top w:val="nil"/>
              <w:bottom w:val="nil"/>
            </w:tcBorders>
            <w:shd w:val="clear" w:color="auto" w:fill="auto"/>
          </w:tcPr>
          <w:p w14:paraId="7647B744"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1</w:t>
            </w:r>
          </w:p>
        </w:tc>
        <w:tc>
          <w:tcPr>
            <w:tcW w:w="724" w:type="dxa"/>
            <w:tcBorders>
              <w:top w:val="nil"/>
              <w:bottom w:val="nil"/>
            </w:tcBorders>
            <w:shd w:val="clear" w:color="auto" w:fill="auto"/>
          </w:tcPr>
          <w:p w14:paraId="384EA696"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8</w:t>
            </w:r>
          </w:p>
        </w:tc>
        <w:tc>
          <w:tcPr>
            <w:tcW w:w="1134" w:type="dxa"/>
            <w:tcBorders>
              <w:top w:val="nil"/>
              <w:bottom w:val="nil"/>
            </w:tcBorders>
            <w:shd w:val="clear" w:color="auto" w:fill="auto"/>
          </w:tcPr>
          <w:p w14:paraId="3C599E23"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6</w:t>
            </w:r>
          </w:p>
        </w:tc>
        <w:tc>
          <w:tcPr>
            <w:tcW w:w="850" w:type="dxa"/>
            <w:tcBorders>
              <w:top w:val="nil"/>
              <w:bottom w:val="nil"/>
            </w:tcBorders>
            <w:shd w:val="clear" w:color="auto" w:fill="auto"/>
          </w:tcPr>
          <w:p w14:paraId="55146FCB"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1</w:t>
            </w:r>
          </w:p>
        </w:tc>
        <w:tc>
          <w:tcPr>
            <w:tcW w:w="950" w:type="dxa"/>
            <w:tcBorders>
              <w:top w:val="nil"/>
              <w:bottom w:val="nil"/>
            </w:tcBorders>
            <w:shd w:val="clear" w:color="auto" w:fill="auto"/>
          </w:tcPr>
          <w:p w14:paraId="0C1198BD"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0</w:t>
            </w:r>
          </w:p>
        </w:tc>
        <w:tc>
          <w:tcPr>
            <w:tcW w:w="1035" w:type="dxa"/>
            <w:tcBorders>
              <w:top w:val="nil"/>
              <w:bottom w:val="nil"/>
            </w:tcBorders>
            <w:shd w:val="clear" w:color="auto" w:fill="auto"/>
          </w:tcPr>
          <w:p w14:paraId="1A1D43E8"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4</w:t>
            </w:r>
          </w:p>
        </w:tc>
        <w:tc>
          <w:tcPr>
            <w:tcW w:w="794" w:type="dxa"/>
            <w:tcBorders>
              <w:top w:val="nil"/>
              <w:bottom w:val="nil"/>
            </w:tcBorders>
            <w:shd w:val="clear" w:color="auto" w:fill="auto"/>
          </w:tcPr>
          <w:p w14:paraId="6FC2EC6D" w14:textId="77777777" w:rsidR="00AB0E44" w:rsidRPr="005B3E05" w:rsidRDefault="00361FA3">
            <w:pPr>
              <w:pStyle w:val="Tabletext"/>
              <w:jc w:val="right"/>
              <w:cnfStyle w:val="000000100000" w:firstRow="0" w:lastRow="0" w:firstColumn="0" w:lastColumn="0" w:oddVBand="0" w:evenVBand="0" w:oddHBand="1" w:evenHBand="0" w:firstRowFirstColumn="0" w:firstRowLastColumn="0" w:lastRowFirstColumn="0" w:lastRowLastColumn="0"/>
            </w:pPr>
            <w:r w:rsidRPr="005B3E05">
              <w:t>21</w:t>
            </w:r>
          </w:p>
        </w:tc>
      </w:tr>
      <w:tr w:rsidR="00AB0E44" w:rsidRPr="005B3E05" w14:paraId="6C675DFA" w14:textId="77777777" w:rsidTr="005B3E05">
        <w:trPr>
          <w:trHeight w:val="76"/>
        </w:trPr>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4" w:space="0" w:color="auto"/>
              <w:right w:val="nil"/>
            </w:tcBorders>
            <w:shd w:val="clear" w:color="auto" w:fill="auto"/>
          </w:tcPr>
          <w:p w14:paraId="0A17EA0D" w14:textId="77777777" w:rsidR="00AB0E44" w:rsidRPr="005B3E05" w:rsidRDefault="00361FA3">
            <w:pPr>
              <w:pStyle w:val="Tabletext"/>
              <w:jc w:val="left"/>
              <w:rPr>
                <w:i w:val="0"/>
              </w:rPr>
            </w:pPr>
            <w:r w:rsidRPr="005B3E05">
              <w:rPr>
                <w:i w:val="0"/>
              </w:rPr>
              <w:t>Total</w:t>
            </w:r>
          </w:p>
        </w:tc>
        <w:tc>
          <w:tcPr>
            <w:tcW w:w="914" w:type="dxa"/>
            <w:tcBorders>
              <w:top w:val="nil"/>
              <w:left w:val="nil"/>
            </w:tcBorders>
            <w:shd w:val="clear" w:color="auto" w:fill="auto"/>
          </w:tcPr>
          <w:p w14:paraId="527AA56D"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4</w:t>
            </w:r>
          </w:p>
        </w:tc>
        <w:tc>
          <w:tcPr>
            <w:tcW w:w="914" w:type="dxa"/>
            <w:tcBorders>
              <w:top w:val="nil"/>
            </w:tcBorders>
            <w:shd w:val="clear" w:color="auto" w:fill="auto"/>
          </w:tcPr>
          <w:p w14:paraId="462922FC"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10</w:t>
            </w:r>
          </w:p>
        </w:tc>
        <w:tc>
          <w:tcPr>
            <w:tcW w:w="724" w:type="dxa"/>
            <w:tcBorders>
              <w:top w:val="nil"/>
            </w:tcBorders>
            <w:shd w:val="clear" w:color="auto" w:fill="auto"/>
          </w:tcPr>
          <w:p w14:paraId="332FF5F7"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129</w:t>
            </w:r>
          </w:p>
        </w:tc>
        <w:tc>
          <w:tcPr>
            <w:tcW w:w="1134" w:type="dxa"/>
            <w:tcBorders>
              <w:top w:val="nil"/>
            </w:tcBorders>
            <w:shd w:val="clear" w:color="auto" w:fill="auto"/>
          </w:tcPr>
          <w:p w14:paraId="51FBC518"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47</w:t>
            </w:r>
          </w:p>
        </w:tc>
        <w:tc>
          <w:tcPr>
            <w:tcW w:w="850" w:type="dxa"/>
            <w:tcBorders>
              <w:top w:val="nil"/>
            </w:tcBorders>
            <w:shd w:val="clear" w:color="auto" w:fill="auto"/>
          </w:tcPr>
          <w:p w14:paraId="42C504AF"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2</w:t>
            </w:r>
          </w:p>
        </w:tc>
        <w:tc>
          <w:tcPr>
            <w:tcW w:w="950" w:type="dxa"/>
            <w:tcBorders>
              <w:top w:val="nil"/>
            </w:tcBorders>
            <w:shd w:val="clear" w:color="auto" w:fill="auto"/>
          </w:tcPr>
          <w:p w14:paraId="1B5174AF"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1</w:t>
            </w:r>
          </w:p>
        </w:tc>
        <w:tc>
          <w:tcPr>
            <w:tcW w:w="1035" w:type="dxa"/>
            <w:tcBorders>
              <w:top w:val="nil"/>
            </w:tcBorders>
            <w:shd w:val="clear" w:color="auto" w:fill="auto"/>
          </w:tcPr>
          <w:p w14:paraId="1EF61F83"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100</w:t>
            </w:r>
          </w:p>
        </w:tc>
        <w:tc>
          <w:tcPr>
            <w:tcW w:w="794" w:type="dxa"/>
            <w:tcBorders>
              <w:top w:val="nil"/>
            </w:tcBorders>
            <w:shd w:val="clear" w:color="auto" w:fill="auto"/>
          </w:tcPr>
          <w:p w14:paraId="6323B86F" w14:textId="77777777" w:rsidR="00AB0E44" w:rsidRPr="005B3E05" w:rsidRDefault="00361FA3">
            <w:pPr>
              <w:pStyle w:val="Tabletext"/>
              <w:jc w:val="right"/>
              <w:cnfStyle w:val="000000000000" w:firstRow="0" w:lastRow="0" w:firstColumn="0" w:lastColumn="0" w:oddVBand="0" w:evenVBand="0" w:oddHBand="0" w:evenHBand="0" w:firstRowFirstColumn="0" w:firstRowLastColumn="0" w:lastRowFirstColumn="0" w:lastRowLastColumn="0"/>
            </w:pPr>
            <w:r w:rsidRPr="005B3E05">
              <w:t>293</w:t>
            </w:r>
          </w:p>
        </w:tc>
      </w:tr>
    </w:tbl>
    <w:p w14:paraId="548D2FFD" w14:textId="77777777" w:rsidR="00AB0E44" w:rsidRDefault="00361FA3">
      <w:pPr>
        <w:pStyle w:val="FigureTableNoteSource"/>
      </w:pPr>
      <w:r w:rsidRPr="005B3E05">
        <w:rPr>
          <w:rStyle w:val="Strong"/>
        </w:rPr>
        <w:t>FCL</w:t>
      </w:r>
      <w:r>
        <w:t xml:space="preserve"> Full container load. </w:t>
      </w:r>
      <w:r w:rsidRPr="005B3E05">
        <w:rPr>
          <w:rStyle w:val="Strong"/>
        </w:rPr>
        <w:t>LCL</w:t>
      </w:r>
      <w:r>
        <w:t xml:space="preserve"> Less than full container load.</w:t>
      </w:r>
    </w:p>
    <w:p w14:paraId="4776D39A" w14:textId="77777777" w:rsidR="00AB0E44" w:rsidRDefault="00361FA3">
      <w:pPr>
        <w:pStyle w:val="FigureTableNoteSource"/>
      </w:pPr>
      <w:r>
        <w:t>Source: Department of Agriculture and Water Resources</w:t>
      </w:r>
    </w:p>
    <w:p w14:paraId="34A09ADB" w14:textId="1CECDE72" w:rsidR="00AB0E44" w:rsidRDefault="00361FA3" w:rsidP="005B3E05">
      <w:pPr>
        <w:rPr>
          <w:lang w:eastAsia="ja-JP"/>
        </w:rPr>
      </w:pPr>
      <w:r>
        <w:rPr>
          <w:lang w:eastAsia="ja-JP"/>
        </w:rPr>
        <w:t>The department has responded progressively by requiring extra offshore fumigation and onshore inspection and treatment for an increasing range of target goods. For example:</w:t>
      </w:r>
    </w:p>
    <w:p w14:paraId="10618A38" w14:textId="5AF3D91C" w:rsidR="00AB0E44" w:rsidRDefault="00361FA3">
      <w:pPr>
        <w:pStyle w:val="ListBullet"/>
      </w:pPr>
      <w:r>
        <w:t>From 1 Sept</w:t>
      </w:r>
      <w:r w:rsidR="00F029AC">
        <w:t>ember</w:t>
      </w:r>
      <w:r>
        <w:t xml:space="preserve"> 2017 offshore treatment was mandated for all target used break</w:t>
      </w:r>
      <w:r w:rsidR="00F029AC">
        <w:t>-</w:t>
      </w:r>
      <w:r>
        <w:t>bulk and containerised sea cargo from the US and Italy. New goods did not require offshore treatment if manufactured on or after 1 December</w:t>
      </w:r>
      <w:r w:rsidR="00F029AC">
        <w:t xml:space="preserve"> 2017</w:t>
      </w:r>
      <w:r>
        <w:t xml:space="preserve">. Measures for Italy included targeting cargo from other European ports if the goods were manufactured or stored in Italy during the risk </w:t>
      </w:r>
      <w:r w:rsidRPr="006653BB">
        <w:t>season. Containerised cargo (FCL, FCX and LCL) would be held on the wharf and separated from non-</w:t>
      </w:r>
      <w:r w:rsidR="00061570" w:rsidRPr="006653BB">
        <w:t xml:space="preserve">brown marmorated stink bug </w:t>
      </w:r>
      <w:r w:rsidRPr="006653BB">
        <w:t>CAL containers until all required information had been provided to the department for direction. Break</w:t>
      </w:r>
      <w:r w:rsidR="00F029AC" w:rsidRPr="006653BB">
        <w:t>-</w:t>
      </w:r>
      <w:r w:rsidRPr="006653BB">
        <w:t>bulk goods from target ports required treatment within 48 hours onshore, on a wharf or at</w:t>
      </w:r>
      <w:r>
        <w:t xml:space="preserve"> a nearby approved facility.</w:t>
      </w:r>
    </w:p>
    <w:p w14:paraId="090044D6" w14:textId="57DCE355" w:rsidR="00AB0E44" w:rsidRDefault="00361FA3">
      <w:pPr>
        <w:pStyle w:val="ListBullet"/>
      </w:pPr>
      <w:r>
        <w:t>On 17 Jan</w:t>
      </w:r>
      <w:r w:rsidR="00F029AC">
        <w:t>uary</w:t>
      </w:r>
      <w:r>
        <w:t xml:space="preserve"> 2018 mandatory offshore treatment was extended to all containerised sea cargo (new and used) originating from Italy. There was no change to the measures affecting target break</w:t>
      </w:r>
      <w:r w:rsidR="00F029AC">
        <w:t>-</w:t>
      </w:r>
      <w:r>
        <w:t>bulk from Italy or goods from the US.</w:t>
      </w:r>
    </w:p>
    <w:p w14:paraId="6A5D8BF3" w14:textId="500A1DC0" w:rsidR="00AB0E44" w:rsidRDefault="00361FA3">
      <w:pPr>
        <w:pStyle w:val="ListBullet"/>
      </w:pPr>
      <w:r>
        <w:t>On 15 March 2018 LCL consignments from Italy had to be held at the wharf on arrival to allow for the cross</w:t>
      </w:r>
      <w:r w:rsidR="00F029AC">
        <w:t>-</w:t>
      </w:r>
      <w:r>
        <w:t>contamination risk to be managed before the goods were moved and deconsolidated, especially if the LCL included goods from Italy and other countries.</w:t>
      </w:r>
    </w:p>
    <w:p w14:paraId="21CECAB0" w14:textId="5105385B" w:rsidR="00AB0E44" w:rsidRDefault="00361FA3" w:rsidP="005B3E05">
      <w:pPr>
        <w:rPr>
          <w:lang w:eastAsia="ja-JP"/>
        </w:rPr>
      </w:pPr>
      <w:r>
        <w:rPr>
          <w:lang w:eastAsia="ja-JP"/>
        </w:rPr>
        <w:t xml:space="preserve">The 2018 </w:t>
      </w:r>
      <w:r w:rsidR="00061570">
        <w:rPr>
          <w:lang w:eastAsia="ja-JP"/>
        </w:rPr>
        <w:t xml:space="preserve">brown marmorated stink bug </w:t>
      </w:r>
      <w:r>
        <w:rPr>
          <w:lang w:eastAsia="ja-JP"/>
        </w:rPr>
        <w:t xml:space="preserve">season finished on 1 May, but measures will need to start again in September. The increased and necessary measures being placed on containers from Italy also increases the pressure on an already stressed biosecurity system as more resources are committed to prevent an incursion of </w:t>
      </w:r>
      <w:r w:rsidR="00061570">
        <w:rPr>
          <w:lang w:eastAsia="ja-JP"/>
        </w:rPr>
        <w:t>the bug</w:t>
      </w:r>
      <w:r>
        <w:rPr>
          <w:lang w:eastAsia="ja-JP"/>
        </w:rPr>
        <w:t>.</w:t>
      </w:r>
    </w:p>
    <w:p w14:paraId="15427A83" w14:textId="77777777" w:rsidR="00AB0E44" w:rsidRDefault="00361FA3">
      <w:pPr>
        <w:pStyle w:val="Heading3"/>
        <w:rPr>
          <w:lang w:eastAsia="ja-JP"/>
        </w:rPr>
      </w:pPr>
      <w:bookmarkStart w:id="112" w:name="_Toc521069554"/>
      <w:r>
        <w:rPr>
          <w:lang w:eastAsia="ja-JP"/>
        </w:rPr>
        <w:t>Asian gypsy moth (</w:t>
      </w:r>
      <w:proofErr w:type="spellStart"/>
      <w:r>
        <w:rPr>
          <w:i/>
          <w:lang w:eastAsia="ja-JP"/>
        </w:rPr>
        <w:t>Lymantria</w:t>
      </w:r>
      <w:proofErr w:type="spellEnd"/>
      <w:r>
        <w:rPr>
          <w:i/>
          <w:lang w:eastAsia="ja-JP"/>
        </w:rPr>
        <w:t xml:space="preserve"> </w:t>
      </w:r>
      <w:proofErr w:type="spellStart"/>
      <w:r>
        <w:rPr>
          <w:i/>
          <w:lang w:eastAsia="ja-JP"/>
        </w:rPr>
        <w:t>dispar</w:t>
      </w:r>
      <w:proofErr w:type="spellEnd"/>
      <w:r>
        <w:rPr>
          <w:lang w:eastAsia="ja-JP"/>
        </w:rPr>
        <w:t>)</w:t>
      </w:r>
      <w:bookmarkEnd w:id="112"/>
    </w:p>
    <w:p w14:paraId="3262AC63" w14:textId="7E190D90" w:rsidR="00AB0E44" w:rsidRDefault="00361FA3">
      <w:r>
        <w:t>The Asian gypsy moth</w:t>
      </w:r>
      <w:r w:rsidR="007C5659">
        <w:t xml:space="preserve"> (AGM)</w:t>
      </w:r>
      <w:r>
        <w:t xml:space="preserve"> is a destructive pest of forest, horticultur</w:t>
      </w:r>
      <w:r w:rsidR="003C3918">
        <w:t>e</w:t>
      </w:r>
      <w:r>
        <w:t xml:space="preserve"> and the environment. Its larvae feed on over 650 different species of plants. A large larval population on a single tree may kill the tree directly or make the tree more susceptible to other pests or diseases.</w:t>
      </w:r>
    </w:p>
    <w:p w14:paraId="0E7C1FAB" w14:textId="2F2441D7" w:rsidR="00AB0E44" w:rsidRDefault="00361FA3">
      <w:r>
        <w:t xml:space="preserve">The natural range of </w:t>
      </w:r>
      <w:r w:rsidR="00061570">
        <w:t xml:space="preserve">the </w:t>
      </w:r>
      <w:r w:rsidR="007C5659">
        <w:t>AGM</w:t>
      </w:r>
      <w:r w:rsidR="00061570">
        <w:t xml:space="preserve"> </w:t>
      </w:r>
      <w:r w:rsidR="00F029AC">
        <w:t xml:space="preserve">is </w:t>
      </w:r>
      <w:r>
        <w:t xml:space="preserve">the temperate latitudes running from Europe across to Asia. European gypsy moth was intentionally introduced into North America in the 1860s </w:t>
      </w:r>
      <w:r>
        <w:rPr>
          <w:lang w:val="en"/>
        </w:rPr>
        <w:t>to breed a more resistant hybrid silk-spinning caterpillar species. Some moths escaped and</w:t>
      </w:r>
      <w:r>
        <w:t xml:space="preserve"> became established throughout north-eastern US and eastern Canada. However, the rest of the region remains free of </w:t>
      </w:r>
      <w:r w:rsidR="007C5659">
        <w:t>AGM</w:t>
      </w:r>
      <w:r w:rsidR="00061570">
        <w:t xml:space="preserve"> </w:t>
      </w:r>
      <w:r>
        <w:t>and the US and Canadian governments continue to undertake active control measures to limit spread within their countries.</w:t>
      </w:r>
    </w:p>
    <w:p w14:paraId="4AD7A475" w14:textId="24D77622" w:rsidR="00AB0E44" w:rsidRDefault="00061570">
      <w:r>
        <w:t xml:space="preserve">The </w:t>
      </w:r>
      <w:r w:rsidR="007C5659">
        <w:t>AGM</w:t>
      </w:r>
      <w:r>
        <w:t xml:space="preserve"> </w:t>
      </w:r>
      <w:r w:rsidR="00361FA3">
        <w:t xml:space="preserve">is considered to have much greater invasive potential than the European variant because mated females may fly and lay eggs far away. </w:t>
      </w:r>
      <w:r>
        <w:t xml:space="preserve">The </w:t>
      </w:r>
      <w:r w:rsidR="007C5659">
        <w:t>AGM</w:t>
      </w:r>
      <w:r>
        <w:t xml:space="preserve"> </w:t>
      </w:r>
      <w:r w:rsidR="00361FA3">
        <w:t>has not yet become established outside of its natural range</w:t>
      </w:r>
      <w:r w:rsidR="00F029AC">
        <w:t>,</w:t>
      </w:r>
      <w:r w:rsidR="00361FA3">
        <w:t xml:space="preserve"> but incursions occur periodically in North America. Isolated live moth incursions have been found in the southern hemisphere</w:t>
      </w:r>
      <w:r w:rsidR="00F029AC">
        <w:t>.</w:t>
      </w:r>
      <w:r w:rsidR="00361FA3">
        <w:t xml:space="preserve"> </w:t>
      </w:r>
      <w:r w:rsidR="00F029AC">
        <w:t>S</w:t>
      </w:r>
      <w:r w:rsidR="00361FA3">
        <w:t xml:space="preserve">o far </w:t>
      </w:r>
      <w:r w:rsidR="00F029AC">
        <w:t xml:space="preserve">they have been </w:t>
      </w:r>
      <w:r w:rsidR="00361FA3">
        <w:t>successfully eradicated.</w:t>
      </w:r>
    </w:p>
    <w:p w14:paraId="4DCD0554" w14:textId="30660FE0" w:rsidR="00AB0E44" w:rsidRDefault="00361FA3">
      <w:r>
        <w:t xml:space="preserve">International distribution of </w:t>
      </w:r>
      <w:r w:rsidR="00061570">
        <w:t xml:space="preserve">the moth </w:t>
      </w:r>
      <w:r>
        <w:t>primarily occurs through the transport of egg masses on cargo and vessels</w:t>
      </w:r>
      <w:r w:rsidR="00F029AC">
        <w:t xml:space="preserve">. The eggs </w:t>
      </w:r>
      <w:r>
        <w:t xml:space="preserve">can easily survive until the environment is suitable for hatching. A moth breeds only once a year and the eggs, once laid, will only hatch after a period </w:t>
      </w:r>
      <w:r>
        <w:rPr>
          <w:lang w:eastAsia="ja-JP"/>
        </w:rPr>
        <w:t>of 60 or more days of cold temperature followed by a period of increased temperature (such as when travelling across the equator)</w:t>
      </w:r>
      <w:r>
        <w:t>. Moths are attracted to the UV spectrum of many lights used around industrial facilities, ports and vessels, increasing the likelihood of the mated female laying eggs on vessels or cargo.</w:t>
      </w:r>
    </w:p>
    <w:p w14:paraId="4D5245C6" w14:textId="40BFFCB4" w:rsidR="00AB0E44" w:rsidRDefault="00361FA3">
      <w:pPr>
        <w:rPr>
          <w:lang w:eastAsia="ja-JP"/>
        </w:rPr>
      </w:pPr>
      <w:r>
        <w:rPr>
          <w:lang w:eastAsia="ja-JP"/>
        </w:rPr>
        <w:t xml:space="preserve">New Zealand, the US, Canada and Chile, together with Australia, all have specific requirements targeting </w:t>
      </w:r>
      <w:r w:rsidR="007C5659">
        <w:rPr>
          <w:lang w:eastAsia="ja-JP"/>
        </w:rPr>
        <w:t>AGM</w:t>
      </w:r>
      <w:r w:rsidR="00061570">
        <w:rPr>
          <w:lang w:eastAsia="ja-JP"/>
        </w:rPr>
        <w:t xml:space="preserve"> </w:t>
      </w:r>
      <w:r>
        <w:rPr>
          <w:lang w:eastAsia="ja-JP"/>
        </w:rPr>
        <w:t xml:space="preserve">on arriving vessels. While </w:t>
      </w:r>
      <w:r w:rsidR="00F029AC">
        <w:rPr>
          <w:lang w:eastAsia="ja-JP"/>
        </w:rPr>
        <w:t xml:space="preserve">these requirements are </w:t>
      </w:r>
      <w:r>
        <w:rPr>
          <w:lang w:eastAsia="ja-JP"/>
        </w:rPr>
        <w:t xml:space="preserve">broadly similar to </w:t>
      </w:r>
      <w:r w:rsidR="00F029AC">
        <w:rPr>
          <w:lang w:eastAsia="ja-JP"/>
        </w:rPr>
        <w:t xml:space="preserve">those of </w:t>
      </w:r>
      <w:r>
        <w:rPr>
          <w:lang w:eastAsia="ja-JP"/>
        </w:rPr>
        <w:t xml:space="preserve">Australia, </w:t>
      </w:r>
      <w:r w:rsidRPr="006653BB">
        <w:rPr>
          <w:lang w:eastAsia="ja-JP"/>
        </w:rPr>
        <w:t>these other countries rely more on certification of a vessel’s status</w:t>
      </w:r>
      <w:r w:rsidR="006653BB" w:rsidRPr="006653BB">
        <w:rPr>
          <w:lang w:eastAsia="ja-JP"/>
        </w:rPr>
        <w:t xml:space="preserve"> regarding </w:t>
      </w:r>
      <w:r w:rsidR="007C5659">
        <w:rPr>
          <w:lang w:eastAsia="ja-JP"/>
        </w:rPr>
        <w:t>AGM</w:t>
      </w:r>
      <w:r w:rsidRPr="006653BB">
        <w:rPr>
          <w:lang w:eastAsia="ja-JP"/>
        </w:rPr>
        <w:t xml:space="preserve">. Australia defines 1 June to 30 September as the risk period for vessels </w:t>
      </w:r>
      <w:r w:rsidR="00F029AC" w:rsidRPr="006653BB">
        <w:rPr>
          <w:lang w:eastAsia="ja-JP"/>
        </w:rPr>
        <w:t xml:space="preserve">that are </w:t>
      </w:r>
      <w:r w:rsidRPr="006653BB">
        <w:rPr>
          <w:lang w:eastAsia="ja-JP"/>
        </w:rPr>
        <w:t>arriving from all ports in Far East Russia, Japan, North Korea, South Korea and China above 31°</w:t>
      </w:r>
      <w:r w:rsidR="00F029AC" w:rsidRPr="006653BB">
        <w:rPr>
          <w:lang w:eastAsia="ja-JP"/>
        </w:rPr>
        <w:t xml:space="preserve"> </w:t>
      </w:r>
      <w:r w:rsidRPr="006653BB">
        <w:rPr>
          <w:lang w:eastAsia="ja-JP"/>
        </w:rPr>
        <w:t>North and which remained for at least 60 days above 31°</w:t>
      </w:r>
      <w:r w:rsidR="00F029AC" w:rsidRPr="006653BB">
        <w:rPr>
          <w:lang w:eastAsia="ja-JP"/>
        </w:rPr>
        <w:t xml:space="preserve"> </w:t>
      </w:r>
      <w:r w:rsidRPr="006653BB">
        <w:rPr>
          <w:lang w:eastAsia="ja-JP"/>
        </w:rPr>
        <w:t>North or below 50°</w:t>
      </w:r>
      <w:r w:rsidR="00F029AC" w:rsidRPr="006653BB">
        <w:rPr>
          <w:lang w:eastAsia="ja-JP"/>
        </w:rPr>
        <w:t xml:space="preserve"> </w:t>
      </w:r>
      <w:r w:rsidRPr="006653BB">
        <w:rPr>
          <w:lang w:eastAsia="ja-JP"/>
        </w:rPr>
        <w:t xml:space="preserve">South. The other </w:t>
      </w:r>
      <w:r w:rsidR="007C5659">
        <w:rPr>
          <w:lang w:eastAsia="ja-JP"/>
        </w:rPr>
        <w:t>AGM</w:t>
      </w:r>
      <w:r w:rsidR="00061570" w:rsidRPr="006653BB">
        <w:rPr>
          <w:lang w:eastAsia="ja-JP"/>
        </w:rPr>
        <w:t xml:space="preserve"> </w:t>
      </w:r>
      <w:r w:rsidRPr="006653BB">
        <w:rPr>
          <w:lang w:eastAsia="ja-JP"/>
        </w:rPr>
        <w:t>regulators vary the risk period based on region</w:t>
      </w:r>
      <w:r w:rsidR="00F029AC" w:rsidRPr="006653BB">
        <w:rPr>
          <w:lang w:eastAsia="ja-JP"/>
        </w:rPr>
        <w:t>,</w:t>
      </w:r>
      <w:r w:rsidRPr="006653BB">
        <w:rPr>
          <w:lang w:eastAsia="ja-JP"/>
        </w:rPr>
        <w:t xml:space="preserve"> and </w:t>
      </w:r>
      <w:r w:rsidR="00F029AC" w:rsidRPr="006653BB">
        <w:rPr>
          <w:lang w:eastAsia="ja-JP"/>
        </w:rPr>
        <w:t xml:space="preserve">they </w:t>
      </w:r>
      <w:r w:rsidRPr="006653BB">
        <w:rPr>
          <w:lang w:eastAsia="ja-JP"/>
        </w:rPr>
        <w:t>also include Okinawa in Japan</w:t>
      </w:r>
      <w:r w:rsidR="00F029AC" w:rsidRPr="006653BB">
        <w:rPr>
          <w:lang w:eastAsia="ja-JP"/>
        </w:rPr>
        <w:t>,</w:t>
      </w:r>
      <w:r w:rsidRPr="006653BB">
        <w:rPr>
          <w:lang w:eastAsia="ja-JP"/>
        </w:rPr>
        <w:t xml:space="preserve"> which is further south than 31°</w:t>
      </w:r>
      <w:r w:rsidR="00F029AC" w:rsidRPr="006653BB">
        <w:rPr>
          <w:lang w:eastAsia="ja-JP"/>
        </w:rPr>
        <w:t xml:space="preserve"> </w:t>
      </w:r>
      <w:proofErr w:type="gramStart"/>
      <w:r w:rsidRPr="006653BB">
        <w:rPr>
          <w:lang w:eastAsia="ja-JP"/>
        </w:rPr>
        <w:t>North</w:t>
      </w:r>
      <w:proofErr w:type="gramEnd"/>
      <w:r w:rsidRPr="006653BB">
        <w:rPr>
          <w:lang w:eastAsia="ja-JP"/>
        </w:rPr>
        <w:t>.</w:t>
      </w:r>
    </w:p>
    <w:p w14:paraId="684BAA19" w14:textId="2B157D35" w:rsidR="00AB0E44" w:rsidRDefault="00361FA3">
      <w:pPr>
        <w:rPr>
          <w:lang w:eastAsia="ja-JP"/>
        </w:rPr>
      </w:pPr>
      <w:r>
        <w:rPr>
          <w:lang w:eastAsia="ja-JP"/>
        </w:rPr>
        <w:t>All countries require pre-arrival reporting for vessels, including information on risk ports visited and the date of each visit. Australia and New Zealand require notification if the visit occurred within the last 12 months</w:t>
      </w:r>
      <w:r w:rsidR="00CA3FBB">
        <w:rPr>
          <w:lang w:eastAsia="ja-JP"/>
        </w:rPr>
        <w:t>, while for t</w:t>
      </w:r>
      <w:r>
        <w:rPr>
          <w:lang w:eastAsia="ja-JP"/>
        </w:rPr>
        <w:t xml:space="preserve">he others </w:t>
      </w:r>
      <w:r w:rsidR="00CA3FBB">
        <w:rPr>
          <w:lang w:eastAsia="ja-JP"/>
        </w:rPr>
        <w:t xml:space="preserve">it is </w:t>
      </w:r>
      <w:r>
        <w:rPr>
          <w:lang w:eastAsia="ja-JP"/>
        </w:rPr>
        <w:t xml:space="preserve">within </w:t>
      </w:r>
      <w:r w:rsidR="00F029AC">
        <w:rPr>
          <w:lang w:eastAsia="ja-JP"/>
        </w:rPr>
        <w:t xml:space="preserve">the last </w:t>
      </w:r>
      <w:r>
        <w:rPr>
          <w:lang w:eastAsia="ja-JP"/>
        </w:rPr>
        <w:t>24 months.</w:t>
      </w:r>
    </w:p>
    <w:p w14:paraId="39C973DF" w14:textId="204E6214" w:rsidR="00AB0E44" w:rsidRDefault="00361FA3">
      <w:pPr>
        <w:rPr>
          <w:lang w:eastAsia="ja-JP"/>
        </w:rPr>
      </w:pPr>
      <w:r>
        <w:rPr>
          <w:lang w:eastAsia="ja-JP"/>
        </w:rPr>
        <w:t xml:space="preserve">Australia does not require offshore certification but will consider it when risk assessing arriving vessels. Offshore certification for </w:t>
      </w:r>
      <w:r w:rsidR="007C5659">
        <w:rPr>
          <w:lang w:eastAsia="ja-JP"/>
        </w:rPr>
        <w:t>AGM</w:t>
      </w:r>
      <w:r w:rsidR="00061570">
        <w:rPr>
          <w:lang w:eastAsia="ja-JP"/>
        </w:rPr>
        <w:t xml:space="preserve"> </w:t>
      </w:r>
      <w:r>
        <w:rPr>
          <w:lang w:eastAsia="ja-JP"/>
        </w:rPr>
        <w:t>may be undertaken by approved third parties or government bodies. Approved third parties are currently recognised in Japan</w:t>
      </w:r>
      <w:r w:rsidR="00F029AC">
        <w:rPr>
          <w:lang w:eastAsia="ja-JP"/>
        </w:rPr>
        <w:t>,</w:t>
      </w:r>
      <w:r>
        <w:rPr>
          <w:lang w:eastAsia="ja-JP"/>
        </w:rPr>
        <w:t xml:space="preserve"> but the remaining risk countries are serviced by government bodies.</w:t>
      </w:r>
    </w:p>
    <w:p w14:paraId="006F1658" w14:textId="73FD8DEE" w:rsidR="00AB0E44" w:rsidRDefault="00361FA3" w:rsidP="005B3E05">
      <w:pPr>
        <w:rPr>
          <w:lang w:eastAsia="ja-JP"/>
        </w:rPr>
      </w:pPr>
      <w:r>
        <w:rPr>
          <w:lang w:eastAsia="ja-JP"/>
        </w:rPr>
        <w:t xml:space="preserve">Inspections for offshore certification occur either at the last port of call in a risk area visited during the risk period or at any non-risk port afterwards but before entering a port in Australia, New Zealand, </w:t>
      </w:r>
      <w:r w:rsidR="0062225B">
        <w:rPr>
          <w:lang w:eastAsia="ja-JP"/>
        </w:rPr>
        <w:t>the US</w:t>
      </w:r>
      <w:r>
        <w:rPr>
          <w:lang w:eastAsia="ja-JP"/>
        </w:rPr>
        <w:t>, Canada or Chile.</w:t>
      </w:r>
      <w:r w:rsidR="00D95049">
        <w:rPr>
          <w:lang w:eastAsia="ja-JP"/>
        </w:rPr>
        <w:t xml:space="preserve"> I</w:t>
      </w:r>
      <w:r>
        <w:rPr>
          <w:lang w:eastAsia="ja-JP"/>
        </w:rPr>
        <w:t>nspection</w:t>
      </w:r>
      <w:r w:rsidR="00D95049">
        <w:rPr>
          <w:lang w:eastAsia="ja-JP"/>
        </w:rPr>
        <w:t>s</w:t>
      </w:r>
      <w:r>
        <w:rPr>
          <w:lang w:eastAsia="ja-JP"/>
        </w:rPr>
        <w:t xml:space="preserve"> at a port in a regulated risk area must be done as close a</w:t>
      </w:r>
      <w:r w:rsidR="00D95049">
        <w:rPr>
          <w:lang w:eastAsia="ja-JP"/>
        </w:rPr>
        <w:t>s possible to the</w:t>
      </w:r>
      <w:r>
        <w:rPr>
          <w:lang w:eastAsia="ja-JP"/>
        </w:rPr>
        <w:t xml:space="preserve"> departure of the vessel to ensure no further contamination by </w:t>
      </w:r>
      <w:r w:rsidR="00061570">
        <w:rPr>
          <w:lang w:eastAsia="ja-JP"/>
        </w:rPr>
        <w:t xml:space="preserve">moth </w:t>
      </w:r>
      <w:r>
        <w:rPr>
          <w:lang w:eastAsia="ja-JP"/>
        </w:rPr>
        <w:t>e</w:t>
      </w:r>
      <w:r w:rsidR="00D95049">
        <w:rPr>
          <w:lang w:eastAsia="ja-JP"/>
        </w:rPr>
        <w:t>ggs occurs after inspection. All</w:t>
      </w:r>
      <w:r>
        <w:rPr>
          <w:lang w:eastAsia="ja-JP"/>
        </w:rPr>
        <w:t xml:space="preserve"> five </w:t>
      </w:r>
      <w:r w:rsidR="007C5659">
        <w:rPr>
          <w:lang w:eastAsia="ja-JP"/>
        </w:rPr>
        <w:t>AGM</w:t>
      </w:r>
      <w:r w:rsidR="00061570">
        <w:rPr>
          <w:lang w:eastAsia="ja-JP"/>
        </w:rPr>
        <w:t xml:space="preserve"> </w:t>
      </w:r>
      <w:r>
        <w:rPr>
          <w:lang w:eastAsia="ja-JP"/>
        </w:rPr>
        <w:t>r</w:t>
      </w:r>
      <w:r w:rsidR="00D95049">
        <w:rPr>
          <w:lang w:eastAsia="ja-JP"/>
        </w:rPr>
        <w:t xml:space="preserve">egulating countries recognise </w:t>
      </w:r>
      <w:proofErr w:type="spellStart"/>
      <w:r w:rsidR="00D95049">
        <w:rPr>
          <w:lang w:eastAsia="ja-JP"/>
        </w:rPr>
        <w:t>each others’</w:t>
      </w:r>
      <w:proofErr w:type="spellEnd"/>
      <w:r w:rsidR="00D95049">
        <w:rPr>
          <w:lang w:eastAsia="ja-JP"/>
        </w:rPr>
        <w:t xml:space="preserve"> </w:t>
      </w:r>
      <w:r w:rsidR="007C5659">
        <w:rPr>
          <w:lang w:eastAsia="ja-JP"/>
        </w:rPr>
        <w:t>AGM</w:t>
      </w:r>
      <w:r w:rsidR="00D95049">
        <w:rPr>
          <w:lang w:eastAsia="ja-JP"/>
        </w:rPr>
        <w:t xml:space="preserve"> inspections</w:t>
      </w:r>
      <w:r>
        <w:rPr>
          <w:lang w:eastAsia="ja-JP"/>
        </w:rPr>
        <w:t>.</w:t>
      </w:r>
    </w:p>
    <w:p w14:paraId="40B8E9C3" w14:textId="1CFEAEF2" w:rsidR="00AB0E44" w:rsidRDefault="00361FA3" w:rsidP="00D95049">
      <w:pPr>
        <w:spacing w:before="0" w:after="0"/>
        <w:rPr>
          <w:lang w:eastAsia="ja-JP"/>
        </w:rPr>
      </w:pPr>
      <w:r>
        <w:t xml:space="preserve">Historically, the biggest risk of </w:t>
      </w:r>
      <w:r w:rsidR="007C5659">
        <w:t>AGM</w:t>
      </w:r>
      <w:r w:rsidR="00061570">
        <w:t xml:space="preserve"> </w:t>
      </w:r>
      <w:r>
        <w:t>has been fr</w:t>
      </w:r>
      <w:r w:rsidR="00B53B4D">
        <w:t>om commercial vessels from Japan (</w:t>
      </w:r>
      <w:r w:rsidR="00B53B4D">
        <w:fldChar w:fldCharType="begin"/>
      </w:r>
      <w:r w:rsidR="00B53B4D">
        <w:instrText xml:space="preserve"> REF _Ref515875055 \h </w:instrText>
      </w:r>
      <w:r w:rsidR="00B53B4D">
        <w:fldChar w:fldCharType="separate"/>
      </w:r>
      <w:r w:rsidR="007F78D8">
        <w:t xml:space="preserve">Table </w:t>
      </w:r>
      <w:r w:rsidR="007F78D8">
        <w:rPr>
          <w:noProof/>
        </w:rPr>
        <w:t>8</w:t>
      </w:r>
      <w:r w:rsidR="00B53B4D">
        <w:fldChar w:fldCharType="end"/>
      </w:r>
      <w:r w:rsidR="00B53B4D">
        <w:t>)</w:t>
      </w:r>
      <w:r>
        <w:t>. However, offshore risk mitigation measures have significantly reduced incidents in recent years</w:t>
      </w:r>
      <w:r w:rsidR="00F029AC">
        <w:t>,</w:t>
      </w:r>
      <w:r>
        <w:t xml:space="preserve"> with no recorded incidents in 2016 or 2017. </w:t>
      </w:r>
      <w:r w:rsidR="007C5659">
        <w:rPr>
          <w:lang w:eastAsia="ja-JP"/>
        </w:rPr>
        <w:t>AGM</w:t>
      </w:r>
      <w:r w:rsidR="00061570">
        <w:rPr>
          <w:lang w:eastAsia="ja-JP"/>
        </w:rPr>
        <w:t xml:space="preserve"> </w:t>
      </w:r>
      <w:r>
        <w:rPr>
          <w:lang w:eastAsia="ja-JP"/>
        </w:rPr>
        <w:t>inspections in Australia appear to have been targeted effectively by port of origin and pathway and by season of risk. As a result, fewer whole</w:t>
      </w:r>
      <w:r w:rsidR="00F029AC">
        <w:rPr>
          <w:lang w:eastAsia="ja-JP"/>
        </w:rPr>
        <w:t>-</w:t>
      </w:r>
      <w:r>
        <w:rPr>
          <w:lang w:eastAsia="ja-JP"/>
        </w:rPr>
        <w:t>of</w:t>
      </w:r>
      <w:r w:rsidR="00F029AC">
        <w:rPr>
          <w:lang w:eastAsia="ja-JP"/>
        </w:rPr>
        <w:t>-</w:t>
      </w:r>
      <w:r>
        <w:rPr>
          <w:lang w:eastAsia="ja-JP"/>
        </w:rPr>
        <w:t xml:space="preserve">ship inspections have been needed, far more </w:t>
      </w:r>
      <w:r w:rsidR="00061570">
        <w:rPr>
          <w:lang w:eastAsia="ja-JP"/>
        </w:rPr>
        <w:t xml:space="preserve">moths </w:t>
      </w:r>
      <w:r>
        <w:rPr>
          <w:lang w:eastAsia="ja-JP"/>
        </w:rPr>
        <w:t xml:space="preserve">have been found by offshore inspections, and fewer </w:t>
      </w:r>
      <w:r w:rsidR="00061570">
        <w:rPr>
          <w:lang w:eastAsia="ja-JP"/>
        </w:rPr>
        <w:t xml:space="preserve">moths </w:t>
      </w:r>
      <w:r>
        <w:rPr>
          <w:lang w:eastAsia="ja-JP"/>
        </w:rPr>
        <w:t>have been intercepted on arrival.</w:t>
      </w:r>
      <w:bookmarkStart w:id="113" w:name="_Ref514148167"/>
      <w:bookmarkStart w:id="114" w:name="_Ref514246209"/>
    </w:p>
    <w:p w14:paraId="10ECB5BC" w14:textId="77777777" w:rsidR="00AB0E44" w:rsidRDefault="00361FA3">
      <w:pPr>
        <w:pStyle w:val="Caption"/>
        <w:rPr>
          <w:noProof/>
        </w:rPr>
      </w:pPr>
      <w:bookmarkStart w:id="115" w:name="_Ref515875055"/>
      <w:bookmarkStart w:id="116" w:name="_Toc521069599"/>
      <w:r>
        <w:t xml:space="preserve">Table </w:t>
      </w:r>
      <w:r w:rsidR="00F21B3D">
        <w:rPr>
          <w:noProof/>
        </w:rPr>
        <w:fldChar w:fldCharType="begin"/>
      </w:r>
      <w:r w:rsidR="00F21B3D">
        <w:rPr>
          <w:noProof/>
        </w:rPr>
        <w:instrText xml:space="preserve"> SEQ Table \* ARABIC </w:instrText>
      </w:r>
      <w:r w:rsidR="00F21B3D">
        <w:rPr>
          <w:noProof/>
        </w:rPr>
        <w:fldChar w:fldCharType="separate"/>
      </w:r>
      <w:r w:rsidR="007F78D8">
        <w:rPr>
          <w:noProof/>
        </w:rPr>
        <w:t>8</w:t>
      </w:r>
      <w:r w:rsidR="00F21B3D">
        <w:rPr>
          <w:noProof/>
        </w:rPr>
        <w:fldChar w:fldCharType="end"/>
      </w:r>
      <w:bookmarkEnd w:id="113"/>
      <w:bookmarkEnd w:id="114"/>
      <w:bookmarkEnd w:id="115"/>
      <w:r>
        <w:rPr>
          <w:noProof/>
        </w:rPr>
        <w:t xml:space="preserve"> Asian gypsy moth interceptions, by country of origin and pathway, 2012–2017</w:t>
      </w:r>
      <w:bookmarkEnd w:id="116"/>
    </w:p>
    <w:tbl>
      <w:tblPr>
        <w:tblStyle w:val="PlainTable5"/>
        <w:tblW w:w="7938" w:type="dxa"/>
        <w:tblBorders>
          <w:top w:val="single" w:sz="4" w:space="0" w:color="000000"/>
          <w:bottom w:val="single" w:sz="4" w:space="0" w:color="000000"/>
        </w:tblBorders>
        <w:tblLook w:val="04A0" w:firstRow="1" w:lastRow="0" w:firstColumn="1" w:lastColumn="0" w:noHBand="0" w:noVBand="1"/>
      </w:tblPr>
      <w:tblGrid>
        <w:gridCol w:w="1701"/>
        <w:gridCol w:w="993"/>
        <w:gridCol w:w="1701"/>
        <w:gridCol w:w="1275"/>
        <w:gridCol w:w="1560"/>
        <w:gridCol w:w="708"/>
      </w:tblGrid>
      <w:tr w:rsidR="00AB0E44" w14:paraId="6ED9384F" w14:textId="77777777" w:rsidTr="005B3E05">
        <w:trPr>
          <w:cnfStyle w:val="100000000000" w:firstRow="1" w:lastRow="0" w:firstColumn="0" w:lastColumn="0" w:oddVBand="0" w:evenVBand="0" w:oddHBand="0" w:evenHBand="0" w:firstRowFirstColumn="0" w:firstRowLastColumn="0" w:lastRowFirstColumn="0" w:lastRowLastColumn="0"/>
          <w:trHeight w:val="223"/>
          <w:tblHeader/>
        </w:trPr>
        <w:tc>
          <w:tcPr>
            <w:cnfStyle w:val="001000000100" w:firstRow="0" w:lastRow="0" w:firstColumn="1" w:lastColumn="0" w:oddVBand="0" w:evenVBand="0" w:oddHBand="0" w:evenHBand="0" w:firstRowFirstColumn="1" w:firstRowLastColumn="0" w:lastRowFirstColumn="0" w:lastRowLastColumn="0"/>
            <w:tcW w:w="1701" w:type="dxa"/>
            <w:tcBorders>
              <w:top w:val="single" w:sz="4" w:space="0" w:color="000000"/>
              <w:bottom w:val="nil"/>
              <w:right w:val="none" w:sz="0" w:space="0" w:color="auto"/>
            </w:tcBorders>
            <w:shd w:val="clear" w:color="auto" w:fill="auto"/>
          </w:tcPr>
          <w:p w14:paraId="6404AEB5" w14:textId="77777777" w:rsidR="00AB0E44" w:rsidRDefault="00361FA3">
            <w:pPr>
              <w:pStyle w:val="Tabletext"/>
              <w:jc w:val="left"/>
              <w:rPr>
                <w:b/>
                <w:i w:val="0"/>
              </w:rPr>
            </w:pPr>
            <w:r>
              <w:rPr>
                <w:b/>
                <w:i w:val="0"/>
              </w:rPr>
              <w:t>Country of origin</w:t>
            </w:r>
          </w:p>
        </w:tc>
        <w:tc>
          <w:tcPr>
            <w:tcW w:w="993" w:type="dxa"/>
            <w:tcBorders>
              <w:top w:val="single" w:sz="4" w:space="0" w:color="000000"/>
              <w:bottom w:val="nil"/>
            </w:tcBorders>
            <w:shd w:val="clear" w:color="auto" w:fill="auto"/>
          </w:tcPr>
          <w:p w14:paraId="22AF458D" w14:textId="77777777" w:rsidR="00AB0E44" w:rsidRDefault="00361FA3">
            <w:pPr>
              <w:pStyle w:val="Tabletext"/>
              <w:cnfStyle w:val="100000000000" w:firstRow="1" w:lastRow="0" w:firstColumn="0" w:lastColumn="0" w:oddVBand="0" w:evenVBand="0" w:oddHBand="0" w:evenHBand="0" w:firstRowFirstColumn="0" w:firstRowLastColumn="0" w:lastRowFirstColumn="0" w:lastRowLastColumn="0"/>
              <w:rPr>
                <w:b/>
                <w:i w:val="0"/>
              </w:rPr>
            </w:pPr>
            <w:r>
              <w:rPr>
                <w:b/>
                <w:i w:val="0"/>
              </w:rPr>
              <w:t>Sea cargo</w:t>
            </w:r>
          </w:p>
        </w:tc>
        <w:tc>
          <w:tcPr>
            <w:tcW w:w="1701" w:type="dxa"/>
            <w:tcBorders>
              <w:top w:val="single" w:sz="4" w:space="0" w:color="000000"/>
              <w:bottom w:val="nil"/>
            </w:tcBorders>
            <w:shd w:val="clear" w:color="auto" w:fill="auto"/>
          </w:tcPr>
          <w:p w14:paraId="390BE600" w14:textId="77777777" w:rsidR="00AB0E44" w:rsidRDefault="00361FA3">
            <w:pPr>
              <w:pStyle w:val="Tabletext"/>
              <w:cnfStyle w:val="100000000000" w:firstRow="1" w:lastRow="0" w:firstColumn="0" w:lastColumn="0" w:oddVBand="0" w:evenVBand="0" w:oddHBand="0" w:evenHBand="0" w:firstRowFirstColumn="0" w:firstRowLastColumn="0" w:lastRowFirstColumn="0" w:lastRowLastColumn="0"/>
              <w:rPr>
                <w:b/>
                <w:i w:val="0"/>
              </w:rPr>
            </w:pPr>
            <w:r>
              <w:rPr>
                <w:b/>
                <w:i w:val="0"/>
              </w:rPr>
              <w:t>Commercial vessel</w:t>
            </w:r>
          </w:p>
        </w:tc>
        <w:tc>
          <w:tcPr>
            <w:tcW w:w="1275" w:type="dxa"/>
            <w:tcBorders>
              <w:top w:val="single" w:sz="4" w:space="0" w:color="000000"/>
              <w:bottom w:val="nil"/>
            </w:tcBorders>
            <w:shd w:val="clear" w:color="auto" w:fill="auto"/>
          </w:tcPr>
          <w:p w14:paraId="1883552F" w14:textId="77777777" w:rsidR="00AB0E44" w:rsidRDefault="00361FA3">
            <w:pPr>
              <w:pStyle w:val="Tabletext"/>
              <w:cnfStyle w:val="100000000000" w:firstRow="1" w:lastRow="0" w:firstColumn="0" w:lastColumn="0" w:oddVBand="0" w:evenVBand="0" w:oddHBand="0" w:evenHBand="0" w:firstRowFirstColumn="0" w:firstRowLastColumn="0" w:lastRowFirstColumn="0" w:lastRowLastColumn="0"/>
              <w:rPr>
                <w:b/>
                <w:i w:val="0"/>
              </w:rPr>
            </w:pPr>
            <w:r>
              <w:rPr>
                <w:b/>
                <w:i w:val="0"/>
              </w:rPr>
              <w:t>Cruise vessel</w:t>
            </w:r>
          </w:p>
        </w:tc>
        <w:tc>
          <w:tcPr>
            <w:tcW w:w="1560" w:type="dxa"/>
            <w:tcBorders>
              <w:top w:val="single" w:sz="4" w:space="0" w:color="000000"/>
              <w:bottom w:val="nil"/>
            </w:tcBorders>
            <w:shd w:val="clear" w:color="auto" w:fill="auto"/>
          </w:tcPr>
          <w:p w14:paraId="0167B4FC" w14:textId="77777777" w:rsidR="00AB0E44" w:rsidRDefault="00361FA3">
            <w:pPr>
              <w:pStyle w:val="Tabletext"/>
              <w:cnfStyle w:val="100000000000" w:firstRow="1" w:lastRow="0" w:firstColumn="0" w:lastColumn="0" w:oddVBand="0" w:evenVBand="0" w:oddHBand="0" w:evenHBand="0" w:firstRowFirstColumn="0" w:firstRowLastColumn="0" w:lastRowFirstColumn="0" w:lastRowLastColumn="0"/>
              <w:rPr>
                <w:b/>
                <w:i w:val="0"/>
              </w:rPr>
            </w:pPr>
            <w:r>
              <w:rPr>
                <w:b/>
                <w:i w:val="0"/>
              </w:rPr>
              <w:t>Empty container</w:t>
            </w:r>
          </w:p>
        </w:tc>
        <w:tc>
          <w:tcPr>
            <w:tcW w:w="708" w:type="dxa"/>
            <w:tcBorders>
              <w:top w:val="single" w:sz="4" w:space="0" w:color="000000"/>
              <w:bottom w:val="nil"/>
            </w:tcBorders>
            <w:shd w:val="clear" w:color="auto" w:fill="auto"/>
          </w:tcPr>
          <w:p w14:paraId="0296D0E9" w14:textId="77777777" w:rsidR="00AB0E44" w:rsidRDefault="00361FA3">
            <w:pPr>
              <w:pStyle w:val="Tabletext"/>
              <w:cnfStyle w:val="100000000000" w:firstRow="1" w:lastRow="0" w:firstColumn="0" w:lastColumn="0" w:oddVBand="0" w:evenVBand="0" w:oddHBand="0" w:evenHBand="0" w:firstRowFirstColumn="0" w:firstRowLastColumn="0" w:lastRowFirstColumn="0" w:lastRowLastColumn="0"/>
              <w:rPr>
                <w:b/>
                <w:i w:val="0"/>
              </w:rPr>
            </w:pPr>
            <w:r>
              <w:rPr>
                <w:b/>
                <w:i w:val="0"/>
              </w:rPr>
              <w:t>Total</w:t>
            </w:r>
          </w:p>
        </w:tc>
      </w:tr>
      <w:tr w:rsidR="00AB0E44" w14:paraId="46E0AB87" w14:textId="77777777" w:rsidTr="005B3E0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701" w:type="dxa"/>
            <w:tcBorders>
              <w:top w:val="nil"/>
              <w:right w:val="none" w:sz="0" w:space="0" w:color="auto"/>
            </w:tcBorders>
            <w:shd w:val="clear" w:color="auto" w:fill="auto"/>
          </w:tcPr>
          <w:p w14:paraId="1E5226D9" w14:textId="77777777" w:rsidR="00AB0E44" w:rsidRDefault="00361FA3">
            <w:pPr>
              <w:pStyle w:val="Tabletext"/>
              <w:jc w:val="left"/>
              <w:rPr>
                <w:i w:val="0"/>
              </w:rPr>
            </w:pPr>
            <w:r>
              <w:rPr>
                <w:i w:val="0"/>
              </w:rPr>
              <w:t>China</w:t>
            </w:r>
          </w:p>
        </w:tc>
        <w:tc>
          <w:tcPr>
            <w:tcW w:w="993" w:type="dxa"/>
            <w:tcBorders>
              <w:top w:val="nil"/>
            </w:tcBorders>
            <w:shd w:val="clear" w:color="auto" w:fill="auto"/>
          </w:tcPr>
          <w:p w14:paraId="50A90C9A"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pPr>
            <w:r>
              <w:t>0</w:t>
            </w:r>
          </w:p>
        </w:tc>
        <w:tc>
          <w:tcPr>
            <w:tcW w:w="1701" w:type="dxa"/>
            <w:tcBorders>
              <w:top w:val="nil"/>
            </w:tcBorders>
            <w:shd w:val="clear" w:color="auto" w:fill="auto"/>
          </w:tcPr>
          <w:p w14:paraId="00554B83"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pPr>
            <w:r>
              <w:t>1</w:t>
            </w:r>
          </w:p>
        </w:tc>
        <w:tc>
          <w:tcPr>
            <w:tcW w:w="1275" w:type="dxa"/>
            <w:tcBorders>
              <w:top w:val="nil"/>
            </w:tcBorders>
            <w:shd w:val="clear" w:color="auto" w:fill="auto"/>
          </w:tcPr>
          <w:p w14:paraId="633E92B7"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pPr>
            <w:r>
              <w:t>0</w:t>
            </w:r>
          </w:p>
        </w:tc>
        <w:tc>
          <w:tcPr>
            <w:tcW w:w="1560" w:type="dxa"/>
            <w:tcBorders>
              <w:top w:val="nil"/>
            </w:tcBorders>
            <w:shd w:val="clear" w:color="auto" w:fill="auto"/>
          </w:tcPr>
          <w:p w14:paraId="728F642D"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pPr>
            <w:r>
              <w:t>1</w:t>
            </w:r>
          </w:p>
        </w:tc>
        <w:tc>
          <w:tcPr>
            <w:tcW w:w="708" w:type="dxa"/>
            <w:tcBorders>
              <w:top w:val="nil"/>
            </w:tcBorders>
            <w:shd w:val="clear" w:color="auto" w:fill="auto"/>
          </w:tcPr>
          <w:p w14:paraId="0202F794"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pPr>
            <w:r>
              <w:t>2</w:t>
            </w:r>
          </w:p>
        </w:tc>
      </w:tr>
      <w:tr w:rsidR="00AB0E44" w14:paraId="2E007949" w14:textId="77777777" w:rsidTr="00AB0E44">
        <w:trPr>
          <w:trHeight w:val="74"/>
        </w:trPr>
        <w:tc>
          <w:tcPr>
            <w:cnfStyle w:val="001000000000" w:firstRow="0" w:lastRow="0" w:firstColumn="1" w:lastColumn="0" w:oddVBand="0" w:evenVBand="0" w:oddHBand="0" w:evenHBand="0" w:firstRowFirstColumn="0" w:firstRowLastColumn="0" w:lastRowFirstColumn="0" w:lastRowLastColumn="0"/>
            <w:tcW w:w="1701" w:type="dxa"/>
            <w:tcBorders>
              <w:right w:val="none" w:sz="0" w:space="0" w:color="auto"/>
            </w:tcBorders>
            <w:shd w:val="clear" w:color="auto" w:fill="auto"/>
          </w:tcPr>
          <w:p w14:paraId="34212DD1" w14:textId="77777777" w:rsidR="00AB0E44" w:rsidRDefault="00361FA3">
            <w:pPr>
              <w:pStyle w:val="Tabletext"/>
              <w:jc w:val="left"/>
              <w:rPr>
                <w:i w:val="0"/>
              </w:rPr>
            </w:pPr>
            <w:r>
              <w:rPr>
                <w:i w:val="0"/>
              </w:rPr>
              <w:t>Japan</w:t>
            </w:r>
          </w:p>
        </w:tc>
        <w:tc>
          <w:tcPr>
            <w:tcW w:w="993" w:type="dxa"/>
            <w:shd w:val="clear" w:color="auto" w:fill="auto"/>
          </w:tcPr>
          <w:p w14:paraId="77E77840"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pPr>
            <w:r>
              <w:t>6</w:t>
            </w:r>
          </w:p>
        </w:tc>
        <w:tc>
          <w:tcPr>
            <w:tcW w:w="1701" w:type="dxa"/>
            <w:shd w:val="clear" w:color="auto" w:fill="auto"/>
          </w:tcPr>
          <w:p w14:paraId="05FD1A7A"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pPr>
            <w:r>
              <w:t>30</w:t>
            </w:r>
          </w:p>
        </w:tc>
        <w:tc>
          <w:tcPr>
            <w:tcW w:w="1275" w:type="dxa"/>
            <w:shd w:val="clear" w:color="auto" w:fill="auto"/>
          </w:tcPr>
          <w:p w14:paraId="59ED6B19"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pPr>
            <w:r>
              <w:t>1</w:t>
            </w:r>
          </w:p>
        </w:tc>
        <w:tc>
          <w:tcPr>
            <w:tcW w:w="1560" w:type="dxa"/>
            <w:shd w:val="clear" w:color="auto" w:fill="auto"/>
          </w:tcPr>
          <w:p w14:paraId="04328171"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708" w:type="dxa"/>
            <w:shd w:val="clear" w:color="auto" w:fill="auto"/>
          </w:tcPr>
          <w:p w14:paraId="209C79FC"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pPr>
            <w:r>
              <w:t>37</w:t>
            </w:r>
          </w:p>
        </w:tc>
      </w:tr>
      <w:tr w:rsidR="00AB0E44" w14:paraId="20258A4B" w14:textId="77777777" w:rsidTr="00AB0E44">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1701" w:type="dxa"/>
            <w:tcBorders>
              <w:right w:val="none" w:sz="0" w:space="0" w:color="auto"/>
            </w:tcBorders>
            <w:shd w:val="clear" w:color="auto" w:fill="auto"/>
          </w:tcPr>
          <w:p w14:paraId="6339BCF6" w14:textId="77777777" w:rsidR="00AB0E44" w:rsidRDefault="00361FA3">
            <w:pPr>
              <w:pStyle w:val="Tabletext"/>
              <w:jc w:val="left"/>
              <w:rPr>
                <w:i w:val="0"/>
              </w:rPr>
            </w:pPr>
            <w:r>
              <w:rPr>
                <w:i w:val="0"/>
              </w:rPr>
              <w:t>Republic of Korea</w:t>
            </w:r>
          </w:p>
        </w:tc>
        <w:tc>
          <w:tcPr>
            <w:tcW w:w="993" w:type="dxa"/>
            <w:shd w:val="clear" w:color="auto" w:fill="auto"/>
          </w:tcPr>
          <w:p w14:paraId="3913023C"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pPr>
            <w:r>
              <w:t>0</w:t>
            </w:r>
          </w:p>
        </w:tc>
        <w:tc>
          <w:tcPr>
            <w:tcW w:w="1701" w:type="dxa"/>
            <w:shd w:val="clear" w:color="auto" w:fill="auto"/>
          </w:tcPr>
          <w:p w14:paraId="29497B9C"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pPr>
            <w:r>
              <w:t>3</w:t>
            </w:r>
          </w:p>
        </w:tc>
        <w:tc>
          <w:tcPr>
            <w:tcW w:w="1275" w:type="dxa"/>
            <w:shd w:val="clear" w:color="auto" w:fill="auto"/>
          </w:tcPr>
          <w:p w14:paraId="0317D1EA"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pPr>
            <w:r>
              <w:t>0</w:t>
            </w:r>
          </w:p>
        </w:tc>
        <w:tc>
          <w:tcPr>
            <w:tcW w:w="1560" w:type="dxa"/>
            <w:shd w:val="clear" w:color="auto" w:fill="auto"/>
          </w:tcPr>
          <w:p w14:paraId="43DCA100"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pPr>
            <w:r>
              <w:t>0</w:t>
            </w:r>
          </w:p>
        </w:tc>
        <w:tc>
          <w:tcPr>
            <w:tcW w:w="708" w:type="dxa"/>
            <w:shd w:val="clear" w:color="auto" w:fill="auto"/>
          </w:tcPr>
          <w:p w14:paraId="0219502D"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pPr>
            <w:r>
              <w:t>3</w:t>
            </w:r>
          </w:p>
        </w:tc>
      </w:tr>
      <w:tr w:rsidR="00AB0E44" w14:paraId="3921814E" w14:textId="77777777" w:rsidTr="00AB0E44">
        <w:trPr>
          <w:trHeight w:val="200"/>
        </w:trPr>
        <w:tc>
          <w:tcPr>
            <w:cnfStyle w:val="001000000000" w:firstRow="0" w:lastRow="0" w:firstColumn="1" w:lastColumn="0" w:oddVBand="0" w:evenVBand="0" w:oddHBand="0" w:evenHBand="0" w:firstRowFirstColumn="0" w:firstRowLastColumn="0" w:lastRowFirstColumn="0" w:lastRowLastColumn="0"/>
            <w:tcW w:w="1701" w:type="dxa"/>
            <w:tcBorders>
              <w:right w:val="none" w:sz="0" w:space="0" w:color="auto"/>
            </w:tcBorders>
            <w:shd w:val="clear" w:color="auto" w:fill="auto"/>
          </w:tcPr>
          <w:p w14:paraId="5B371EB6" w14:textId="77777777" w:rsidR="00AB0E44" w:rsidRDefault="00361FA3">
            <w:pPr>
              <w:pStyle w:val="Tabletext"/>
              <w:jc w:val="left"/>
              <w:rPr>
                <w:i w:val="0"/>
              </w:rPr>
            </w:pPr>
            <w:r>
              <w:rPr>
                <w:i w:val="0"/>
              </w:rPr>
              <w:t>Brazil</w:t>
            </w:r>
          </w:p>
        </w:tc>
        <w:tc>
          <w:tcPr>
            <w:tcW w:w="993" w:type="dxa"/>
            <w:shd w:val="clear" w:color="auto" w:fill="auto"/>
          </w:tcPr>
          <w:p w14:paraId="6CA21730"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pPr>
            <w:r>
              <w:t>1</w:t>
            </w:r>
          </w:p>
        </w:tc>
        <w:tc>
          <w:tcPr>
            <w:tcW w:w="1701" w:type="dxa"/>
            <w:shd w:val="clear" w:color="auto" w:fill="auto"/>
          </w:tcPr>
          <w:p w14:paraId="21607BEF"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1275" w:type="dxa"/>
            <w:shd w:val="clear" w:color="auto" w:fill="auto"/>
          </w:tcPr>
          <w:p w14:paraId="0D7F3E18"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1560" w:type="dxa"/>
            <w:shd w:val="clear" w:color="auto" w:fill="auto"/>
          </w:tcPr>
          <w:p w14:paraId="657DD005"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708" w:type="dxa"/>
            <w:shd w:val="clear" w:color="auto" w:fill="auto"/>
          </w:tcPr>
          <w:p w14:paraId="26A23D97"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pPr>
            <w:r>
              <w:t>1</w:t>
            </w:r>
          </w:p>
        </w:tc>
      </w:tr>
      <w:tr w:rsidR="00AB0E44" w14:paraId="311B7D4E" w14:textId="77777777" w:rsidTr="00AB0E44">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701" w:type="dxa"/>
            <w:tcBorders>
              <w:right w:val="none" w:sz="0" w:space="0" w:color="auto"/>
            </w:tcBorders>
            <w:shd w:val="clear" w:color="auto" w:fill="auto"/>
          </w:tcPr>
          <w:p w14:paraId="556A50B2" w14:textId="77777777" w:rsidR="00AB0E44" w:rsidRDefault="00361FA3">
            <w:pPr>
              <w:pStyle w:val="Tabletext"/>
              <w:jc w:val="left"/>
              <w:rPr>
                <w:i w:val="0"/>
              </w:rPr>
            </w:pPr>
            <w:r>
              <w:rPr>
                <w:i w:val="0"/>
              </w:rPr>
              <w:t>Russian Federation</w:t>
            </w:r>
          </w:p>
        </w:tc>
        <w:tc>
          <w:tcPr>
            <w:tcW w:w="993" w:type="dxa"/>
            <w:shd w:val="clear" w:color="auto" w:fill="auto"/>
          </w:tcPr>
          <w:p w14:paraId="6AA6A1D1"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pPr>
            <w:r>
              <w:t>0</w:t>
            </w:r>
          </w:p>
        </w:tc>
        <w:tc>
          <w:tcPr>
            <w:tcW w:w="1701" w:type="dxa"/>
            <w:shd w:val="clear" w:color="auto" w:fill="auto"/>
          </w:tcPr>
          <w:p w14:paraId="159AB103"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pPr>
            <w:r>
              <w:t>3</w:t>
            </w:r>
          </w:p>
        </w:tc>
        <w:tc>
          <w:tcPr>
            <w:tcW w:w="1275" w:type="dxa"/>
            <w:shd w:val="clear" w:color="auto" w:fill="auto"/>
          </w:tcPr>
          <w:p w14:paraId="6A856AA6"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pPr>
            <w:r>
              <w:t>0</w:t>
            </w:r>
          </w:p>
        </w:tc>
        <w:tc>
          <w:tcPr>
            <w:tcW w:w="1560" w:type="dxa"/>
            <w:shd w:val="clear" w:color="auto" w:fill="auto"/>
          </w:tcPr>
          <w:p w14:paraId="1B5942BD"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pPr>
            <w:r>
              <w:t>0</w:t>
            </w:r>
          </w:p>
        </w:tc>
        <w:tc>
          <w:tcPr>
            <w:tcW w:w="708" w:type="dxa"/>
            <w:shd w:val="clear" w:color="auto" w:fill="auto"/>
          </w:tcPr>
          <w:p w14:paraId="4A621DBB"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pPr>
            <w:r>
              <w:t>3</w:t>
            </w:r>
          </w:p>
        </w:tc>
      </w:tr>
      <w:tr w:rsidR="00AB0E44" w14:paraId="464BF4A7" w14:textId="77777777" w:rsidTr="00AB0E44">
        <w:trPr>
          <w:trHeight w:val="74"/>
        </w:trPr>
        <w:tc>
          <w:tcPr>
            <w:cnfStyle w:val="001000000000" w:firstRow="0" w:lastRow="0" w:firstColumn="1" w:lastColumn="0" w:oddVBand="0" w:evenVBand="0" w:oddHBand="0" w:evenHBand="0" w:firstRowFirstColumn="0" w:firstRowLastColumn="0" w:lastRowFirstColumn="0" w:lastRowLastColumn="0"/>
            <w:tcW w:w="1701" w:type="dxa"/>
            <w:tcBorders>
              <w:right w:val="none" w:sz="0" w:space="0" w:color="auto"/>
            </w:tcBorders>
            <w:shd w:val="clear" w:color="auto" w:fill="auto"/>
          </w:tcPr>
          <w:p w14:paraId="06A2E22C" w14:textId="77777777" w:rsidR="00AB0E44" w:rsidRDefault="00361FA3">
            <w:pPr>
              <w:pStyle w:val="Tabletext"/>
              <w:jc w:val="left"/>
              <w:rPr>
                <w:i w:val="0"/>
              </w:rPr>
            </w:pPr>
            <w:r>
              <w:rPr>
                <w:i w:val="0"/>
              </w:rPr>
              <w:t>Unknown</w:t>
            </w:r>
          </w:p>
        </w:tc>
        <w:tc>
          <w:tcPr>
            <w:tcW w:w="993" w:type="dxa"/>
            <w:shd w:val="clear" w:color="auto" w:fill="auto"/>
          </w:tcPr>
          <w:p w14:paraId="31CB5461"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1701" w:type="dxa"/>
            <w:shd w:val="clear" w:color="auto" w:fill="auto"/>
          </w:tcPr>
          <w:p w14:paraId="6070CF06"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pPr>
            <w:r>
              <w:t>1</w:t>
            </w:r>
          </w:p>
        </w:tc>
        <w:tc>
          <w:tcPr>
            <w:tcW w:w="1275" w:type="dxa"/>
            <w:shd w:val="clear" w:color="auto" w:fill="auto"/>
          </w:tcPr>
          <w:p w14:paraId="62C30573"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1560" w:type="dxa"/>
            <w:shd w:val="clear" w:color="auto" w:fill="auto"/>
          </w:tcPr>
          <w:p w14:paraId="6EB4F8AC"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708" w:type="dxa"/>
            <w:shd w:val="clear" w:color="auto" w:fill="auto"/>
          </w:tcPr>
          <w:p w14:paraId="2FB4CDE7"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pPr>
            <w:r>
              <w:t>1</w:t>
            </w:r>
          </w:p>
        </w:tc>
      </w:tr>
      <w:tr w:rsidR="00AB0E44" w14:paraId="4646C2B1" w14:textId="77777777" w:rsidTr="00AB0E44">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701" w:type="dxa"/>
            <w:tcBorders>
              <w:right w:val="none" w:sz="0" w:space="0" w:color="auto"/>
            </w:tcBorders>
            <w:shd w:val="clear" w:color="auto" w:fill="auto"/>
          </w:tcPr>
          <w:p w14:paraId="6AF58D6C" w14:textId="77777777" w:rsidR="00AB0E44" w:rsidRDefault="00361FA3">
            <w:pPr>
              <w:pStyle w:val="Tabletext"/>
              <w:jc w:val="left"/>
              <w:rPr>
                <w:i w:val="0"/>
              </w:rPr>
            </w:pPr>
            <w:r>
              <w:rPr>
                <w:i w:val="0"/>
              </w:rPr>
              <w:t>Total</w:t>
            </w:r>
          </w:p>
        </w:tc>
        <w:tc>
          <w:tcPr>
            <w:tcW w:w="993" w:type="dxa"/>
            <w:shd w:val="clear" w:color="auto" w:fill="auto"/>
          </w:tcPr>
          <w:p w14:paraId="693F5182"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pPr>
            <w:r>
              <w:t>7</w:t>
            </w:r>
          </w:p>
        </w:tc>
        <w:tc>
          <w:tcPr>
            <w:tcW w:w="1701" w:type="dxa"/>
            <w:shd w:val="clear" w:color="auto" w:fill="auto"/>
          </w:tcPr>
          <w:p w14:paraId="3D26CA02"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pPr>
            <w:r>
              <w:t>38</w:t>
            </w:r>
          </w:p>
        </w:tc>
        <w:tc>
          <w:tcPr>
            <w:tcW w:w="1275" w:type="dxa"/>
            <w:shd w:val="clear" w:color="auto" w:fill="auto"/>
          </w:tcPr>
          <w:p w14:paraId="14208A24"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pPr>
            <w:r>
              <w:t>1</w:t>
            </w:r>
          </w:p>
        </w:tc>
        <w:tc>
          <w:tcPr>
            <w:tcW w:w="1560" w:type="dxa"/>
            <w:shd w:val="clear" w:color="auto" w:fill="auto"/>
          </w:tcPr>
          <w:p w14:paraId="3F6051A2"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pPr>
            <w:r>
              <w:t>1</w:t>
            </w:r>
          </w:p>
        </w:tc>
        <w:tc>
          <w:tcPr>
            <w:tcW w:w="708" w:type="dxa"/>
            <w:shd w:val="clear" w:color="auto" w:fill="auto"/>
          </w:tcPr>
          <w:p w14:paraId="6D28836C"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bCs/>
              </w:rPr>
            </w:pPr>
            <w:r>
              <w:rPr>
                <w:bCs/>
              </w:rPr>
              <w:t>47</w:t>
            </w:r>
          </w:p>
        </w:tc>
      </w:tr>
    </w:tbl>
    <w:p w14:paraId="23A7CEE7" w14:textId="77777777" w:rsidR="00AB0E44" w:rsidRDefault="00361FA3">
      <w:pPr>
        <w:pStyle w:val="FigureTableNoteSource"/>
      </w:pPr>
      <w:r>
        <w:t>Source: Department of Agriculture and Water Resources</w:t>
      </w:r>
    </w:p>
    <w:p w14:paraId="4B6B41F6" w14:textId="4B2C535B" w:rsidR="00AB0E44" w:rsidRDefault="00361FA3">
      <w:pPr>
        <w:pStyle w:val="Heading3"/>
        <w:spacing w:before="360"/>
      </w:pPr>
      <w:bookmarkStart w:id="117" w:name="_Toc521069555"/>
      <w:r>
        <w:t>Burnt pine longicorn beetle (</w:t>
      </w:r>
      <w:proofErr w:type="spellStart"/>
      <w:r>
        <w:rPr>
          <w:i/>
        </w:rPr>
        <w:t>Arhopalus</w:t>
      </w:r>
      <w:proofErr w:type="spellEnd"/>
      <w:r>
        <w:rPr>
          <w:i/>
        </w:rPr>
        <w:t xml:space="preserve"> </w:t>
      </w:r>
      <w:proofErr w:type="spellStart"/>
      <w:r>
        <w:rPr>
          <w:i/>
        </w:rPr>
        <w:t>ferus</w:t>
      </w:r>
      <w:proofErr w:type="spellEnd"/>
      <w:r>
        <w:t>)</w:t>
      </w:r>
      <w:bookmarkEnd w:id="117"/>
    </w:p>
    <w:p w14:paraId="6CCE5314" w14:textId="687A7934" w:rsidR="00AB0E44" w:rsidRDefault="00361FA3">
      <w:pPr>
        <w:rPr>
          <w:rFonts w:eastAsiaTheme="minorHAnsi" w:cs="Calibri"/>
        </w:rPr>
      </w:pPr>
      <w:r>
        <w:rPr>
          <w:rFonts w:eastAsiaTheme="minorHAnsi" w:cs="Calibri"/>
        </w:rPr>
        <w:t>The burnt pine longicorn beetle attacks logs, stumps and standing, dead or dying pine trees (</w:t>
      </w:r>
      <w:proofErr w:type="spellStart"/>
      <w:r>
        <w:rPr>
          <w:rStyle w:val="pest-scientific-name2"/>
          <w:b w:val="0"/>
        </w:rPr>
        <w:t>Pinus</w:t>
      </w:r>
      <w:proofErr w:type="spellEnd"/>
      <w:r>
        <w:rPr>
          <w:rStyle w:val="pest-scientific-name2"/>
          <w:b w:val="0"/>
        </w:rPr>
        <w:t xml:space="preserve"> </w:t>
      </w:r>
      <w:r w:rsidRPr="00854CCC">
        <w:rPr>
          <w:rStyle w:val="pest-scientific-name2"/>
          <w:b w:val="0"/>
          <w:i w:val="0"/>
        </w:rPr>
        <w:t>spp.</w:t>
      </w:r>
      <w:r>
        <w:rPr>
          <w:rFonts w:eastAsiaTheme="minorHAnsi" w:cs="Calibri"/>
        </w:rPr>
        <w:t>). The beetle rapidly attacks fire-damaged trees</w:t>
      </w:r>
      <w:r w:rsidR="00F029AC">
        <w:rPr>
          <w:rFonts w:eastAsiaTheme="minorHAnsi" w:cs="Calibri"/>
        </w:rPr>
        <w:t>,</w:t>
      </w:r>
      <w:r>
        <w:rPr>
          <w:rFonts w:eastAsiaTheme="minorHAnsi" w:cs="Calibri"/>
        </w:rPr>
        <w:t xml:space="preserve"> thus reducing the time for salvage of trees with burn damage. It is also a vector of sap stain fungi, which further devalues any harvested timber due to discolouration of the salvaged wood.</w:t>
      </w:r>
    </w:p>
    <w:p w14:paraId="425628DE" w14:textId="37A4EE15" w:rsidR="00AB0E44" w:rsidRPr="006653BB" w:rsidRDefault="00061570">
      <w:r>
        <w:rPr>
          <w:rFonts w:eastAsiaTheme="minorHAnsi" w:cs="Calibri"/>
        </w:rPr>
        <w:t>The burnt pine longicorn beetle</w:t>
      </w:r>
      <w:r w:rsidR="00361FA3">
        <w:t xml:space="preserve"> is native to northern Europe, northern Asia and northern Africa. It entered New </w:t>
      </w:r>
      <w:r w:rsidR="00D95049">
        <w:t xml:space="preserve">Zealand in the 1950s and has spread across </w:t>
      </w:r>
      <w:r w:rsidR="00361FA3" w:rsidRPr="006653BB">
        <w:t>the North and South islands. Hence,</w:t>
      </w:r>
      <w:r w:rsidR="00D95049">
        <w:t xml:space="preserve"> it poses a risk</w:t>
      </w:r>
      <w:r w:rsidR="00361FA3" w:rsidRPr="006653BB">
        <w:t xml:space="preserve"> on ships, imported timber and other cargo from New Zealand.</w:t>
      </w:r>
    </w:p>
    <w:p w14:paraId="7E6A9733" w14:textId="5D03E977" w:rsidR="00AB0E44" w:rsidRDefault="00361FA3">
      <w:pPr>
        <w:rPr>
          <w:lang w:eastAsia="ja-JP"/>
        </w:rPr>
      </w:pPr>
      <w:r w:rsidRPr="006653BB">
        <w:t>The flight season of adult beetles extends from November to April/May. The beetles are active from dusk to dawn and are attracted to lights on ships and at ports. During this</w:t>
      </w:r>
      <w:r>
        <w:t xml:space="preserve"> time, the department applies heightened surveillance to manage risks of vessels </w:t>
      </w:r>
      <w:r w:rsidR="00E36FF1">
        <w:t xml:space="preserve">that contain the beetle </w:t>
      </w:r>
      <w:r>
        <w:t xml:space="preserve">departing from New Zealand. This includes sending a </w:t>
      </w:r>
      <w:r w:rsidR="00061570">
        <w:rPr>
          <w:rFonts w:eastAsiaTheme="minorHAnsi" w:cs="Calibri"/>
        </w:rPr>
        <w:t xml:space="preserve">burnt pine longicorn beetle </w:t>
      </w:r>
      <w:r>
        <w:t xml:space="preserve">questionnaire to targeted vessels through MARS to determine whether a </w:t>
      </w:r>
      <w:r w:rsidR="00061570">
        <w:t xml:space="preserve">beetle </w:t>
      </w:r>
      <w:r>
        <w:t>inspection or other mitigation measures are required.</w:t>
      </w:r>
    </w:p>
    <w:p w14:paraId="5A377577" w14:textId="5E10F222" w:rsidR="00AB0E44" w:rsidRDefault="00361FA3">
      <w:r>
        <w:t xml:space="preserve">Between 2012 and 2017, 243 interceptions of </w:t>
      </w:r>
      <w:r w:rsidR="00061570">
        <w:rPr>
          <w:rFonts w:eastAsiaTheme="minorHAnsi" w:cs="Calibri"/>
        </w:rPr>
        <w:t>burnt pine longicorn beetle</w:t>
      </w:r>
      <w:r>
        <w:t xml:space="preserve"> were recorded in Australia, most on sea cargo and commercial vessels</w:t>
      </w:r>
      <w:r w:rsidR="005621AF">
        <w:t xml:space="preserve"> from New Zealan</w:t>
      </w:r>
      <w:r w:rsidR="00FF0C6D">
        <w:t>d</w:t>
      </w:r>
      <w:r>
        <w:t xml:space="preserve"> (</w:t>
      </w:r>
      <w:r>
        <w:fldChar w:fldCharType="begin"/>
      </w:r>
      <w:r>
        <w:instrText xml:space="preserve"> REF _Ref514148199 \h </w:instrText>
      </w:r>
      <w:r>
        <w:fldChar w:fldCharType="separate"/>
      </w:r>
      <w:r w:rsidR="007F78D8">
        <w:t xml:space="preserve">Table </w:t>
      </w:r>
      <w:r w:rsidR="007F78D8">
        <w:rPr>
          <w:noProof/>
        </w:rPr>
        <w:t>9</w:t>
      </w:r>
      <w:r>
        <w:fldChar w:fldCharType="end"/>
      </w:r>
      <w:r>
        <w:t>). Numerous beetles can be found during a single inspection. In January 2016, 600 beetles were detected on a cruise vessel from New Zealand.</w:t>
      </w:r>
    </w:p>
    <w:p w14:paraId="1490FA6C" w14:textId="77777777" w:rsidR="00AB0E44" w:rsidRDefault="00361FA3">
      <w:pPr>
        <w:pStyle w:val="Caption"/>
        <w:rPr>
          <w:noProof/>
        </w:rPr>
      </w:pPr>
      <w:bookmarkStart w:id="118" w:name="_Ref514148199"/>
      <w:bookmarkStart w:id="119" w:name="_Toc521069600"/>
      <w:r>
        <w:t xml:space="preserve">Table </w:t>
      </w:r>
      <w:r w:rsidR="00F21B3D">
        <w:rPr>
          <w:noProof/>
        </w:rPr>
        <w:fldChar w:fldCharType="begin"/>
      </w:r>
      <w:r w:rsidR="00F21B3D">
        <w:rPr>
          <w:noProof/>
        </w:rPr>
        <w:instrText xml:space="preserve"> SEQ Table \* ARABIC </w:instrText>
      </w:r>
      <w:r w:rsidR="00F21B3D">
        <w:rPr>
          <w:noProof/>
        </w:rPr>
        <w:fldChar w:fldCharType="separate"/>
      </w:r>
      <w:r w:rsidR="007F78D8">
        <w:rPr>
          <w:noProof/>
        </w:rPr>
        <w:t>9</w:t>
      </w:r>
      <w:r w:rsidR="00F21B3D">
        <w:rPr>
          <w:noProof/>
        </w:rPr>
        <w:fldChar w:fldCharType="end"/>
      </w:r>
      <w:bookmarkEnd w:id="118"/>
      <w:r>
        <w:rPr>
          <w:noProof/>
        </w:rPr>
        <w:t xml:space="preserve"> Burnt pine longicorn beetle interception, by pathway and country of origin, 2012–2017</w:t>
      </w:r>
      <w:bookmarkEnd w:id="119"/>
    </w:p>
    <w:tbl>
      <w:tblPr>
        <w:tblStyle w:val="PlainTable5"/>
        <w:tblW w:w="7088" w:type="dxa"/>
        <w:tblBorders>
          <w:top w:val="single" w:sz="4" w:space="0" w:color="auto"/>
          <w:bottom w:val="single" w:sz="4" w:space="0" w:color="auto"/>
        </w:tblBorders>
        <w:tblLayout w:type="fixed"/>
        <w:tblLook w:val="04A0" w:firstRow="1" w:lastRow="0" w:firstColumn="1" w:lastColumn="0" w:noHBand="0" w:noVBand="1"/>
      </w:tblPr>
      <w:tblGrid>
        <w:gridCol w:w="1560"/>
        <w:gridCol w:w="850"/>
        <w:gridCol w:w="851"/>
        <w:gridCol w:w="1134"/>
        <w:gridCol w:w="992"/>
        <w:gridCol w:w="992"/>
        <w:gridCol w:w="709"/>
      </w:tblGrid>
      <w:tr w:rsidR="00AB0E44" w14:paraId="638DDDE2" w14:textId="77777777" w:rsidTr="005B3E05">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1560" w:type="dxa"/>
            <w:tcBorders>
              <w:top w:val="single" w:sz="4" w:space="0" w:color="auto"/>
              <w:bottom w:val="nil"/>
            </w:tcBorders>
            <w:shd w:val="clear" w:color="auto" w:fill="auto"/>
          </w:tcPr>
          <w:p w14:paraId="18E3BA42" w14:textId="77777777" w:rsidR="00AB0E44" w:rsidRDefault="00361FA3">
            <w:pPr>
              <w:pStyle w:val="Tabletext"/>
              <w:jc w:val="left"/>
              <w:rPr>
                <w:b/>
                <w:i w:val="0"/>
                <w:lang w:eastAsia="ja-JP"/>
              </w:rPr>
            </w:pPr>
            <w:r>
              <w:rPr>
                <w:b/>
                <w:i w:val="0"/>
                <w:lang w:eastAsia="ja-JP"/>
              </w:rPr>
              <w:t>Country of origin</w:t>
            </w:r>
          </w:p>
        </w:tc>
        <w:tc>
          <w:tcPr>
            <w:tcW w:w="850" w:type="dxa"/>
            <w:tcBorders>
              <w:top w:val="single" w:sz="4" w:space="0" w:color="auto"/>
              <w:bottom w:val="nil"/>
            </w:tcBorders>
            <w:shd w:val="clear" w:color="auto" w:fill="auto"/>
          </w:tcPr>
          <w:p w14:paraId="736D3237" w14:textId="77777777" w:rsidR="00AB0E44" w:rsidRDefault="00361FA3">
            <w:pPr>
              <w:pStyle w:val="Tabletext"/>
              <w:cnfStyle w:val="100000000000" w:firstRow="1" w:lastRow="0" w:firstColumn="0" w:lastColumn="0" w:oddVBand="0" w:evenVBand="0" w:oddHBand="0" w:evenHBand="0" w:firstRowFirstColumn="0" w:firstRowLastColumn="0" w:lastRowFirstColumn="0" w:lastRowLastColumn="0"/>
              <w:rPr>
                <w:b/>
                <w:i w:val="0"/>
                <w:lang w:eastAsia="ja-JP"/>
              </w:rPr>
            </w:pPr>
            <w:r>
              <w:rPr>
                <w:b/>
                <w:i w:val="0"/>
                <w:lang w:eastAsia="ja-JP"/>
              </w:rPr>
              <w:t>Air baggage</w:t>
            </w:r>
          </w:p>
        </w:tc>
        <w:tc>
          <w:tcPr>
            <w:tcW w:w="851" w:type="dxa"/>
            <w:tcBorders>
              <w:top w:val="single" w:sz="4" w:space="0" w:color="auto"/>
              <w:bottom w:val="nil"/>
            </w:tcBorders>
            <w:shd w:val="clear" w:color="auto" w:fill="auto"/>
          </w:tcPr>
          <w:p w14:paraId="3F2C69AF" w14:textId="77777777" w:rsidR="00AB0E44" w:rsidRDefault="00361FA3">
            <w:pPr>
              <w:pStyle w:val="Tabletext"/>
              <w:cnfStyle w:val="100000000000" w:firstRow="1" w:lastRow="0" w:firstColumn="0" w:lastColumn="0" w:oddVBand="0" w:evenVBand="0" w:oddHBand="0" w:evenHBand="0" w:firstRowFirstColumn="0" w:firstRowLastColumn="0" w:lastRowFirstColumn="0" w:lastRowLastColumn="0"/>
              <w:rPr>
                <w:b/>
                <w:i w:val="0"/>
                <w:lang w:eastAsia="ja-JP"/>
              </w:rPr>
            </w:pPr>
            <w:r>
              <w:rPr>
                <w:b/>
                <w:i w:val="0"/>
                <w:lang w:eastAsia="ja-JP"/>
              </w:rPr>
              <w:t>Sea cargo</w:t>
            </w:r>
          </w:p>
        </w:tc>
        <w:tc>
          <w:tcPr>
            <w:tcW w:w="1134" w:type="dxa"/>
            <w:tcBorders>
              <w:top w:val="single" w:sz="4" w:space="0" w:color="auto"/>
              <w:bottom w:val="nil"/>
            </w:tcBorders>
            <w:shd w:val="clear" w:color="auto" w:fill="auto"/>
          </w:tcPr>
          <w:p w14:paraId="25DF223D" w14:textId="77777777" w:rsidR="00AB0E44" w:rsidRDefault="00361FA3">
            <w:pPr>
              <w:pStyle w:val="Tabletext"/>
              <w:cnfStyle w:val="100000000000" w:firstRow="1" w:lastRow="0" w:firstColumn="0" w:lastColumn="0" w:oddVBand="0" w:evenVBand="0" w:oddHBand="0" w:evenHBand="0" w:firstRowFirstColumn="0" w:firstRowLastColumn="0" w:lastRowFirstColumn="0" w:lastRowLastColumn="0"/>
              <w:rPr>
                <w:b/>
                <w:i w:val="0"/>
                <w:lang w:eastAsia="ja-JP"/>
              </w:rPr>
            </w:pPr>
            <w:r>
              <w:rPr>
                <w:b/>
                <w:i w:val="0"/>
                <w:lang w:eastAsia="ja-JP"/>
              </w:rPr>
              <w:t>Commercial vessel</w:t>
            </w:r>
          </w:p>
        </w:tc>
        <w:tc>
          <w:tcPr>
            <w:tcW w:w="992" w:type="dxa"/>
            <w:tcBorders>
              <w:top w:val="single" w:sz="4" w:space="0" w:color="auto"/>
              <w:bottom w:val="nil"/>
            </w:tcBorders>
            <w:shd w:val="clear" w:color="auto" w:fill="auto"/>
          </w:tcPr>
          <w:p w14:paraId="7C313275" w14:textId="77777777" w:rsidR="00AB0E44" w:rsidRDefault="00361FA3">
            <w:pPr>
              <w:pStyle w:val="Tabletext"/>
              <w:cnfStyle w:val="100000000000" w:firstRow="1" w:lastRow="0" w:firstColumn="0" w:lastColumn="0" w:oddVBand="0" w:evenVBand="0" w:oddHBand="0" w:evenHBand="0" w:firstRowFirstColumn="0" w:firstRowLastColumn="0" w:lastRowFirstColumn="0" w:lastRowLastColumn="0"/>
              <w:rPr>
                <w:b/>
                <w:i w:val="0"/>
                <w:lang w:eastAsia="ja-JP"/>
              </w:rPr>
            </w:pPr>
            <w:r>
              <w:rPr>
                <w:b/>
                <w:i w:val="0"/>
                <w:lang w:eastAsia="ja-JP"/>
              </w:rPr>
              <w:t>Empty container</w:t>
            </w:r>
          </w:p>
        </w:tc>
        <w:tc>
          <w:tcPr>
            <w:tcW w:w="992" w:type="dxa"/>
            <w:tcBorders>
              <w:top w:val="single" w:sz="4" w:space="0" w:color="auto"/>
              <w:bottom w:val="nil"/>
            </w:tcBorders>
            <w:shd w:val="clear" w:color="auto" w:fill="auto"/>
          </w:tcPr>
          <w:p w14:paraId="0669AA78" w14:textId="77777777" w:rsidR="00AB0E44" w:rsidRDefault="00361FA3">
            <w:pPr>
              <w:pStyle w:val="Tabletext"/>
              <w:cnfStyle w:val="100000000000" w:firstRow="1" w:lastRow="0" w:firstColumn="0" w:lastColumn="0" w:oddVBand="0" w:evenVBand="0" w:oddHBand="0" w:evenHBand="0" w:firstRowFirstColumn="0" w:firstRowLastColumn="0" w:lastRowFirstColumn="0" w:lastRowLastColumn="0"/>
              <w:rPr>
                <w:b/>
                <w:i w:val="0"/>
                <w:lang w:eastAsia="ja-JP"/>
              </w:rPr>
            </w:pPr>
            <w:r>
              <w:rPr>
                <w:b/>
                <w:i w:val="0"/>
                <w:lang w:eastAsia="ja-JP"/>
              </w:rPr>
              <w:t>FCL/LCL container</w:t>
            </w:r>
          </w:p>
        </w:tc>
        <w:tc>
          <w:tcPr>
            <w:tcW w:w="709" w:type="dxa"/>
            <w:tcBorders>
              <w:top w:val="single" w:sz="4" w:space="0" w:color="auto"/>
              <w:bottom w:val="nil"/>
            </w:tcBorders>
            <w:shd w:val="clear" w:color="auto" w:fill="auto"/>
          </w:tcPr>
          <w:p w14:paraId="1EBD69BB" w14:textId="77777777" w:rsidR="00AB0E44" w:rsidRDefault="00361FA3">
            <w:pPr>
              <w:pStyle w:val="Tabletext"/>
              <w:cnfStyle w:val="100000000000" w:firstRow="1" w:lastRow="0" w:firstColumn="0" w:lastColumn="0" w:oddVBand="0" w:evenVBand="0" w:oddHBand="0" w:evenHBand="0" w:firstRowFirstColumn="0" w:firstRowLastColumn="0" w:lastRowFirstColumn="0" w:lastRowLastColumn="0"/>
              <w:rPr>
                <w:b/>
                <w:i w:val="0"/>
                <w:lang w:eastAsia="ja-JP"/>
              </w:rPr>
            </w:pPr>
            <w:r>
              <w:rPr>
                <w:b/>
                <w:i w:val="0"/>
                <w:lang w:eastAsia="ja-JP"/>
              </w:rPr>
              <w:t>Total</w:t>
            </w:r>
          </w:p>
        </w:tc>
      </w:tr>
      <w:tr w:rsidR="00AB0E44" w14:paraId="1CE2F3E1" w14:textId="77777777" w:rsidTr="005B3E0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0" w:type="dxa"/>
            <w:tcBorders>
              <w:top w:val="nil"/>
              <w:right w:val="nil"/>
            </w:tcBorders>
            <w:shd w:val="clear" w:color="auto" w:fill="auto"/>
          </w:tcPr>
          <w:p w14:paraId="548614B9" w14:textId="77777777" w:rsidR="00AB0E44" w:rsidRDefault="00361FA3">
            <w:pPr>
              <w:pStyle w:val="Tabletext"/>
              <w:jc w:val="left"/>
              <w:rPr>
                <w:i w:val="0"/>
                <w:lang w:eastAsia="ja-JP"/>
              </w:rPr>
            </w:pPr>
            <w:r>
              <w:rPr>
                <w:i w:val="0"/>
                <w:lang w:eastAsia="ja-JP"/>
              </w:rPr>
              <w:t>New Zealand</w:t>
            </w:r>
          </w:p>
        </w:tc>
        <w:tc>
          <w:tcPr>
            <w:tcW w:w="850" w:type="dxa"/>
            <w:tcBorders>
              <w:top w:val="nil"/>
              <w:left w:val="nil"/>
              <w:bottom w:val="nil"/>
            </w:tcBorders>
            <w:shd w:val="clear" w:color="auto" w:fill="auto"/>
          </w:tcPr>
          <w:p w14:paraId="36D5CD15"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1</w:t>
            </w:r>
          </w:p>
        </w:tc>
        <w:tc>
          <w:tcPr>
            <w:tcW w:w="851" w:type="dxa"/>
            <w:tcBorders>
              <w:top w:val="nil"/>
            </w:tcBorders>
            <w:shd w:val="clear" w:color="auto" w:fill="auto"/>
          </w:tcPr>
          <w:p w14:paraId="43296A3B"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35</w:t>
            </w:r>
          </w:p>
        </w:tc>
        <w:tc>
          <w:tcPr>
            <w:tcW w:w="1134" w:type="dxa"/>
            <w:tcBorders>
              <w:top w:val="nil"/>
            </w:tcBorders>
            <w:shd w:val="clear" w:color="auto" w:fill="auto"/>
          </w:tcPr>
          <w:p w14:paraId="26DD3DD7"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175</w:t>
            </w:r>
          </w:p>
        </w:tc>
        <w:tc>
          <w:tcPr>
            <w:tcW w:w="992" w:type="dxa"/>
            <w:tcBorders>
              <w:top w:val="nil"/>
            </w:tcBorders>
            <w:shd w:val="clear" w:color="auto" w:fill="auto"/>
          </w:tcPr>
          <w:p w14:paraId="109A23DF"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0</w:t>
            </w:r>
          </w:p>
        </w:tc>
        <w:tc>
          <w:tcPr>
            <w:tcW w:w="992" w:type="dxa"/>
            <w:tcBorders>
              <w:top w:val="nil"/>
            </w:tcBorders>
            <w:shd w:val="clear" w:color="auto" w:fill="auto"/>
          </w:tcPr>
          <w:p w14:paraId="045ECF6C"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9</w:t>
            </w:r>
          </w:p>
        </w:tc>
        <w:tc>
          <w:tcPr>
            <w:tcW w:w="709" w:type="dxa"/>
            <w:tcBorders>
              <w:top w:val="nil"/>
            </w:tcBorders>
            <w:shd w:val="clear" w:color="auto" w:fill="auto"/>
          </w:tcPr>
          <w:p w14:paraId="4448188F"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220</w:t>
            </w:r>
          </w:p>
        </w:tc>
      </w:tr>
      <w:tr w:rsidR="00AB0E44" w14:paraId="622D1859" w14:textId="77777777" w:rsidTr="00AB0E44">
        <w:trPr>
          <w:trHeight w:val="74"/>
        </w:trPr>
        <w:tc>
          <w:tcPr>
            <w:cnfStyle w:val="001000000000" w:firstRow="0" w:lastRow="0" w:firstColumn="1" w:lastColumn="0" w:oddVBand="0" w:evenVBand="0" w:oddHBand="0" w:evenHBand="0" w:firstRowFirstColumn="0" w:firstRowLastColumn="0" w:lastRowFirstColumn="0" w:lastRowLastColumn="0"/>
            <w:tcW w:w="1560" w:type="dxa"/>
            <w:tcBorders>
              <w:right w:val="nil"/>
            </w:tcBorders>
            <w:shd w:val="clear" w:color="auto" w:fill="auto"/>
          </w:tcPr>
          <w:p w14:paraId="49B2AE9E" w14:textId="77777777" w:rsidR="00AB0E44" w:rsidRDefault="00361FA3">
            <w:pPr>
              <w:pStyle w:val="Tabletext"/>
              <w:jc w:val="left"/>
              <w:rPr>
                <w:i w:val="0"/>
                <w:lang w:eastAsia="ja-JP"/>
              </w:rPr>
            </w:pPr>
            <w:r>
              <w:rPr>
                <w:i w:val="0"/>
                <w:lang w:eastAsia="ja-JP"/>
              </w:rPr>
              <w:t>United States</w:t>
            </w:r>
          </w:p>
        </w:tc>
        <w:tc>
          <w:tcPr>
            <w:tcW w:w="850" w:type="dxa"/>
            <w:tcBorders>
              <w:top w:val="nil"/>
              <w:left w:val="nil"/>
              <w:bottom w:val="nil"/>
            </w:tcBorders>
            <w:shd w:val="clear" w:color="auto" w:fill="auto"/>
          </w:tcPr>
          <w:p w14:paraId="66E1BFDC"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0</w:t>
            </w:r>
          </w:p>
        </w:tc>
        <w:tc>
          <w:tcPr>
            <w:tcW w:w="851" w:type="dxa"/>
            <w:shd w:val="clear" w:color="auto" w:fill="auto"/>
          </w:tcPr>
          <w:p w14:paraId="7D8A3A4D"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0</w:t>
            </w:r>
          </w:p>
        </w:tc>
        <w:tc>
          <w:tcPr>
            <w:tcW w:w="1134" w:type="dxa"/>
            <w:shd w:val="clear" w:color="auto" w:fill="auto"/>
          </w:tcPr>
          <w:p w14:paraId="3AEBA4F1"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3</w:t>
            </w:r>
          </w:p>
        </w:tc>
        <w:tc>
          <w:tcPr>
            <w:tcW w:w="992" w:type="dxa"/>
            <w:shd w:val="clear" w:color="auto" w:fill="auto"/>
          </w:tcPr>
          <w:p w14:paraId="7D238CE3"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0</w:t>
            </w:r>
          </w:p>
        </w:tc>
        <w:tc>
          <w:tcPr>
            <w:tcW w:w="992" w:type="dxa"/>
            <w:shd w:val="clear" w:color="auto" w:fill="auto"/>
          </w:tcPr>
          <w:p w14:paraId="57E0CA6A"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0</w:t>
            </w:r>
          </w:p>
        </w:tc>
        <w:tc>
          <w:tcPr>
            <w:tcW w:w="709" w:type="dxa"/>
            <w:shd w:val="clear" w:color="auto" w:fill="auto"/>
          </w:tcPr>
          <w:p w14:paraId="65C2185A"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3</w:t>
            </w:r>
          </w:p>
        </w:tc>
      </w:tr>
      <w:tr w:rsidR="00AB0E44" w14:paraId="4CCF1819" w14:textId="77777777" w:rsidTr="00AB0E44">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560" w:type="dxa"/>
            <w:tcBorders>
              <w:right w:val="nil"/>
            </w:tcBorders>
            <w:shd w:val="clear" w:color="auto" w:fill="auto"/>
          </w:tcPr>
          <w:p w14:paraId="770BFE7F" w14:textId="77777777" w:rsidR="00AB0E44" w:rsidRDefault="00361FA3">
            <w:pPr>
              <w:pStyle w:val="Tabletext"/>
              <w:jc w:val="left"/>
              <w:rPr>
                <w:i w:val="0"/>
                <w:lang w:eastAsia="ja-JP"/>
              </w:rPr>
            </w:pPr>
            <w:r>
              <w:rPr>
                <w:i w:val="0"/>
                <w:lang w:eastAsia="ja-JP"/>
              </w:rPr>
              <w:t>Argentina</w:t>
            </w:r>
          </w:p>
        </w:tc>
        <w:tc>
          <w:tcPr>
            <w:tcW w:w="850" w:type="dxa"/>
            <w:tcBorders>
              <w:top w:val="nil"/>
              <w:left w:val="nil"/>
              <w:bottom w:val="nil"/>
            </w:tcBorders>
            <w:shd w:val="clear" w:color="auto" w:fill="auto"/>
          </w:tcPr>
          <w:p w14:paraId="222F4B1F"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0</w:t>
            </w:r>
          </w:p>
        </w:tc>
        <w:tc>
          <w:tcPr>
            <w:tcW w:w="851" w:type="dxa"/>
            <w:shd w:val="clear" w:color="auto" w:fill="auto"/>
          </w:tcPr>
          <w:p w14:paraId="0B6196D8"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0</w:t>
            </w:r>
          </w:p>
        </w:tc>
        <w:tc>
          <w:tcPr>
            <w:tcW w:w="1134" w:type="dxa"/>
            <w:shd w:val="clear" w:color="auto" w:fill="auto"/>
          </w:tcPr>
          <w:p w14:paraId="39E480E2"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1</w:t>
            </w:r>
          </w:p>
        </w:tc>
        <w:tc>
          <w:tcPr>
            <w:tcW w:w="992" w:type="dxa"/>
            <w:shd w:val="clear" w:color="auto" w:fill="auto"/>
          </w:tcPr>
          <w:p w14:paraId="0E314295"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0</w:t>
            </w:r>
          </w:p>
        </w:tc>
        <w:tc>
          <w:tcPr>
            <w:tcW w:w="992" w:type="dxa"/>
            <w:shd w:val="clear" w:color="auto" w:fill="auto"/>
          </w:tcPr>
          <w:p w14:paraId="12D417DD"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0</w:t>
            </w:r>
          </w:p>
        </w:tc>
        <w:tc>
          <w:tcPr>
            <w:tcW w:w="709" w:type="dxa"/>
            <w:shd w:val="clear" w:color="auto" w:fill="auto"/>
          </w:tcPr>
          <w:p w14:paraId="6DA42291"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1</w:t>
            </w:r>
          </w:p>
        </w:tc>
      </w:tr>
      <w:tr w:rsidR="00AB0E44" w14:paraId="131E1AFA" w14:textId="77777777" w:rsidTr="00AB0E44">
        <w:trPr>
          <w:trHeight w:val="74"/>
        </w:trPr>
        <w:tc>
          <w:tcPr>
            <w:cnfStyle w:val="001000000000" w:firstRow="0" w:lastRow="0" w:firstColumn="1" w:lastColumn="0" w:oddVBand="0" w:evenVBand="0" w:oddHBand="0" w:evenHBand="0" w:firstRowFirstColumn="0" w:firstRowLastColumn="0" w:lastRowFirstColumn="0" w:lastRowLastColumn="0"/>
            <w:tcW w:w="1560" w:type="dxa"/>
            <w:tcBorders>
              <w:right w:val="nil"/>
            </w:tcBorders>
            <w:shd w:val="clear" w:color="auto" w:fill="auto"/>
          </w:tcPr>
          <w:p w14:paraId="3FDC6800" w14:textId="77777777" w:rsidR="00AB0E44" w:rsidRDefault="00361FA3">
            <w:pPr>
              <w:pStyle w:val="Tabletext"/>
              <w:jc w:val="left"/>
              <w:rPr>
                <w:i w:val="0"/>
                <w:lang w:eastAsia="ja-JP"/>
              </w:rPr>
            </w:pPr>
            <w:r>
              <w:rPr>
                <w:i w:val="0"/>
                <w:lang w:eastAsia="ja-JP"/>
              </w:rPr>
              <w:t>Italy</w:t>
            </w:r>
          </w:p>
        </w:tc>
        <w:tc>
          <w:tcPr>
            <w:tcW w:w="850" w:type="dxa"/>
            <w:tcBorders>
              <w:top w:val="nil"/>
              <w:left w:val="nil"/>
              <w:bottom w:val="nil"/>
            </w:tcBorders>
            <w:shd w:val="clear" w:color="auto" w:fill="auto"/>
          </w:tcPr>
          <w:p w14:paraId="058E9794"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0</w:t>
            </w:r>
          </w:p>
        </w:tc>
        <w:tc>
          <w:tcPr>
            <w:tcW w:w="851" w:type="dxa"/>
            <w:shd w:val="clear" w:color="auto" w:fill="auto"/>
          </w:tcPr>
          <w:p w14:paraId="4A59B87F"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0</w:t>
            </w:r>
          </w:p>
        </w:tc>
        <w:tc>
          <w:tcPr>
            <w:tcW w:w="1134" w:type="dxa"/>
            <w:shd w:val="clear" w:color="auto" w:fill="auto"/>
          </w:tcPr>
          <w:p w14:paraId="6F07AEA9"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0</w:t>
            </w:r>
          </w:p>
        </w:tc>
        <w:tc>
          <w:tcPr>
            <w:tcW w:w="992" w:type="dxa"/>
            <w:shd w:val="clear" w:color="auto" w:fill="auto"/>
          </w:tcPr>
          <w:p w14:paraId="14C47106"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0</w:t>
            </w:r>
          </w:p>
        </w:tc>
        <w:tc>
          <w:tcPr>
            <w:tcW w:w="992" w:type="dxa"/>
            <w:shd w:val="clear" w:color="auto" w:fill="auto"/>
          </w:tcPr>
          <w:p w14:paraId="4F30AEBF"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1</w:t>
            </w:r>
          </w:p>
        </w:tc>
        <w:tc>
          <w:tcPr>
            <w:tcW w:w="709" w:type="dxa"/>
            <w:shd w:val="clear" w:color="auto" w:fill="auto"/>
          </w:tcPr>
          <w:p w14:paraId="19ACBEBD"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1</w:t>
            </w:r>
          </w:p>
        </w:tc>
      </w:tr>
      <w:tr w:rsidR="00AB0E44" w14:paraId="1B32AA69" w14:textId="77777777" w:rsidTr="00AB0E44">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560" w:type="dxa"/>
            <w:tcBorders>
              <w:right w:val="nil"/>
            </w:tcBorders>
            <w:shd w:val="clear" w:color="auto" w:fill="auto"/>
          </w:tcPr>
          <w:p w14:paraId="04FD92C9" w14:textId="77777777" w:rsidR="00AB0E44" w:rsidRDefault="00361FA3">
            <w:pPr>
              <w:pStyle w:val="Tabletext"/>
              <w:jc w:val="left"/>
              <w:rPr>
                <w:bCs/>
                <w:i w:val="0"/>
                <w:lang w:eastAsia="ja-JP"/>
              </w:rPr>
            </w:pPr>
            <w:r>
              <w:rPr>
                <w:i w:val="0"/>
                <w:lang w:eastAsia="ja-JP"/>
              </w:rPr>
              <w:t>Unknown</w:t>
            </w:r>
          </w:p>
        </w:tc>
        <w:tc>
          <w:tcPr>
            <w:tcW w:w="850" w:type="dxa"/>
            <w:tcBorders>
              <w:top w:val="nil"/>
              <w:left w:val="nil"/>
              <w:bottom w:val="nil"/>
            </w:tcBorders>
            <w:shd w:val="clear" w:color="auto" w:fill="auto"/>
          </w:tcPr>
          <w:p w14:paraId="0EF4D1B5"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0</w:t>
            </w:r>
          </w:p>
        </w:tc>
        <w:tc>
          <w:tcPr>
            <w:tcW w:w="851" w:type="dxa"/>
            <w:shd w:val="clear" w:color="auto" w:fill="auto"/>
          </w:tcPr>
          <w:p w14:paraId="611DD86E"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1</w:t>
            </w:r>
          </w:p>
        </w:tc>
        <w:tc>
          <w:tcPr>
            <w:tcW w:w="1134" w:type="dxa"/>
            <w:shd w:val="clear" w:color="auto" w:fill="auto"/>
          </w:tcPr>
          <w:p w14:paraId="5104DF55"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15</w:t>
            </w:r>
          </w:p>
        </w:tc>
        <w:tc>
          <w:tcPr>
            <w:tcW w:w="992" w:type="dxa"/>
            <w:shd w:val="clear" w:color="auto" w:fill="auto"/>
          </w:tcPr>
          <w:p w14:paraId="42F8A4E2"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1</w:t>
            </w:r>
          </w:p>
        </w:tc>
        <w:tc>
          <w:tcPr>
            <w:tcW w:w="992" w:type="dxa"/>
            <w:shd w:val="clear" w:color="auto" w:fill="auto"/>
          </w:tcPr>
          <w:p w14:paraId="57DA463F"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1</w:t>
            </w:r>
          </w:p>
        </w:tc>
        <w:tc>
          <w:tcPr>
            <w:tcW w:w="709" w:type="dxa"/>
            <w:shd w:val="clear" w:color="auto" w:fill="auto"/>
          </w:tcPr>
          <w:p w14:paraId="6BC5B80D"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bCs/>
                <w:lang w:eastAsia="ja-JP"/>
              </w:rPr>
            </w:pPr>
            <w:r>
              <w:rPr>
                <w:bCs/>
                <w:lang w:eastAsia="ja-JP"/>
              </w:rPr>
              <w:t>18</w:t>
            </w:r>
          </w:p>
        </w:tc>
      </w:tr>
      <w:tr w:rsidR="00AB0E44" w14:paraId="140DBA6D" w14:textId="77777777" w:rsidTr="00AB0E44">
        <w:trPr>
          <w:trHeight w:val="74"/>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uto"/>
              <w:right w:val="nil"/>
            </w:tcBorders>
            <w:shd w:val="clear" w:color="auto" w:fill="auto"/>
          </w:tcPr>
          <w:p w14:paraId="01C02FFA" w14:textId="77777777" w:rsidR="00AB0E44" w:rsidRDefault="00361FA3">
            <w:pPr>
              <w:pStyle w:val="Tabletext"/>
              <w:jc w:val="left"/>
              <w:rPr>
                <w:i w:val="0"/>
                <w:lang w:eastAsia="ja-JP"/>
              </w:rPr>
            </w:pPr>
            <w:r>
              <w:rPr>
                <w:i w:val="0"/>
                <w:lang w:eastAsia="ja-JP"/>
              </w:rPr>
              <w:t>Total</w:t>
            </w:r>
          </w:p>
        </w:tc>
        <w:tc>
          <w:tcPr>
            <w:tcW w:w="850" w:type="dxa"/>
            <w:tcBorders>
              <w:top w:val="nil"/>
              <w:left w:val="nil"/>
              <w:bottom w:val="single" w:sz="4" w:space="0" w:color="auto"/>
            </w:tcBorders>
            <w:shd w:val="clear" w:color="auto" w:fill="auto"/>
          </w:tcPr>
          <w:p w14:paraId="44FD3547"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1</w:t>
            </w:r>
          </w:p>
        </w:tc>
        <w:tc>
          <w:tcPr>
            <w:tcW w:w="851" w:type="dxa"/>
            <w:tcBorders>
              <w:bottom w:val="single" w:sz="4" w:space="0" w:color="auto"/>
            </w:tcBorders>
            <w:shd w:val="clear" w:color="auto" w:fill="auto"/>
          </w:tcPr>
          <w:p w14:paraId="40F1CC1F"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36</w:t>
            </w:r>
          </w:p>
        </w:tc>
        <w:tc>
          <w:tcPr>
            <w:tcW w:w="1134" w:type="dxa"/>
            <w:tcBorders>
              <w:bottom w:val="single" w:sz="4" w:space="0" w:color="auto"/>
            </w:tcBorders>
            <w:shd w:val="clear" w:color="auto" w:fill="auto"/>
          </w:tcPr>
          <w:p w14:paraId="17309E40"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194</w:t>
            </w:r>
          </w:p>
        </w:tc>
        <w:tc>
          <w:tcPr>
            <w:tcW w:w="992" w:type="dxa"/>
            <w:tcBorders>
              <w:bottom w:val="single" w:sz="4" w:space="0" w:color="auto"/>
            </w:tcBorders>
            <w:shd w:val="clear" w:color="auto" w:fill="auto"/>
          </w:tcPr>
          <w:p w14:paraId="3F33C0B0"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1</w:t>
            </w:r>
          </w:p>
        </w:tc>
        <w:tc>
          <w:tcPr>
            <w:tcW w:w="992" w:type="dxa"/>
            <w:tcBorders>
              <w:bottom w:val="single" w:sz="4" w:space="0" w:color="auto"/>
            </w:tcBorders>
            <w:shd w:val="clear" w:color="auto" w:fill="auto"/>
          </w:tcPr>
          <w:p w14:paraId="3F73E5B2"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Pr>
                <w:lang w:eastAsia="ja-JP"/>
              </w:rPr>
              <w:t>11</w:t>
            </w:r>
          </w:p>
        </w:tc>
        <w:tc>
          <w:tcPr>
            <w:tcW w:w="709" w:type="dxa"/>
            <w:tcBorders>
              <w:bottom w:val="single" w:sz="4" w:space="0" w:color="auto"/>
            </w:tcBorders>
            <w:shd w:val="clear" w:color="auto" w:fill="auto"/>
          </w:tcPr>
          <w:p w14:paraId="5C3FBB9F"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bCs/>
                <w:lang w:eastAsia="ja-JP"/>
              </w:rPr>
            </w:pPr>
            <w:r>
              <w:rPr>
                <w:bCs/>
                <w:lang w:eastAsia="ja-JP"/>
              </w:rPr>
              <w:t>243</w:t>
            </w:r>
          </w:p>
        </w:tc>
      </w:tr>
    </w:tbl>
    <w:p w14:paraId="6DB59E25" w14:textId="77777777" w:rsidR="00AB0E44" w:rsidRDefault="00361FA3">
      <w:pPr>
        <w:pStyle w:val="FigureTableNoteSource"/>
        <w:rPr>
          <w:lang w:eastAsia="en-AU"/>
        </w:rPr>
      </w:pPr>
      <w:r w:rsidRPr="005B3E05">
        <w:rPr>
          <w:rStyle w:val="Strong"/>
        </w:rPr>
        <w:t>FCL</w:t>
      </w:r>
      <w:r>
        <w:rPr>
          <w:lang w:eastAsia="en-AU"/>
        </w:rPr>
        <w:t xml:space="preserve"> Full container load. </w:t>
      </w:r>
      <w:r w:rsidRPr="005B3E05">
        <w:rPr>
          <w:rStyle w:val="Strong"/>
        </w:rPr>
        <w:t>LCL</w:t>
      </w:r>
      <w:r>
        <w:rPr>
          <w:lang w:eastAsia="en-AU"/>
        </w:rPr>
        <w:t xml:space="preserve"> Less than full container load.</w:t>
      </w:r>
    </w:p>
    <w:p w14:paraId="6B80D445" w14:textId="77777777" w:rsidR="00AB0E44" w:rsidRDefault="00361FA3">
      <w:pPr>
        <w:pStyle w:val="FigureTableNoteSource"/>
        <w:rPr>
          <w:lang w:eastAsia="en-AU"/>
        </w:rPr>
      </w:pPr>
      <w:r>
        <w:rPr>
          <w:lang w:eastAsia="en-AU"/>
        </w:rPr>
        <w:t>Source: Department of Agriculture and Water Resources</w:t>
      </w:r>
    </w:p>
    <w:p w14:paraId="5D5C6332" w14:textId="7C66E25E" w:rsidR="00AB0E44" w:rsidRDefault="00361FA3">
      <w:pPr>
        <w:pStyle w:val="Heading3"/>
        <w:spacing w:before="360"/>
        <w:rPr>
          <w:b w:val="0"/>
          <w:sz w:val="28"/>
          <w:lang w:eastAsia="ja-JP"/>
        </w:rPr>
      </w:pPr>
      <w:bookmarkStart w:id="120" w:name="_Toc521069556"/>
      <w:r>
        <w:rPr>
          <w:sz w:val="28"/>
          <w:lang w:eastAsia="ja-JP"/>
        </w:rPr>
        <w:t>Pre- and post-border cooperation on seasonal pest management</w:t>
      </w:r>
      <w:bookmarkEnd w:id="120"/>
    </w:p>
    <w:p w14:paraId="3C566435" w14:textId="7CF9A865" w:rsidR="00AB0E44" w:rsidRDefault="00361FA3">
      <w:pPr>
        <w:rPr>
          <w:lang w:eastAsia="ja-JP"/>
        </w:rPr>
      </w:pPr>
      <w:r>
        <w:rPr>
          <w:szCs w:val="24"/>
          <w:lang w:eastAsia="ja-JP"/>
        </w:rPr>
        <w:t xml:space="preserve">The three examples of seasonal hitchhiker pest management </w:t>
      </w:r>
      <w:r w:rsidR="007E61A2">
        <w:rPr>
          <w:szCs w:val="24"/>
          <w:lang w:eastAsia="ja-JP"/>
        </w:rPr>
        <w:t xml:space="preserve">given in sections 8.1, 8.2 and 8.3 </w:t>
      </w:r>
      <w:r>
        <w:rPr>
          <w:szCs w:val="24"/>
          <w:lang w:eastAsia="ja-JP"/>
        </w:rPr>
        <w:t xml:space="preserve">clearly demonstrate the value of Australia cooperating closely with other countries </w:t>
      </w:r>
      <w:r w:rsidR="007E61A2">
        <w:rPr>
          <w:szCs w:val="24"/>
          <w:lang w:eastAsia="ja-JP"/>
        </w:rPr>
        <w:t xml:space="preserve">that </w:t>
      </w:r>
      <w:r>
        <w:rPr>
          <w:szCs w:val="24"/>
          <w:lang w:eastAsia="ja-JP"/>
        </w:rPr>
        <w:t>shar</w:t>
      </w:r>
      <w:r w:rsidR="007E61A2">
        <w:rPr>
          <w:szCs w:val="24"/>
          <w:lang w:eastAsia="ja-JP"/>
        </w:rPr>
        <w:t>e</w:t>
      </w:r>
      <w:r>
        <w:rPr>
          <w:szCs w:val="24"/>
          <w:lang w:eastAsia="ja-JP"/>
        </w:rPr>
        <w:t xml:space="preserve"> the same threats, especially New Zealand, and with industry. It is most commendable that the </w:t>
      </w:r>
      <w:r>
        <w:rPr>
          <w:lang w:eastAsia="ja-JP"/>
        </w:rPr>
        <w:t xml:space="preserve">department continues to review and annually update the timing and targeting of seasonal pest programs to meet changing climatic and pest distribution patterns, in close cooperation with New Zealand and other relevant countries. Nevertheless, the serious challenge of </w:t>
      </w:r>
      <w:r w:rsidR="00061570">
        <w:t>brown marmorated stink bug</w:t>
      </w:r>
      <w:r>
        <w:rPr>
          <w:lang w:eastAsia="ja-JP"/>
        </w:rPr>
        <w:t xml:space="preserve"> in particular shows the need for targeted surveillance and risks mitigation </w:t>
      </w:r>
      <w:r>
        <w:rPr>
          <w:lang w:eastAsia="en-AU"/>
        </w:rPr>
        <w:t>near first ports of entry, container parks and intermodal transport hubs.</w:t>
      </w:r>
    </w:p>
    <w:p w14:paraId="3CC27E0C" w14:textId="77777777" w:rsidR="00847E6D" w:rsidRDefault="00847E6D">
      <w:pPr>
        <w:tabs>
          <w:tab w:val="clear" w:pos="567"/>
        </w:tabs>
        <w:spacing w:before="0" w:after="0"/>
        <w:rPr>
          <w:b/>
          <w:bCs/>
          <w:color w:val="404040"/>
          <w:szCs w:val="18"/>
        </w:rPr>
      </w:pPr>
      <w:r>
        <w:br w:type="page"/>
      </w:r>
    </w:p>
    <w:p w14:paraId="594F266F" w14:textId="3D3531C1" w:rsidR="00AB0E44" w:rsidRDefault="00361FA3" w:rsidP="005721A3">
      <w:pPr>
        <w:pStyle w:val="Caption"/>
        <w:spacing w:before="240"/>
      </w:pPr>
      <w:r>
        <w:t xml:space="preserve">Recommendation </w:t>
      </w:r>
      <w:r w:rsidR="00F21B3D">
        <w:rPr>
          <w:noProof/>
        </w:rPr>
        <w:fldChar w:fldCharType="begin"/>
      </w:r>
      <w:r w:rsidR="00F21B3D">
        <w:rPr>
          <w:noProof/>
        </w:rPr>
        <w:instrText xml:space="preserve"> SEQ Recommendation \* ARABIC </w:instrText>
      </w:r>
      <w:r w:rsidR="00F21B3D">
        <w:rPr>
          <w:noProof/>
        </w:rPr>
        <w:fldChar w:fldCharType="separate"/>
      </w:r>
      <w:r w:rsidR="007F78D8">
        <w:rPr>
          <w:noProof/>
        </w:rPr>
        <w:t>9</w:t>
      </w:r>
      <w:r w:rsidR="00F21B3D">
        <w:rPr>
          <w:noProof/>
        </w:rPr>
        <w:fldChar w:fldCharType="end"/>
      </w:r>
    </w:p>
    <w:p w14:paraId="4C8260B7" w14:textId="67FCF6A7" w:rsidR="00AB0E44" w:rsidRDefault="00987C74">
      <w:pPr>
        <w:pStyle w:val="BoxText"/>
      </w:pPr>
      <w:r w:rsidRPr="00987C74">
        <w:t>The department and state/territory government agencies, industry and port authorities should agree on and cost share measures for monitoring and minimising risks of hitchhiker pests near first points of entry, container parks, intermodal transport hubs and approved arrangement</w:t>
      </w:r>
      <w:r w:rsidR="00E13B9E">
        <w:t xml:space="preserve"> site</w:t>
      </w:r>
      <w:r w:rsidRPr="00987C74">
        <w:t>s.</w:t>
      </w:r>
    </w:p>
    <w:p w14:paraId="3DF51524" w14:textId="77777777" w:rsidR="002F1C95" w:rsidRPr="002F1C95" w:rsidRDefault="00361FA3" w:rsidP="002F1C95">
      <w:pPr>
        <w:pStyle w:val="BoxText"/>
        <w:rPr>
          <w:rStyle w:val="Strong"/>
          <w:b w:val="0"/>
        </w:rPr>
      </w:pPr>
      <w:r>
        <w:rPr>
          <w:rStyle w:val="Strong"/>
        </w:rPr>
        <w:t>Department’s response:</w:t>
      </w:r>
      <w:r w:rsidR="002F1C95">
        <w:rPr>
          <w:rStyle w:val="Strong"/>
          <w:b w:val="0"/>
        </w:rPr>
        <w:t xml:space="preserve"> </w:t>
      </w:r>
      <w:r w:rsidR="002F1C95" w:rsidRPr="002F1C95">
        <w:rPr>
          <w:rStyle w:val="Strong"/>
          <w:b w:val="0"/>
        </w:rPr>
        <w:t xml:space="preserve">Agreed in principle. </w:t>
      </w:r>
    </w:p>
    <w:p w14:paraId="40C53801" w14:textId="0383BBF5" w:rsidR="00AB0E44" w:rsidRPr="002F1C95" w:rsidRDefault="002F1C95" w:rsidP="002F1C95">
      <w:pPr>
        <w:pStyle w:val="BoxText"/>
        <w:rPr>
          <w:rStyle w:val="Strong"/>
          <w:b w:val="0"/>
        </w:rPr>
      </w:pPr>
      <w:r w:rsidRPr="002F1C95">
        <w:rPr>
          <w:rStyle w:val="Strong"/>
          <w:b w:val="0"/>
        </w:rPr>
        <w:t>The department will continue to consult and negotiate with all governments, as well as stakeholders, to build on the existing cost sharing arrangements.</w:t>
      </w:r>
    </w:p>
    <w:p w14:paraId="69024AF0" w14:textId="77777777" w:rsidR="00AB0E44" w:rsidRDefault="00361FA3">
      <w:pPr>
        <w:pStyle w:val="Heading2"/>
      </w:pPr>
      <w:bookmarkStart w:id="121" w:name="_Toc521069557"/>
      <w:bookmarkEnd w:id="108"/>
      <w:r>
        <w:t>Other key hitchhiker pests</w:t>
      </w:r>
      <w:bookmarkEnd w:id="121"/>
    </w:p>
    <w:p w14:paraId="1801CB75" w14:textId="77777777" w:rsidR="00AB0E44" w:rsidRDefault="00361FA3">
      <w:pPr>
        <w:pStyle w:val="Heading3"/>
      </w:pPr>
      <w:bookmarkStart w:id="122" w:name="_Toc521069558"/>
      <w:r>
        <w:t>Exotic invasive ants</w:t>
      </w:r>
      <w:bookmarkEnd w:id="122"/>
    </w:p>
    <w:p w14:paraId="17E6FB0F" w14:textId="05E1DC76" w:rsidR="00AB0E44" w:rsidRDefault="00361FA3">
      <w:pPr>
        <w:rPr>
          <w:lang w:eastAsia="en-AU"/>
        </w:rPr>
      </w:pPr>
      <w:r>
        <w:rPr>
          <w:lang w:eastAsia="en-AU"/>
        </w:rPr>
        <w:t>Exotic invasive ants are a diverse group of ant species</w:t>
      </w:r>
      <w:r w:rsidR="007E61A2">
        <w:rPr>
          <w:lang w:eastAsia="en-AU"/>
        </w:rPr>
        <w:t>.</w:t>
      </w:r>
      <w:r>
        <w:rPr>
          <w:lang w:eastAsia="en-AU"/>
        </w:rPr>
        <w:t xml:space="preserve"> </w:t>
      </w:r>
      <w:r w:rsidR="007E61A2">
        <w:rPr>
          <w:lang w:eastAsia="en-AU"/>
        </w:rPr>
        <w:t xml:space="preserve">They </w:t>
      </w:r>
      <w:r>
        <w:rPr>
          <w:lang w:eastAsia="en-AU"/>
        </w:rPr>
        <w:t>are very versatile and adaptable and rapidly establish and spread if introduced. Several are among the most serious global invasive pests</w:t>
      </w:r>
      <w:r w:rsidR="007E61A2">
        <w:rPr>
          <w:lang w:eastAsia="en-AU"/>
        </w:rPr>
        <w:t>.</w:t>
      </w:r>
      <w:r>
        <w:rPr>
          <w:lang w:eastAsia="en-AU"/>
        </w:rPr>
        <w:t xml:space="preserve"> </w:t>
      </w:r>
      <w:r w:rsidR="007E61A2">
        <w:rPr>
          <w:lang w:eastAsia="en-AU"/>
        </w:rPr>
        <w:t>S</w:t>
      </w:r>
      <w:r>
        <w:rPr>
          <w:lang w:eastAsia="en-AU"/>
        </w:rPr>
        <w:t>even species have national priority for management (</w:t>
      </w:r>
      <w:r w:rsidR="005B3E05">
        <w:rPr>
          <w:lang w:eastAsia="en-AU"/>
        </w:rPr>
        <w:fldChar w:fldCharType="begin"/>
      </w:r>
      <w:r w:rsidR="005B3E05">
        <w:rPr>
          <w:lang w:eastAsia="en-AU"/>
        </w:rPr>
        <w:instrText xml:space="preserve"> REF _Ref513829881 \h </w:instrText>
      </w:r>
      <w:r w:rsidR="005B3E05">
        <w:rPr>
          <w:lang w:eastAsia="en-AU"/>
        </w:rPr>
      </w:r>
      <w:r w:rsidR="005B3E05">
        <w:rPr>
          <w:lang w:eastAsia="en-AU"/>
        </w:rPr>
        <w:fldChar w:fldCharType="separate"/>
      </w:r>
      <w:r w:rsidR="007F78D8">
        <w:rPr>
          <w:lang w:eastAsia="en-AU"/>
        </w:rPr>
        <w:t xml:space="preserve">Table </w:t>
      </w:r>
      <w:r w:rsidR="007F78D8">
        <w:rPr>
          <w:noProof/>
          <w:lang w:eastAsia="en-AU"/>
        </w:rPr>
        <w:t>10</w:t>
      </w:r>
      <w:r w:rsidR="005B3E05">
        <w:rPr>
          <w:lang w:eastAsia="en-AU"/>
        </w:rPr>
        <w:fldChar w:fldCharType="end"/>
      </w:r>
      <w:r>
        <w:rPr>
          <w:lang w:eastAsia="en-AU"/>
        </w:rPr>
        <w:t>).</w:t>
      </w:r>
    </w:p>
    <w:p w14:paraId="133A20BB" w14:textId="486D5758" w:rsidR="00AB0E44" w:rsidRDefault="00361FA3">
      <w:pPr>
        <w:pStyle w:val="Caption"/>
        <w:spacing w:before="240"/>
        <w:rPr>
          <w:lang w:eastAsia="en-AU"/>
        </w:rPr>
      </w:pPr>
      <w:bookmarkStart w:id="123" w:name="_Ref513829881"/>
      <w:bookmarkStart w:id="124" w:name="_Toc521069601"/>
      <w:r>
        <w:rPr>
          <w:lang w:eastAsia="en-AU"/>
        </w:rPr>
        <w:t xml:space="preserve">Table </w:t>
      </w:r>
      <w:r>
        <w:rPr>
          <w:lang w:eastAsia="en-AU"/>
        </w:rPr>
        <w:fldChar w:fldCharType="begin"/>
      </w:r>
      <w:r>
        <w:rPr>
          <w:lang w:eastAsia="en-AU"/>
        </w:rPr>
        <w:instrText xml:space="preserve"> SEQ Table \* ARABIC </w:instrText>
      </w:r>
      <w:r>
        <w:rPr>
          <w:lang w:eastAsia="en-AU"/>
        </w:rPr>
        <w:fldChar w:fldCharType="separate"/>
      </w:r>
      <w:r w:rsidR="007F78D8">
        <w:rPr>
          <w:noProof/>
          <w:lang w:eastAsia="en-AU"/>
        </w:rPr>
        <w:t>10</w:t>
      </w:r>
      <w:r>
        <w:rPr>
          <w:lang w:eastAsia="en-AU"/>
        </w:rPr>
        <w:fldChar w:fldCharType="end"/>
      </w:r>
      <w:bookmarkEnd w:id="123"/>
      <w:r>
        <w:rPr>
          <w:lang w:eastAsia="en-AU"/>
        </w:rPr>
        <w:t xml:space="preserve"> Exotic invasive ant species of national importance and status, 2018</w:t>
      </w:r>
      <w:bookmarkEnd w:id="124"/>
    </w:p>
    <w:tbl>
      <w:tblPr>
        <w:tblStyle w:val="Style1"/>
        <w:tblW w:w="0" w:type="auto"/>
        <w:tblLook w:val="04A0" w:firstRow="1" w:lastRow="0" w:firstColumn="1" w:lastColumn="0" w:noHBand="0" w:noVBand="1"/>
      </w:tblPr>
      <w:tblGrid>
        <w:gridCol w:w="3544"/>
        <w:gridCol w:w="3827"/>
        <w:gridCol w:w="1870"/>
      </w:tblGrid>
      <w:tr w:rsidR="00AB0E44" w14:paraId="3882E648" w14:textId="77777777" w:rsidTr="005B3E05">
        <w:trPr>
          <w:cnfStyle w:val="100000000000" w:firstRow="1" w:lastRow="0" w:firstColumn="0" w:lastColumn="0" w:oddVBand="0" w:evenVBand="0" w:oddHBand="0" w:evenHBand="0" w:firstRowFirstColumn="0" w:firstRowLastColumn="0" w:lastRowFirstColumn="0" w:lastRowLastColumn="0"/>
          <w:trHeight w:val="83"/>
          <w:tblHeader/>
        </w:trPr>
        <w:tc>
          <w:tcPr>
            <w:cnfStyle w:val="001000000000" w:firstRow="0" w:lastRow="0" w:firstColumn="1" w:lastColumn="0" w:oddVBand="0" w:evenVBand="0" w:oddHBand="0" w:evenHBand="0" w:firstRowFirstColumn="0" w:firstRowLastColumn="0" w:lastRowFirstColumn="0" w:lastRowLastColumn="0"/>
            <w:tcW w:w="3544" w:type="dxa"/>
          </w:tcPr>
          <w:p w14:paraId="380654D7" w14:textId="77777777" w:rsidR="00AB0E44" w:rsidRDefault="00361FA3">
            <w:pPr>
              <w:pStyle w:val="Tabletext"/>
              <w:rPr>
                <w:lang w:eastAsia="en-AU"/>
              </w:rPr>
            </w:pPr>
            <w:r>
              <w:rPr>
                <w:lang w:eastAsia="en-AU"/>
              </w:rPr>
              <w:t>Species</w:t>
            </w:r>
          </w:p>
        </w:tc>
        <w:tc>
          <w:tcPr>
            <w:tcW w:w="3827" w:type="dxa"/>
          </w:tcPr>
          <w:p w14:paraId="65F18AB4" w14:textId="77777777" w:rsidR="00AB0E44" w:rsidRDefault="00361FA3">
            <w:pPr>
              <w:pStyle w:val="Tabletext"/>
              <w:cnfStyle w:val="100000000000" w:firstRow="1" w:lastRow="0" w:firstColumn="0" w:lastColumn="0" w:oddVBand="0" w:evenVBand="0" w:oddHBand="0" w:evenHBand="0" w:firstRowFirstColumn="0" w:firstRowLastColumn="0" w:lastRowFirstColumn="0" w:lastRowLastColumn="0"/>
              <w:rPr>
                <w:lang w:eastAsia="en-AU"/>
              </w:rPr>
            </w:pPr>
            <w:r>
              <w:rPr>
                <w:lang w:eastAsia="en-AU"/>
              </w:rPr>
              <w:t>Status</w:t>
            </w:r>
          </w:p>
        </w:tc>
        <w:tc>
          <w:tcPr>
            <w:tcW w:w="1870" w:type="dxa"/>
          </w:tcPr>
          <w:p w14:paraId="7E6309FB" w14:textId="77777777" w:rsidR="00AB0E44" w:rsidRDefault="00361FA3">
            <w:pPr>
              <w:pStyle w:val="Tabletext"/>
              <w:cnfStyle w:val="100000000000" w:firstRow="1" w:lastRow="0" w:firstColumn="0" w:lastColumn="0" w:oddVBand="0" w:evenVBand="0" w:oddHBand="0" w:evenHBand="0" w:firstRowFirstColumn="0" w:firstRowLastColumn="0" w:lastRowFirstColumn="0" w:lastRowLastColumn="0"/>
              <w:rPr>
                <w:lang w:eastAsia="en-AU"/>
              </w:rPr>
            </w:pPr>
            <w:r>
              <w:rPr>
                <w:lang w:eastAsia="en-AU"/>
              </w:rPr>
              <w:t>Eradication program</w:t>
            </w:r>
          </w:p>
        </w:tc>
      </w:tr>
      <w:tr w:rsidR="00AB0E44" w14:paraId="0E1D05EA" w14:textId="77777777" w:rsidTr="00AB0E44">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3544" w:type="dxa"/>
          </w:tcPr>
          <w:p w14:paraId="10C93AFD" w14:textId="77777777" w:rsidR="00AB0E44" w:rsidRDefault="00361FA3">
            <w:pPr>
              <w:pStyle w:val="Tabletext"/>
              <w:rPr>
                <w:lang w:eastAsia="en-AU"/>
              </w:rPr>
            </w:pPr>
            <w:r>
              <w:rPr>
                <w:lang w:eastAsia="en-AU"/>
              </w:rPr>
              <w:t>Red imported fire ant (</w:t>
            </w:r>
            <w:proofErr w:type="spellStart"/>
            <w:r>
              <w:rPr>
                <w:i/>
                <w:lang w:eastAsia="en-AU"/>
              </w:rPr>
              <w:t>Solenopsis</w:t>
            </w:r>
            <w:proofErr w:type="spellEnd"/>
            <w:r>
              <w:rPr>
                <w:i/>
                <w:lang w:eastAsia="en-AU"/>
              </w:rPr>
              <w:t xml:space="preserve"> </w:t>
            </w:r>
            <w:proofErr w:type="spellStart"/>
            <w:r>
              <w:rPr>
                <w:i/>
                <w:lang w:eastAsia="en-AU"/>
              </w:rPr>
              <w:t>invicta</w:t>
            </w:r>
            <w:proofErr w:type="spellEnd"/>
            <w:r>
              <w:rPr>
                <w:lang w:eastAsia="en-AU"/>
              </w:rPr>
              <w:t>)</w:t>
            </w:r>
          </w:p>
        </w:tc>
        <w:tc>
          <w:tcPr>
            <w:tcW w:w="3827" w:type="dxa"/>
            <w:tcBorders>
              <w:top w:val="nil"/>
              <w:bottom w:val="nil"/>
            </w:tcBorders>
            <w:shd w:val="clear" w:color="auto" w:fill="auto"/>
          </w:tcPr>
          <w:p w14:paraId="12E8C5CB" w14:textId="77777777" w:rsidR="00AB0E44" w:rsidRDefault="00361FA3">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Localised incursions (NSW and Qld)</w:t>
            </w:r>
          </w:p>
        </w:tc>
        <w:tc>
          <w:tcPr>
            <w:tcW w:w="1870" w:type="dxa"/>
            <w:tcBorders>
              <w:top w:val="nil"/>
              <w:bottom w:val="nil"/>
            </w:tcBorders>
            <w:shd w:val="clear" w:color="auto" w:fill="auto"/>
          </w:tcPr>
          <w:p w14:paraId="06F8B3F9" w14:textId="77777777" w:rsidR="00AB0E44" w:rsidRDefault="00361FA3">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Yes (since 2001)</w:t>
            </w:r>
          </w:p>
        </w:tc>
      </w:tr>
      <w:tr w:rsidR="00AB0E44" w14:paraId="56B80718" w14:textId="77777777" w:rsidTr="00AB0E44">
        <w:trPr>
          <w:trHeight w:val="87"/>
        </w:trPr>
        <w:tc>
          <w:tcPr>
            <w:cnfStyle w:val="001000000000" w:firstRow="0" w:lastRow="0" w:firstColumn="1" w:lastColumn="0" w:oddVBand="0" w:evenVBand="0" w:oddHBand="0" w:evenHBand="0" w:firstRowFirstColumn="0" w:firstRowLastColumn="0" w:lastRowFirstColumn="0" w:lastRowLastColumn="0"/>
            <w:tcW w:w="3544" w:type="dxa"/>
          </w:tcPr>
          <w:p w14:paraId="0A78AD2A" w14:textId="77777777" w:rsidR="00AB0E44" w:rsidRDefault="00361FA3">
            <w:pPr>
              <w:pStyle w:val="Tabletext"/>
              <w:rPr>
                <w:lang w:eastAsia="en-AU"/>
              </w:rPr>
            </w:pPr>
            <w:r>
              <w:rPr>
                <w:lang w:eastAsia="en-AU"/>
              </w:rPr>
              <w:t>Yellow crazy ant (</w:t>
            </w:r>
            <w:proofErr w:type="spellStart"/>
            <w:r>
              <w:rPr>
                <w:i/>
                <w:lang w:eastAsia="en-AU"/>
              </w:rPr>
              <w:t>Anoplolepis</w:t>
            </w:r>
            <w:proofErr w:type="spellEnd"/>
            <w:r>
              <w:rPr>
                <w:i/>
                <w:lang w:eastAsia="en-AU"/>
              </w:rPr>
              <w:t xml:space="preserve"> </w:t>
            </w:r>
            <w:proofErr w:type="spellStart"/>
            <w:r>
              <w:rPr>
                <w:i/>
                <w:lang w:eastAsia="en-AU"/>
              </w:rPr>
              <w:t>gracilipes</w:t>
            </w:r>
            <w:proofErr w:type="spellEnd"/>
            <w:r>
              <w:rPr>
                <w:lang w:eastAsia="en-AU"/>
              </w:rPr>
              <w:t>)</w:t>
            </w:r>
          </w:p>
        </w:tc>
        <w:tc>
          <w:tcPr>
            <w:tcW w:w="3827" w:type="dxa"/>
            <w:tcBorders>
              <w:top w:val="nil"/>
              <w:bottom w:val="nil"/>
            </w:tcBorders>
          </w:tcPr>
          <w:p w14:paraId="5297DEDA" w14:textId="77777777" w:rsidR="00AB0E44" w:rsidRDefault="00361FA3">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Localised incursions (Qld, NT and Christmas Island)</w:t>
            </w:r>
          </w:p>
        </w:tc>
        <w:tc>
          <w:tcPr>
            <w:tcW w:w="1870" w:type="dxa"/>
            <w:tcBorders>
              <w:top w:val="nil"/>
              <w:bottom w:val="nil"/>
            </w:tcBorders>
          </w:tcPr>
          <w:p w14:paraId="274D2CAF" w14:textId="0CA0E025" w:rsidR="00AB0E44" w:rsidRDefault="00361FA3" w:rsidP="00970634">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Yes (Wet Tropics World Heritage </w:t>
            </w:r>
            <w:r w:rsidR="0003300A">
              <w:rPr>
                <w:lang w:eastAsia="en-AU"/>
              </w:rPr>
              <w:t>A</w:t>
            </w:r>
            <w:r>
              <w:rPr>
                <w:lang w:eastAsia="en-AU"/>
              </w:rPr>
              <w:t xml:space="preserve">rea; since </w:t>
            </w:r>
            <w:r w:rsidR="00970634">
              <w:rPr>
                <w:lang w:eastAsia="en-AU"/>
              </w:rPr>
              <w:t>2014</w:t>
            </w:r>
            <w:r>
              <w:rPr>
                <w:lang w:eastAsia="en-AU"/>
              </w:rPr>
              <w:t>)</w:t>
            </w:r>
            <w:r w:rsidR="00970634">
              <w:rPr>
                <w:lang w:eastAsia="en-AU"/>
              </w:rPr>
              <w:t>; Townsville since 2017</w:t>
            </w:r>
          </w:p>
        </w:tc>
      </w:tr>
      <w:tr w:rsidR="00AB0E44" w14:paraId="2D54E805" w14:textId="77777777" w:rsidTr="00AB0E44">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3544" w:type="dxa"/>
          </w:tcPr>
          <w:p w14:paraId="6CF51588" w14:textId="77777777" w:rsidR="00AB0E44" w:rsidRDefault="00361FA3">
            <w:pPr>
              <w:pStyle w:val="Tabletext"/>
              <w:rPr>
                <w:lang w:eastAsia="en-AU"/>
              </w:rPr>
            </w:pPr>
            <w:r>
              <w:rPr>
                <w:lang w:eastAsia="en-AU"/>
              </w:rPr>
              <w:t>African big-headed ant or Coastal brown ant (</w:t>
            </w:r>
            <w:proofErr w:type="spellStart"/>
            <w:r>
              <w:rPr>
                <w:i/>
                <w:lang w:eastAsia="en-AU"/>
              </w:rPr>
              <w:t>Pheidole</w:t>
            </w:r>
            <w:proofErr w:type="spellEnd"/>
            <w:r>
              <w:rPr>
                <w:i/>
                <w:lang w:eastAsia="en-AU"/>
              </w:rPr>
              <w:t xml:space="preserve"> </w:t>
            </w:r>
            <w:proofErr w:type="spellStart"/>
            <w:r>
              <w:rPr>
                <w:i/>
                <w:lang w:eastAsia="en-AU"/>
              </w:rPr>
              <w:t>megacephala</w:t>
            </w:r>
            <w:proofErr w:type="spellEnd"/>
            <w:r>
              <w:rPr>
                <w:lang w:eastAsia="en-AU"/>
              </w:rPr>
              <w:t>)</w:t>
            </w:r>
          </w:p>
        </w:tc>
        <w:tc>
          <w:tcPr>
            <w:tcW w:w="3827" w:type="dxa"/>
            <w:tcBorders>
              <w:top w:val="nil"/>
              <w:bottom w:val="nil"/>
            </w:tcBorders>
            <w:shd w:val="clear" w:color="auto" w:fill="auto"/>
          </w:tcPr>
          <w:p w14:paraId="1147FF3D" w14:textId="77777777" w:rsidR="00AB0E44" w:rsidRDefault="00361FA3">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Widely established (NSW, Qld, WA and NT)</w:t>
            </w:r>
          </w:p>
        </w:tc>
        <w:tc>
          <w:tcPr>
            <w:tcW w:w="1870" w:type="dxa"/>
            <w:tcBorders>
              <w:top w:val="nil"/>
              <w:bottom w:val="nil"/>
            </w:tcBorders>
            <w:shd w:val="clear" w:color="auto" w:fill="auto"/>
          </w:tcPr>
          <w:p w14:paraId="12179251" w14:textId="12C3A0A5" w:rsidR="00AB0E44" w:rsidRDefault="00970634">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Yes (Lord Howe Island)</w:t>
            </w:r>
          </w:p>
        </w:tc>
      </w:tr>
      <w:tr w:rsidR="00AB0E44" w14:paraId="772CC857" w14:textId="77777777" w:rsidTr="00AB0E44">
        <w:trPr>
          <w:trHeight w:val="258"/>
        </w:trPr>
        <w:tc>
          <w:tcPr>
            <w:cnfStyle w:val="001000000000" w:firstRow="0" w:lastRow="0" w:firstColumn="1" w:lastColumn="0" w:oddVBand="0" w:evenVBand="0" w:oddHBand="0" w:evenHBand="0" w:firstRowFirstColumn="0" w:firstRowLastColumn="0" w:lastRowFirstColumn="0" w:lastRowLastColumn="0"/>
            <w:tcW w:w="3544" w:type="dxa"/>
          </w:tcPr>
          <w:p w14:paraId="2D55E34E" w14:textId="77777777" w:rsidR="00AB0E44" w:rsidRDefault="00361FA3">
            <w:pPr>
              <w:pStyle w:val="Tabletext"/>
              <w:rPr>
                <w:lang w:eastAsia="en-AU"/>
              </w:rPr>
            </w:pPr>
            <w:r>
              <w:rPr>
                <w:lang w:eastAsia="en-AU"/>
              </w:rPr>
              <w:t>Argentine ant (</w:t>
            </w:r>
            <w:proofErr w:type="spellStart"/>
            <w:r>
              <w:rPr>
                <w:i/>
                <w:lang w:eastAsia="en-AU"/>
              </w:rPr>
              <w:t>Linepithema</w:t>
            </w:r>
            <w:proofErr w:type="spellEnd"/>
            <w:r>
              <w:rPr>
                <w:i/>
                <w:lang w:eastAsia="en-AU"/>
              </w:rPr>
              <w:t xml:space="preserve"> </w:t>
            </w:r>
            <w:proofErr w:type="spellStart"/>
            <w:r>
              <w:rPr>
                <w:i/>
                <w:lang w:eastAsia="en-AU"/>
              </w:rPr>
              <w:t>humile</w:t>
            </w:r>
            <w:proofErr w:type="spellEnd"/>
            <w:r>
              <w:rPr>
                <w:lang w:eastAsia="en-AU"/>
              </w:rPr>
              <w:t>)</w:t>
            </w:r>
          </w:p>
        </w:tc>
        <w:tc>
          <w:tcPr>
            <w:tcW w:w="3827" w:type="dxa"/>
            <w:tcBorders>
              <w:top w:val="nil"/>
              <w:bottom w:val="nil"/>
            </w:tcBorders>
          </w:tcPr>
          <w:p w14:paraId="52FDF8DB" w14:textId="77777777" w:rsidR="00AB0E44" w:rsidRDefault="00361FA3">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Widely established (NSW, Vic., SA, WA, Tas. and ACT), localised incursion (Norfolk Island)</w:t>
            </w:r>
          </w:p>
        </w:tc>
        <w:tc>
          <w:tcPr>
            <w:tcW w:w="1870" w:type="dxa"/>
            <w:tcBorders>
              <w:top w:val="nil"/>
              <w:bottom w:val="nil"/>
            </w:tcBorders>
          </w:tcPr>
          <w:p w14:paraId="7440DB5F" w14:textId="77777777" w:rsidR="00AB0E44" w:rsidRDefault="00361FA3">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Yes (Norfolk Island)</w:t>
            </w:r>
          </w:p>
        </w:tc>
      </w:tr>
      <w:tr w:rsidR="00AB0E44" w14:paraId="36D66ECB" w14:textId="77777777" w:rsidTr="00AB0E44">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544" w:type="dxa"/>
          </w:tcPr>
          <w:p w14:paraId="0C0EA320" w14:textId="77777777" w:rsidR="00AB0E44" w:rsidRDefault="00361FA3">
            <w:pPr>
              <w:pStyle w:val="Tabletext"/>
              <w:rPr>
                <w:lang w:eastAsia="en-AU"/>
              </w:rPr>
            </w:pPr>
            <w:r>
              <w:rPr>
                <w:lang w:eastAsia="en-AU"/>
              </w:rPr>
              <w:t>Electric ant (</w:t>
            </w:r>
            <w:proofErr w:type="spellStart"/>
            <w:r>
              <w:rPr>
                <w:i/>
                <w:lang w:eastAsia="en-AU"/>
              </w:rPr>
              <w:t>Wasmannia</w:t>
            </w:r>
            <w:proofErr w:type="spellEnd"/>
            <w:r>
              <w:rPr>
                <w:i/>
                <w:lang w:eastAsia="en-AU"/>
              </w:rPr>
              <w:t xml:space="preserve"> </w:t>
            </w:r>
            <w:proofErr w:type="spellStart"/>
            <w:r>
              <w:rPr>
                <w:i/>
                <w:lang w:eastAsia="en-AU"/>
              </w:rPr>
              <w:t>auropunctata</w:t>
            </w:r>
            <w:proofErr w:type="spellEnd"/>
            <w:r>
              <w:rPr>
                <w:lang w:eastAsia="en-AU"/>
              </w:rPr>
              <w:t>)</w:t>
            </w:r>
          </w:p>
        </w:tc>
        <w:tc>
          <w:tcPr>
            <w:tcW w:w="3827" w:type="dxa"/>
            <w:tcBorders>
              <w:top w:val="nil"/>
              <w:bottom w:val="nil"/>
            </w:tcBorders>
            <w:shd w:val="clear" w:color="auto" w:fill="auto"/>
          </w:tcPr>
          <w:p w14:paraId="2894BD4C" w14:textId="77777777" w:rsidR="00AB0E44" w:rsidRDefault="00361FA3">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Localised incursions (Qld)</w:t>
            </w:r>
          </w:p>
        </w:tc>
        <w:tc>
          <w:tcPr>
            <w:tcW w:w="1870" w:type="dxa"/>
            <w:tcBorders>
              <w:top w:val="nil"/>
              <w:bottom w:val="nil"/>
            </w:tcBorders>
            <w:shd w:val="clear" w:color="auto" w:fill="auto"/>
          </w:tcPr>
          <w:p w14:paraId="6D2EC8B3" w14:textId="77777777" w:rsidR="00AB0E44" w:rsidRDefault="00361FA3">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Yes (since 2006)</w:t>
            </w:r>
          </w:p>
        </w:tc>
      </w:tr>
      <w:tr w:rsidR="00AB0E44" w14:paraId="74E44FD0" w14:textId="77777777" w:rsidTr="00AB0E44">
        <w:trPr>
          <w:trHeight w:val="363"/>
        </w:trPr>
        <w:tc>
          <w:tcPr>
            <w:cnfStyle w:val="001000000000" w:firstRow="0" w:lastRow="0" w:firstColumn="1" w:lastColumn="0" w:oddVBand="0" w:evenVBand="0" w:oddHBand="0" w:evenHBand="0" w:firstRowFirstColumn="0" w:firstRowLastColumn="0" w:lastRowFirstColumn="0" w:lastRowLastColumn="0"/>
            <w:tcW w:w="3544" w:type="dxa"/>
          </w:tcPr>
          <w:p w14:paraId="5B652DA6" w14:textId="77777777" w:rsidR="00AB0E44" w:rsidRDefault="00361FA3">
            <w:pPr>
              <w:pStyle w:val="Tabletext"/>
              <w:rPr>
                <w:lang w:eastAsia="en-AU"/>
              </w:rPr>
            </w:pPr>
            <w:r>
              <w:rPr>
                <w:lang w:eastAsia="en-AU"/>
              </w:rPr>
              <w:t>Tropical fire ant (</w:t>
            </w:r>
            <w:proofErr w:type="spellStart"/>
            <w:r>
              <w:rPr>
                <w:i/>
                <w:lang w:eastAsia="en-AU"/>
              </w:rPr>
              <w:t>Solenopsi</w:t>
            </w:r>
            <w:r>
              <w:rPr>
                <w:lang w:eastAsia="en-AU"/>
              </w:rPr>
              <w:t>s</w:t>
            </w:r>
            <w:proofErr w:type="spellEnd"/>
            <w:r>
              <w:rPr>
                <w:lang w:eastAsia="en-AU"/>
              </w:rPr>
              <w:t xml:space="preserve"> </w:t>
            </w:r>
            <w:proofErr w:type="spellStart"/>
            <w:r>
              <w:rPr>
                <w:i/>
                <w:lang w:eastAsia="en-AU"/>
              </w:rPr>
              <w:t>geminata</w:t>
            </w:r>
            <w:proofErr w:type="spellEnd"/>
            <w:r>
              <w:rPr>
                <w:lang w:eastAsia="en-AU"/>
              </w:rPr>
              <w:t>)</w:t>
            </w:r>
          </w:p>
        </w:tc>
        <w:tc>
          <w:tcPr>
            <w:tcW w:w="3827" w:type="dxa"/>
            <w:tcBorders>
              <w:top w:val="nil"/>
              <w:bottom w:val="nil"/>
            </w:tcBorders>
          </w:tcPr>
          <w:p w14:paraId="53951338" w14:textId="77777777" w:rsidR="00AB0E44" w:rsidRDefault="00361FA3">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Localised incursions (NT, Christmas Island, Cocos Island, Ashmore Reef)</w:t>
            </w:r>
          </w:p>
        </w:tc>
        <w:tc>
          <w:tcPr>
            <w:tcW w:w="1870" w:type="dxa"/>
            <w:tcBorders>
              <w:top w:val="nil"/>
              <w:bottom w:val="nil"/>
            </w:tcBorders>
          </w:tcPr>
          <w:p w14:paraId="190F23FD" w14:textId="77777777" w:rsidR="00AB0E44" w:rsidRDefault="00361FA3">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Yes (Ashmore Reef, Tiwi Islands)</w:t>
            </w:r>
          </w:p>
        </w:tc>
      </w:tr>
      <w:tr w:rsidR="00AB0E44" w14:paraId="4C8700C6" w14:textId="77777777" w:rsidTr="00AB0E44">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44" w:type="dxa"/>
          </w:tcPr>
          <w:p w14:paraId="75D6D386" w14:textId="77777777" w:rsidR="00AB0E44" w:rsidRDefault="00361FA3">
            <w:pPr>
              <w:pStyle w:val="Tabletext"/>
              <w:rPr>
                <w:lang w:eastAsia="en-AU"/>
              </w:rPr>
            </w:pPr>
            <w:r>
              <w:rPr>
                <w:lang w:eastAsia="en-AU"/>
              </w:rPr>
              <w:t>Browsing ant (</w:t>
            </w:r>
            <w:proofErr w:type="spellStart"/>
            <w:r>
              <w:rPr>
                <w:i/>
                <w:lang w:eastAsia="en-AU"/>
              </w:rPr>
              <w:t>Lepisiota</w:t>
            </w:r>
            <w:proofErr w:type="spellEnd"/>
            <w:r>
              <w:rPr>
                <w:i/>
                <w:lang w:eastAsia="en-AU"/>
              </w:rPr>
              <w:t xml:space="preserve"> </w:t>
            </w:r>
            <w:proofErr w:type="spellStart"/>
            <w:r>
              <w:rPr>
                <w:i/>
                <w:lang w:eastAsia="en-AU"/>
              </w:rPr>
              <w:t>frauenfeldi</w:t>
            </w:r>
            <w:proofErr w:type="spellEnd"/>
            <w:r>
              <w:rPr>
                <w:lang w:eastAsia="en-AU"/>
              </w:rPr>
              <w:t>)</w:t>
            </w:r>
          </w:p>
        </w:tc>
        <w:tc>
          <w:tcPr>
            <w:tcW w:w="3827" w:type="dxa"/>
            <w:tcBorders>
              <w:top w:val="nil"/>
              <w:bottom w:val="single" w:sz="8" w:space="0" w:color="000000"/>
            </w:tcBorders>
            <w:shd w:val="clear" w:color="auto" w:fill="auto"/>
          </w:tcPr>
          <w:p w14:paraId="4D7DAA59" w14:textId="77777777" w:rsidR="00AB0E44" w:rsidRDefault="00361FA3">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Localised incursions (WA and NT)</w:t>
            </w:r>
          </w:p>
        </w:tc>
        <w:tc>
          <w:tcPr>
            <w:tcW w:w="1870" w:type="dxa"/>
            <w:tcBorders>
              <w:top w:val="nil"/>
              <w:bottom w:val="single" w:sz="8" w:space="0" w:color="000000"/>
            </w:tcBorders>
            <w:shd w:val="clear" w:color="auto" w:fill="auto"/>
          </w:tcPr>
          <w:p w14:paraId="68FCFD1C" w14:textId="77777777" w:rsidR="00AB0E44" w:rsidRDefault="00361FA3">
            <w:pPr>
              <w:pStyle w:val="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Yes (since 2013)</w:t>
            </w:r>
          </w:p>
        </w:tc>
      </w:tr>
    </w:tbl>
    <w:p w14:paraId="72359174" w14:textId="71704301" w:rsidR="00AB0E44" w:rsidRDefault="00361FA3">
      <w:pPr>
        <w:pStyle w:val="FigureTableNoteSource"/>
        <w:rPr>
          <w:lang w:eastAsia="en-AU"/>
        </w:rPr>
      </w:pPr>
      <w:r>
        <w:rPr>
          <w:lang w:eastAsia="en-AU"/>
        </w:rPr>
        <w:t xml:space="preserve">Source: </w:t>
      </w:r>
      <w:r w:rsidRPr="00C126E6">
        <w:rPr>
          <w:lang w:eastAsia="en-AU"/>
        </w:rPr>
        <w:t>Department of the Environment and Energy</w:t>
      </w:r>
    </w:p>
    <w:p w14:paraId="6088D8DF" w14:textId="703A8AF5" w:rsidR="00AB0E44" w:rsidRDefault="00361FA3">
      <w:pPr>
        <w:spacing w:before="240"/>
        <w:rPr>
          <w:lang w:eastAsia="en-AU"/>
        </w:rPr>
      </w:pPr>
      <w:r>
        <w:rPr>
          <w:lang w:eastAsia="en-AU"/>
        </w:rPr>
        <w:t>Exotic invasive ants can reduce native species diversity and modify habitat structure</w:t>
      </w:r>
      <w:r w:rsidR="007E61A2">
        <w:rPr>
          <w:lang w:eastAsia="en-AU"/>
        </w:rPr>
        <w:t>.</w:t>
      </w:r>
      <w:r>
        <w:rPr>
          <w:lang w:eastAsia="en-AU"/>
        </w:rPr>
        <w:t xml:space="preserve"> </w:t>
      </w:r>
      <w:r w:rsidR="007E61A2">
        <w:rPr>
          <w:lang w:eastAsia="en-AU"/>
        </w:rPr>
        <w:t xml:space="preserve">They can also </w:t>
      </w:r>
      <w:r>
        <w:rPr>
          <w:lang w:eastAsia="en-AU"/>
        </w:rPr>
        <w:t xml:space="preserve">severely impact on human health and social amenities. For example, </w:t>
      </w:r>
      <w:r w:rsidR="0003300A">
        <w:rPr>
          <w:lang w:eastAsia="en-AU"/>
        </w:rPr>
        <w:t xml:space="preserve">red imported fire ants </w:t>
      </w:r>
      <w:r>
        <w:rPr>
          <w:lang w:eastAsia="en-AU"/>
        </w:rPr>
        <w:t>have painful stings which can cause anaphylactic shock</w:t>
      </w:r>
      <w:r w:rsidR="007E61A2">
        <w:rPr>
          <w:lang w:eastAsia="en-AU"/>
        </w:rPr>
        <w:t>.</w:t>
      </w:r>
      <w:r>
        <w:rPr>
          <w:lang w:eastAsia="en-AU"/>
        </w:rPr>
        <w:t xml:space="preserve"> </w:t>
      </w:r>
      <w:r w:rsidR="007E61A2">
        <w:rPr>
          <w:lang w:eastAsia="en-AU"/>
        </w:rPr>
        <w:t>P</w:t>
      </w:r>
      <w:r>
        <w:rPr>
          <w:lang w:eastAsia="en-AU"/>
        </w:rPr>
        <w:t>ets, livestock and native animals may also be severely affected. Other significant damage may occur through the construction of large nests and ants chewing through electrical insulation. Infestations can render public areas such as parks and playing fields unusable.</w:t>
      </w:r>
    </w:p>
    <w:p w14:paraId="7CF4DE31" w14:textId="379436DD" w:rsidR="00AB0E44" w:rsidRDefault="00361FA3">
      <w:pPr>
        <w:rPr>
          <w:rFonts w:ascii="Calibri" w:hAnsi="Calibri"/>
          <w:lang w:eastAsia="en-AU"/>
        </w:rPr>
      </w:pPr>
      <w:r w:rsidRPr="006653BB">
        <w:rPr>
          <w:rFonts w:ascii="Calibri" w:hAnsi="Calibri"/>
          <w:b/>
        </w:rPr>
        <w:t xml:space="preserve">Red imported fire ants </w:t>
      </w:r>
      <w:r>
        <w:rPr>
          <w:rFonts w:ascii="Calibri" w:hAnsi="Calibri"/>
          <w:lang w:eastAsia="en-AU"/>
        </w:rPr>
        <w:t xml:space="preserve">are a significant global invasive threat with social, economic and environmental impacts. They prefer open and semi-open disturbed ground, easily found in urban and peri-urban areas. They are native to South America but have invaded large parts of southern US. </w:t>
      </w:r>
      <w:r w:rsidR="0003300A">
        <w:rPr>
          <w:rFonts w:ascii="Calibri" w:hAnsi="Calibri"/>
          <w:lang w:eastAsia="en-AU"/>
        </w:rPr>
        <w:t xml:space="preserve">Red imported fire ant </w:t>
      </w:r>
      <w:r>
        <w:rPr>
          <w:rFonts w:ascii="Calibri" w:hAnsi="Calibri"/>
          <w:lang w:eastAsia="en-AU"/>
        </w:rPr>
        <w:t>venom may cause severe anaphylactic shock</w:t>
      </w:r>
      <w:r w:rsidR="007E61A2">
        <w:rPr>
          <w:rFonts w:ascii="Calibri" w:hAnsi="Calibri"/>
          <w:lang w:eastAsia="en-AU"/>
        </w:rPr>
        <w:t>—</w:t>
      </w:r>
      <w:r>
        <w:rPr>
          <w:rFonts w:ascii="Calibri" w:hAnsi="Calibri"/>
          <w:lang w:eastAsia="en-AU"/>
        </w:rPr>
        <w:t xml:space="preserve">80 human deaths </w:t>
      </w:r>
      <w:r w:rsidR="007E61A2">
        <w:rPr>
          <w:rFonts w:ascii="Calibri" w:hAnsi="Calibri"/>
          <w:lang w:eastAsia="en-AU"/>
        </w:rPr>
        <w:t xml:space="preserve">have been </w:t>
      </w:r>
      <w:r>
        <w:rPr>
          <w:rFonts w:ascii="Calibri" w:hAnsi="Calibri"/>
          <w:lang w:eastAsia="en-AU"/>
        </w:rPr>
        <w:t>recorded in the US to date.</w:t>
      </w:r>
    </w:p>
    <w:p w14:paraId="58FCEF51" w14:textId="711D15E8" w:rsidR="00AB0E44" w:rsidRDefault="00361FA3">
      <w:pPr>
        <w:rPr>
          <w:rFonts w:ascii="Calibri" w:hAnsi="Calibri"/>
          <w:lang w:eastAsia="en-AU"/>
        </w:rPr>
      </w:pPr>
      <w:r>
        <w:rPr>
          <w:rFonts w:ascii="Calibri" w:hAnsi="Calibri"/>
          <w:lang w:eastAsia="en-AU"/>
        </w:rPr>
        <w:t xml:space="preserve">In Australia, </w:t>
      </w:r>
      <w:r w:rsidR="0003300A">
        <w:rPr>
          <w:rFonts w:ascii="Calibri" w:hAnsi="Calibri"/>
          <w:lang w:eastAsia="en-AU"/>
        </w:rPr>
        <w:t xml:space="preserve">the ants </w:t>
      </w:r>
      <w:r>
        <w:rPr>
          <w:rFonts w:ascii="Calibri" w:hAnsi="Calibri"/>
          <w:lang w:eastAsia="en-AU"/>
        </w:rPr>
        <w:t xml:space="preserve">were first found in Brisbane in 2001. They had probably been there for at least 10 years before detection. Between 2001 and 2017, the Australian and state and territory governments collectively spent $366.9 million on </w:t>
      </w:r>
      <w:r w:rsidRPr="00E460BD">
        <w:rPr>
          <w:rFonts w:ascii="Calibri" w:hAnsi="Calibri"/>
          <w:lang w:eastAsia="en-AU"/>
        </w:rPr>
        <w:t xml:space="preserve">a National Red Imported Fire Ant </w:t>
      </w:r>
      <w:r w:rsidR="00E460BD" w:rsidRPr="00E460BD">
        <w:rPr>
          <w:rFonts w:ascii="Calibri" w:hAnsi="Calibri"/>
          <w:lang w:eastAsia="en-AU"/>
        </w:rPr>
        <w:t>Eradication P</w:t>
      </w:r>
      <w:r>
        <w:rPr>
          <w:rFonts w:ascii="Calibri" w:hAnsi="Calibri"/>
          <w:lang w:eastAsia="en-AU"/>
        </w:rPr>
        <w:t xml:space="preserve">rogram and managed to contain the pest within </w:t>
      </w:r>
      <w:r w:rsidR="0003300A" w:rsidRPr="0051252F">
        <w:rPr>
          <w:rFonts w:ascii="Calibri" w:hAnsi="Calibri"/>
          <w:lang w:eastAsia="en-AU"/>
        </w:rPr>
        <w:t>s</w:t>
      </w:r>
      <w:r w:rsidRPr="0003300A">
        <w:rPr>
          <w:rFonts w:ascii="Calibri" w:hAnsi="Calibri"/>
          <w:lang w:eastAsia="en-AU"/>
        </w:rPr>
        <w:t>outh</w:t>
      </w:r>
      <w:r w:rsidR="0003300A" w:rsidRPr="0051252F">
        <w:rPr>
          <w:rFonts w:ascii="Calibri" w:hAnsi="Calibri"/>
          <w:lang w:eastAsia="en-AU"/>
        </w:rPr>
        <w:t>-e</w:t>
      </w:r>
      <w:r w:rsidRPr="0003300A">
        <w:rPr>
          <w:rFonts w:ascii="Calibri" w:hAnsi="Calibri"/>
          <w:lang w:eastAsia="en-AU"/>
        </w:rPr>
        <w:t>ast Queensland</w:t>
      </w:r>
      <w:r>
        <w:rPr>
          <w:rFonts w:ascii="Calibri" w:hAnsi="Calibri"/>
          <w:lang w:eastAsia="en-AU"/>
        </w:rPr>
        <w:t>. Around Brisbane</w:t>
      </w:r>
      <w:r w:rsidR="007E61A2">
        <w:rPr>
          <w:rFonts w:ascii="Calibri" w:hAnsi="Calibri"/>
          <w:lang w:eastAsia="en-AU"/>
        </w:rPr>
        <w:t>,</w:t>
      </w:r>
      <w:r>
        <w:rPr>
          <w:rFonts w:ascii="Calibri" w:hAnsi="Calibri"/>
          <w:lang w:eastAsia="en-AU"/>
        </w:rPr>
        <w:t xml:space="preserve"> from 2002 to 2010, 61 per cent (1,749 sites) of known fire ant activity were in areas with significant soil disturbance in the preceding </w:t>
      </w:r>
      <w:r w:rsidR="0003300A">
        <w:rPr>
          <w:rFonts w:ascii="Calibri" w:hAnsi="Calibri"/>
          <w:lang w:eastAsia="en-AU"/>
        </w:rPr>
        <w:t xml:space="preserve">one </w:t>
      </w:r>
      <w:r w:rsidR="007E61A2">
        <w:rPr>
          <w:rFonts w:ascii="Calibri" w:hAnsi="Calibri"/>
          <w:lang w:eastAsia="en-AU"/>
        </w:rPr>
        <w:t xml:space="preserve">to </w:t>
      </w:r>
      <w:r w:rsidR="0003300A">
        <w:rPr>
          <w:rFonts w:ascii="Calibri" w:hAnsi="Calibri"/>
          <w:lang w:eastAsia="en-AU"/>
        </w:rPr>
        <w:t xml:space="preserve">three </w:t>
      </w:r>
      <w:r>
        <w:rPr>
          <w:rFonts w:ascii="Calibri" w:hAnsi="Calibri"/>
          <w:lang w:eastAsia="en-AU"/>
        </w:rPr>
        <w:t>years, mostly due to residential and industrial development (Wylie &amp; Janssen-May 2016).</w:t>
      </w:r>
    </w:p>
    <w:p w14:paraId="7A75D774" w14:textId="18BAECCD" w:rsidR="00AB0E44" w:rsidRDefault="0003300A">
      <w:pPr>
        <w:rPr>
          <w:rFonts w:ascii="Calibri" w:hAnsi="Calibri"/>
          <w:lang w:eastAsia="en-AU"/>
        </w:rPr>
      </w:pPr>
      <w:r>
        <w:rPr>
          <w:rFonts w:ascii="Calibri" w:hAnsi="Calibri"/>
          <w:lang w:eastAsia="en-AU"/>
        </w:rPr>
        <w:t xml:space="preserve">Red imported fire ant </w:t>
      </w:r>
      <w:r w:rsidR="00361FA3">
        <w:rPr>
          <w:rFonts w:ascii="Calibri" w:hAnsi="Calibri"/>
          <w:lang w:eastAsia="en-AU"/>
        </w:rPr>
        <w:t xml:space="preserve">interceptions </w:t>
      </w:r>
      <w:r w:rsidR="007E61A2">
        <w:rPr>
          <w:rFonts w:ascii="Calibri" w:hAnsi="Calibri"/>
          <w:lang w:eastAsia="en-AU"/>
        </w:rPr>
        <w:t xml:space="preserve">have occurred </w:t>
      </w:r>
      <w:r w:rsidR="00361FA3">
        <w:rPr>
          <w:rFonts w:ascii="Calibri" w:hAnsi="Calibri"/>
          <w:lang w:eastAsia="en-AU"/>
        </w:rPr>
        <w:t>in all mainland states</w:t>
      </w:r>
      <w:r w:rsidR="007E61A2">
        <w:rPr>
          <w:rFonts w:ascii="Calibri" w:hAnsi="Calibri"/>
          <w:lang w:eastAsia="en-AU"/>
        </w:rPr>
        <w:t>.</w:t>
      </w:r>
      <w:r w:rsidR="00361FA3">
        <w:rPr>
          <w:rFonts w:ascii="Calibri" w:hAnsi="Calibri"/>
          <w:lang w:eastAsia="en-AU"/>
        </w:rPr>
        <w:t xml:space="preserve"> </w:t>
      </w:r>
      <w:r>
        <w:rPr>
          <w:rFonts w:ascii="Calibri" w:hAnsi="Calibri"/>
          <w:lang w:eastAsia="en-AU"/>
        </w:rPr>
        <w:t xml:space="preserve">Ant </w:t>
      </w:r>
      <w:r w:rsidR="00361FA3">
        <w:rPr>
          <w:rFonts w:ascii="Calibri" w:hAnsi="Calibri"/>
          <w:lang w:eastAsia="en-AU"/>
        </w:rPr>
        <w:t xml:space="preserve">incursions </w:t>
      </w:r>
      <w:r w:rsidR="007E61A2">
        <w:rPr>
          <w:rFonts w:ascii="Calibri" w:hAnsi="Calibri"/>
          <w:lang w:eastAsia="en-AU"/>
        </w:rPr>
        <w:t xml:space="preserve">have occurred </w:t>
      </w:r>
      <w:r w:rsidR="00361FA3">
        <w:rPr>
          <w:rFonts w:ascii="Calibri" w:hAnsi="Calibri"/>
          <w:lang w:eastAsia="en-AU"/>
        </w:rPr>
        <w:t>at:</w:t>
      </w:r>
    </w:p>
    <w:p w14:paraId="15D785F6" w14:textId="0DD5707A" w:rsidR="00AB0E44" w:rsidRDefault="00361FA3">
      <w:pPr>
        <w:pStyle w:val="ListBullet"/>
      </w:pPr>
      <w:r>
        <w:t>Yarwun near Rockhampton, Queensland, 2006–2010 and 2013–</w:t>
      </w:r>
      <w:r w:rsidR="007E61A2">
        <w:t>20</w:t>
      </w:r>
      <w:r>
        <w:t>17</w:t>
      </w:r>
    </w:p>
    <w:p w14:paraId="083AFBEC" w14:textId="561B2C4B" w:rsidR="00AB0E44" w:rsidRDefault="00361FA3">
      <w:pPr>
        <w:pStyle w:val="ListBullet"/>
      </w:pPr>
      <w:r>
        <w:t>Port of Brisbane, 2001–2012</w:t>
      </w:r>
    </w:p>
    <w:p w14:paraId="59DF4022" w14:textId="6B7F1F72" w:rsidR="00AB0E44" w:rsidRDefault="00361FA3">
      <w:pPr>
        <w:pStyle w:val="ListBullet"/>
      </w:pPr>
      <w:r>
        <w:t>Port Botany, Sydney 2014–</w:t>
      </w:r>
      <w:r w:rsidR="007E61A2">
        <w:t>20</w:t>
      </w:r>
      <w:r>
        <w:t>17</w:t>
      </w:r>
    </w:p>
    <w:p w14:paraId="64AC496B" w14:textId="0DC8903C" w:rsidR="00AB0E44" w:rsidRDefault="00361FA3">
      <w:pPr>
        <w:pStyle w:val="ListBullet"/>
      </w:pPr>
      <w:r>
        <w:t>Brisbane airport, 2016–</w:t>
      </w:r>
      <w:r w:rsidR="007E61A2">
        <w:t>20</w:t>
      </w:r>
      <w:r>
        <w:t>18.</w:t>
      </w:r>
    </w:p>
    <w:p w14:paraId="40896B62" w14:textId="1ECEECBF" w:rsidR="00AB0E44" w:rsidRDefault="00361FA3">
      <w:pPr>
        <w:rPr>
          <w:lang w:eastAsia="ja-JP"/>
        </w:rPr>
      </w:pPr>
      <w:r>
        <w:rPr>
          <w:rFonts w:ascii="Calibri" w:hAnsi="Calibri"/>
          <w:lang w:eastAsia="en-AU"/>
        </w:rPr>
        <w:t xml:space="preserve">In December 2016 an independent review reported that, if established, </w:t>
      </w:r>
      <w:r w:rsidR="0003300A">
        <w:rPr>
          <w:rFonts w:ascii="Calibri" w:hAnsi="Calibri"/>
          <w:lang w:eastAsia="en-AU"/>
        </w:rPr>
        <w:t xml:space="preserve">the red imported fire ant </w:t>
      </w:r>
      <w:r>
        <w:rPr>
          <w:rFonts w:ascii="Calibri" w:hAnsi="Calibri"/>
          <w:lang w:eastAsia="en-AU"/>
        </w:rPr>
        <w:t xml:space="preserve">would </w:t>
      </w:r>
      <w:r w:rsidR="007E61A2">
        <w:rPr>
          <w:rFonts w:ascii="Calibri" w:hAnsi="Calibri"/>
          <w:lang w:eastAsia="en-AU"/>
        </w:rPr>
        <w:t>‘</w:t>
      </w:r>
      <w:r>
        <w:rPr>
          <w:rFonts w:ascii="Calibri" w:hAnsi="Calibri"/>
          <w:lang w:eastAsia="en-AU"/>
        </w:rPr>
        <w:t xml:space="preserve">surpass the combined effects of many pests we currently regard as Australia’s worst invasive </w:t>
      </w:r>
      <w:r w:rsidRPr="0003300A">
        <w:rPr>
          <w:rFonts w:ascii="Calibri" w:hAnsi="Calibri"/>
          <w:lang w:eastAsia="en-AU"/>
        </w:rPr>
        <w:t>animals (rabbits, cane toads</w:t>
      </w:r>
      <w:r>
        <w:rPr>
          <w:rFonts w:ascii="Calibri" w:hAnsi="Calibri"/>
          <w:lang w:eastAsia="en-AU"/>
        </w:rPr>
        <w:t>, foxes, camels, wild dogs and feral cats</w:t>
      </w:r>
      <w:r w:rsidR="007E61A2">
        <w:rPr>
          <w:rFonts w:ascii="Calibri" w:hAnsi="Calibri"/>
          <w:lang w:eastAsia="en-AU"/>
        </w:rPr>
        <w:t>—</w:t>
      </w:r>
      <w:r>
        <w:rPr>
          <w:rFonts w:ascii="Calibri" w:hAnsi="Calibri"/>
          <w:lang w:eastAsia="en-AU"/>
        </w:rPr>
        <w:t>which cost Australia $964 million each year in 2015 values</w:t>
      </w:r>
      <w:r w:rsidR="0003300A">
        <w:rPr>
          <w:rFonts w:ascii="Calibri" w:hAnsi="Calibri"/>
          <w:lang w:eastAsia="en-AU"/>
        </w:rPr>
        <w:t>)</w:t>
      </w:r>
      <w:r w:rsidR="007E61A2">
        <w:rPr>
          <w:rFonts w:ascii="Calibri" w:hAnsi="Calibri"/>
          <w:lang w:eastAsia="en-AU"/>
        </w:rPr>
        <w:t>’</w:t>
      </w:r>
      <w:r>
        <w:rPr>
          <w:rFonts w:ascii="Calibri" w:hAnsi="Calibri"/>
          <w:lang w:eastAsia="en-AU"/>
        </w:rPr>
        <w:t xml:space="preserve"> (PBCRC 2016). As well, current US rates of </w:t>
      </w:r>
      <w:r w:rsidR="0003300A">
        <w:rPr>
          <w:rFonts w:ascii="Calibri" w:hAnsi="Calibri"/>
          <w:lang w:eastAsia="en-AU"/>
        </w:rPr>
        <w:t xml:space="preserve">red imported fire ant </w:t>
      </w:r>
      <w:r>
        <w:rPr>
          <w:rFonts w:ascii="Calibri" w:hAnsi="Calibri"/>
          <w:lang w:eastAsia="en-AU"/>
        </w:rPr>
        <w:t>based medical consultations suggest that by 2030 there could be up to 140,000 consultations and 3</w:t>
      </w:r>
      <w:r w:rsidR="007E61A2">
        <w:rPr>
          <w:rFonts w:ascii="Calibri" w:hAnsi="Calibri"/>
          <w:lang w:eastAsia="en-AU"/>
        </w:rPr>
        <w:t>,</w:t>
      </w:r>
      <w:r>
        <w:rPr>
          <w:rFonts w:ascii="Calibri" w:hAnsi="Calibri"/>
          <w:lang w:eastAsia="en-AU"/>
        </w:rPr>
        <w:t xml:space="preserve">000 anaphylactic reactions each year due to </w:t>
      </w:r>
      <w:r w:rsidR="0003300A">
        <w:rPr>
          <w:rFonts w:ascii="Calibri" w:hAnsi="Calibri"/>
          <w:lang w:eastAsia="en-AU"/>
        </w:rPr>
        <w:t xml:space="preserve">fire ant </w:t>
      </w:r>
      <w:r>
        <w:rPr>
          <w:rFonts w:ascii="Calibri" w:hAnsi="Calibri"/>
          <w:lang w:eastAsia="en-AU"/>
        </w:rPr>
        <w:t xml:space="preserve">stings (Solley et al. 2002). In July 2017 Australia’s agriculture </w:t>
      </w:r>
      <w:r w:rsidRPr="005621AF">
        <w:rPr>
          <w:rFonts w:ascii="Calibri" w:hAnsi="Calibri"/>
          <w:lang w:eastAsia="en-AU"/>
        </w:rPr>
        <w:t xml:space="preserve">ministers </w:t>
      </w:r>
      <w:r w:rsidR="005621AF" w:rsidRPr="00FF0C6D">
        <w:rPr>
          <w:rFonts w:ascii="Calibri" w:hAnsi="Calibri"/>
          <w:lang w:eastAsia="en-AU"/>
        </w:rPr>
        <w:t>committed</w:t>
      </w:r>
      <w:r w:rsidRPr="005621AF">
        <w:rPr>
          <w:rFonts w:ascii="Calibri" w:hAnsi="Calibri"/>
          <w:lang w:eastAsia="en-AU"/>
        </w:rPr>
        <w:t xml:space="preserve"> a</w:t>
      </w:r>
      <w:r>
        <w:rPr>
          <w:rFonts w:ascii="Calibri" w:hAnsi="Calibri"/>
          <w:lang w:eastAsia="en-AU"/>
        </w:rPr>
        <w:t xml:space="preserve"> further $411.4 million over </w:t>
      </w:r>
      <w:r w:rsidR="007E61A2">
        <w:rPr>
          <w:rFonts w:ascii="Calibri" w:hAnsi="Calibri"/>
          <w:lang w:eastAsia="en-AU"/>
        </w:rPr>
        <w:t xml:space="preserve">10 </w:t>
      </w:r>
      <w:r>
        <w:rPr>
          <w:rFonts w:ascii="Calibri" w:hAnsi="Calibri"/>
          <w:lang w:eastAsia="en-AU"/>
        </w:rPr>
        <w:t xml:space="preserve">years to </w:t>
      </w:r>
      <w:r w:rsidR="0003300A">
        <w:rPr>
          <w:rFonts w:ascii="Calibri" w:hAnsi="Calibri"/>
          <w:lang w:eastAsia="en-AU"/>
        </w:rPr>
        <w:t xml:space="preserve">red imported fire ant </w:t>
      </w:r>
      <w:r>
        <w:rPr>
          <w:rFonts w:ascii="Calibri" w:hAnsi="Calibri"/>
          <w:lang w:eastAsia="en-AU"/>
        </w:rPr>
        <w:t>eradication</w:t>
      </w:r>
      <w:r w:rsidR="007E61A2">
        <w:rPr>
          <w:rFonts w:ascii="Calibri" w:hAnsi="Calibri"/>
          <w:lang w:eastAsia="en-AU"/>
        </w:rPr>
        <w:t>.</w:t>
      </w:r>
    </w:p>
    <w:p w14:paraId="72E95C73" w14:textId="0D1C791C" w:rsidR="00AB0E44" w:rsidRDefault="00361FA3">
      <w:pPr>
        <w:rPr>
          <w:lang w:eastAsia="en-AU"/>
        </w:rPr>
      </w:pPr>
      <w:r w:rsidRPr="006653BB">
        <w:rPr>
          <w:b/>
        </w:rPr>
        <w:t>Yellow crazy ants</w:t>
      </w:r>
      <w:r w:rsidR="00E259CB">
        <w:t>,</w:t>
      </w:r>
      <w:r w:rsidRPr="0051252F">
        <w:t xml:space="preserve"> </w:t>
      </w:r>
      <w:r>
        <w:rPr>
          <w:lang w:eastAsia="en-AU"/>
        </w:rPr>
        <w:t>so called because of their erratic walking style and frantic movements when disturbed</w:t>
      </w:r>
      <w:r w:rsidR="007E61A2">
        <w:rPr>
          <w:lang w:eastAsia="en-AU"/>
        </w:rPr>
        <w:t>,</w:t>
      </w:r>
      <w:r>
        <w:rPr>
          <w:lang w:eastAsia="en-AU"/>
        </w:rPr>
        <w:t xml:space="preserve"> are tiny, highly aggressive ants</w:t>
      </w:r>
      <w:r w:rsidR="007E61A2">
        <w:rPr>
          <w:lang w:eastAsia="en-AU"/>
        </w:rPr>
        <w:t>.</w:t>
      </w:r>
      <w:r>
        <w:rPr>
          <w:lang w:eastAsia="en-AU"/>
        </w:rPr>
        <w:t xml:space="preserve"> </w:t>
      </w:r>
      <w:r w:rsidR="007E61A2">
        <w:rPr>
          <w:lang w:eastAsia="en-AU"/>
        </w:rPr>
        <w:t xml:space="preserve">They </w:t>
      </w:r>
      <w:r>
        <w:rPr>
          <w:lang w:eastAsia="en-AU"/>
        </w:rPr>
        <w:t xml:space="preserve">do not sting, but </w:t>
      </w:r>
      <w:r w:rsidR="007E61A2">
        <w:rPr>
          <w:lang w:eastAsia="en-AU"/>
        </w:rPr>
        <w:t xml:space="preserve">they </w:t>
      </w:r>
      <w:r>
        <w:rPr>
          <w:lang w:eastAsia="en-AU"/>
        </w:rPr>
        <w:t>spray formic acid to blind and kill their prey. They can swarm in great numbers, killing much larger animals</w:t>
      </w:r>
      <w:r w:rsidR="007E61A2">
        <w:rPr>
          <w:lang w:eastAsia="en-AU"/>
        </w:rPr>
        <w:t>,</w:t>
      </w:r>
      <w:r>
        <w:rPr>
          <w:lang w:eastAsia="en-AU"/>
        </w:rPr>
        <w:t xml:space="preserve"> including lizards, frogs, small mammals, turtle hatchlings and bird chicks, with devastating impacts on native wildlife and entire ecosystems. They live in natural bushland, along waterways, in urban areas and horticultural plantations</w:t>
      </w:r>
      <w:r w:rsidR="007E61A2">
        <w:rPr>
          <w:lang w:eastAsia="en-AU"/>
        </w:rPr>
        <w:t>.</w:t>
      </w:r>
      <w:r>
        <w:rPr>
          <w:lang w:eastAsia="en-AU"/>
        </w:rPr>
        <w:t xml:space="preserve"> </w:t>
      </w:r>
      <w:r w:rsidR="007E61A2">
        <w:rPr>
          <w:lang w:eastAsia="en-AU"/>
        </w:rPr>
        <w:t>I</w:t>
      </w:r>
      <w:r>
        <w:rPr>
          <w:lang w:eastAsia="en-AU"/>
        </w:rPr>
        <w:t xml:space="preserve">n suitable climates, such as the Queensland Wet Tropics, </w:t>
      </w:r>
      <w:r w:rsidR="007E61A2">
        <w:rPr>
          <w:lang w:eastAsia="en-AU"/>
        </w:rPr>
        <w:t xml:space="preserve">they </w:t>
      </w:r>
      <w:r>
        <w:rPr>
          <w:lang w:eastAsia="en-AU"/>
        </w:rPr>
        <w:t xml:space="preserve">can form </w:t>
      </w:r>
      <w:r w:rsidR="007E61A2">
        <w:rPr>
          <w:lang w:eastAsia="en-AU"/>
        </w:rPr>
        <w:t>‘</w:t>
      </w:r>
      <w:r>
        <w:rPr>
          <w:lang w:eastAsia="en-AU"/>
        </w:rPr>
        <w:t>super colonies</w:t>
      </w:r>
      <w:r w:rsidR="007E61A2">
        <w:rPr>
          <w:lang w:eastAsia="en-AU"/>
        </w:rPr>
        <w:t>’</w:t>
      </w:r>
      <w:r>
        <w:rPr>
          <w:lang w:eastAsia="en-AU"/>
        </w:rPr>
        <w:t xml:space="preserve"> across vast areas, with huge social, environmental and financial impacts. They can become a severe threat to people, especially children and the elderly, as well as pets, and can also damage household electrical appliances and wiring. They also pose</w:t>
      </w:r>
      <w:r>
        <w:rPr>
          <w:b/>
          <w:lang w:eastAsia="en-AU"/>
        </w:rPr>
        <w:t xml:space="preserve"> </w:t>
      </w:r>
      <w:r>
        <w:rPr>
          <w:lang w:eastAsia="en-AU"/>
        </w:rPr>
        <w:t>a huge threat to agriculture in Australia’s warmer regions, dramatically reducing the productivity of crops such as fruit trees and sugar cane by farming sugar-secreting scale insects and encouraging sooty moulds.</w:t>
      </w:r>
    </w:p>
    <w:p w14:paraId="7D8C9D69" w14:textId="47A2B275" w:rsidR="00AB0E44" w:rsidRDefault="00361FA3">
      <w:pPr>
        <w:rPr>
          <w:lang w:eastAsia="en-AU"/>
        </w:rPr>
      </w:pPr>
      <w:r>
        <w:rPr>
          <w:lang w:eastAsia="en-AU"/>
        </w:rPr>
        <w:t>Yellow crazy ants were first discovered in Cairns in 2001. Since then they have been found at more than 20 sites in Queensland and in a large scattered population in Arnhem Land in the Northern Territory. A New South Wales infestation was found at Yamba in 2004 and eradicated by 2010 (QDAF 2016).</w:t>
      </w:r>
      <w:r w:rsidR="00F67F22" w:rsidRPr="00F67F22">
        <w:rPr>
          <w:lang w:eastAsia="en-AU"/>
        </w:rPr>
        <w:t xml:space="preserve"> </w:t>
      </w:r>
      <w:r w:rsidR="00F67F22">
        <w:rPr>
          <w:lang w:eastAsia="en-AU"/>
        </w:rPr>
        <w:t>In May 2018 another infestation was found in Lismore, N</w:t>
      </w:r>
      <w:r w:rsidR="00155BB5">
        <w:rPr>
          <w:lang w:eastAsia="en-AU"/>
        </w:rPr>
        <w:t xml:space="preserve">ew </w:t>
      </w:r>
      <w:r w:rsidR="00F67F22">
        <w:rPr>
          <w:lang w:eastAsia="en-AU"/>
        </w:rPr>
        <w:t>S</w:t>
      </w:r>
      <w:r w:rsidR="00155BB5">
        <w:rPr>
          <w:lang w:eastAsia="en-AU"/>
        </w:rPr>
        <w:t xml:space="preserve">outh </w:t>
      </w:r>
      <w:r w:rsidR="00F67F22">
        <w:rPr>
          <w:lang w:eastAsia="en-AU"/>
        </w:rPr>
        <w:t>W</w:t>
      </w:r>
      <w:r w:rsidR="00155BB5">
        <w:rPr>
          <w:lang w:eastAsia="en-AU"/>
        </w:rPr>
        <w:t>ales</w:t>
      </w:r>
      <w:r w:rsidR="00F67F22">
        <w:rPr>
          <w:lang w:eastAsia="en-AU"/>
        </w:rPr>
        <w:t xml:space="preserve">. </w:t>
      </w:r>
      <w:r w:rsidR="00DF5BB0">
        <w:rPr>
          <w:lang w:eastAsia="en-AU"/>
        </w:rPr>
        <w:t>A month later, a further infestation was discovered 30 k</w:t>
      </w:r>
      <w:r w:rsidR="002F1C95">
        <w:rPr>
          <w:lang w:eastAsia="en-AU"/>
        </w:rPr>
        <w:t>ilometres</w:t>
      </w:r>
      <w:r w:rsidR="00DF5BB0">
        <w:rPr>
          <w:lang w:eastAsia="en-AU"/>
        </w:rPr>
        <w:t xml:space="preserve"> north at </w:t>
      </w:r>
      <w:proofErr w:type="spellStart"/>
      <w:r w:rsidR="00DF5BB0">
        <w:rPr>
          <w:lang w:eastAsia="en-AU"/>
        </w:rPr>
        <w:t>Terania</w:t>
      </w:r>
      <w:proofErr w:type="spellEnd"/>
      <w:r w:rsidR="00DF5BB0">
        <w:rPr>
          <w:lang w:eastAsia="en-AU"/>
        </w:rPr>
        <w:t xml:space="preserve"> Creek</w:t>
      </w:r>
      <w:r w:rsidR="002F1C95">
        <w:rPr>
          <w:lang w:eastAsia="en-AU"/>
        </w:rPr>
        <w:t xml:space="preserve"> (New South Wales Department of Primary Industries 2018)</w:t>
      </w:r>
      <w:r w:rsidR="00DF5BB0">
        <w:rPr>
          <w:lang w:eastAsia="en-AU"/>
        </w:rPr>
        <w:t xml:space="preserve">. </w:t>
      </w:r>
      <w:r>
        <w:rPr>
          <w:lang w:eastAsia="en-AU"/>
        </w:rPr>
        <w:t>Queensland has started an $11.4 million three-year eradication program</w:t>
      </w:r>
      <w:r w:rsidR="007E61A2">
        <w:rPr>
          <w:lang w:eastAsia="en-AU"/>
        </w:rPr>
        <w:t>,</w:t>
      </w:r>
      <w:r>
        <w:rPr>
          <w:lang w:eastAsia="en-AU"/>
        </w:rPr>
        <w:t xml:space="preserve"> as the ants currently occupy just a tiny part of their potential range. If they became more widely established, there would be </w:t>
      </w:r>
      <w:r w:rsidR="00970634">
        <w:rPr>
          <w:lang w:eastAsia="en-AU"/>
        </w:rPr>
        <w:t xml:space="preserve">significant environmental damage, including possible species extinctions and </w:t>
      </w:r>
      <w:r>
        <w:rPr>
          <w:lang w:eastAsia="en-AU"/>
        </w:rPr>
        <w:t>massive ongoing costs to reduce their impacts.</w:t>
      </w:r>
    </w:p>
    <w:p w14:paraId="167FCC3E" w14:textId="63B4344F" w:rsidR="00AB0E44" w:rsidRDefault="00361FA3">
      <w:pPr>
        <w:rPr>
          <w:lang w:eastAsia="en-AU"/>
        </w:rPr>
      </w:pPr>
      <w:r>
        <w:rPr>
          <w:lang w:eastAsia="en-AU"/>
        </w:rPr>
        <w:t>On Christmas Island the ants have killed millions of the famous red land crabs and robber crabs, both of which play an important role in the island’s forest floor ecology. They have created a huge increase in sap</w:t>
      </w:r>
      <w:r w:rsidR="0003300A">
        <w:rPr>
          <w:lang w:eastAsia="en-AU"/>
        </w:rPr>
        <w:t>-</w:t>
      </w:r>
      <w:r>
        <w:rPr>
          <w:lang w:eastAsia="en-AU"/>
        </w:rPr>
        <w:t xml:space="preserve">sucking bugs and sooty moulds that severely damage plants and trees, degrading the island’s forests and native insects and other small animal populations. </w:t>
      </w:r>
      <w:r>
        <w:t>Researchers are evaluating the possible use of a biological control agent (a micro-wasp) on Christmas Island to suppress scale insects which produce the honeydew the ants feed on.</w:t>
      </w:r>
    </w:p>
    <w:p w14:paraId="7BF4E2AB" w14:textId="77777777" w:rsidR="00847E6D" w:rsidRDefault="00847E6D">
      <w:pPr>
        <w:tabs>
          <w:tab w:val="clear" w:pos="567"/>
        </w:tabs>
        <w:spacing w:before="0" w:after="0"/>
        <w:rPr>
          <w:rFonts w:eastAsia="Times New Roman" w:cs="Mangal"/>
          <w:b/>
          <w:bCs/>
          <w:sz w:val="28"/>
          <w:lang w:val="x-none" w:eastAsia="x-none" w:bidi="hi-IN"/>
        </w:rPr>
      </w:pPr>
      <w:r>
        <w:br w:type="page"/>
      </w:r>
    </w:p>
    <w:p w14:paraId="3FCB2D2E" w14:textId="74F52762" w:rsidR="00AB0E44" w:rsidRDefault="00361FA3" w:rsidP="0051252F">
      <w:pPr>
        <w:pStyle w:val="Heading4"/>
        <w:numPr>
          <w:ilvl w:val="0"/>
          <w:numId w:val="0"/>
        </w:numPr>
      </w:pPr>
      <w:r w:rsidRPr="0051252F">
        <w:t>Exotic invasive ant risk management</w:t>
      </w:r>
    </w:p>
    <w:p w14:paraId="70912290" w14:textId="783AE59B" w:rsidR="00AB0E44" w:rsidRDefault="00361FA3">
      <w:pPr>
        <w:rPr>
          <w:lang w:eastAsia="en-AU"/>
        </w:rPr>
      </w:pPr>
      <w:r>
        <w:rPr>
          <w:lang w:eastAsia="en-AU"/>
        </w:rPr>
        <w:t>Between 2012 and 2017 the department intercepted exotic invasive ants on 309 occasions (</w:t>
      </w:r>
      <w:r>
        <w:rPr>
          <w:lang w:eastAsia="en-AU"/>
        </w:rPr>
        <w:fldChar w:fldCharType="begin"/>
      </w:r>
      <w:r>
        <w:rPr>
          <w:lang w:eastAsia="en-AU"/>
        </w:rPr>
        <w:instrText xml:space="preserve"> REF _Ref514150995 \h </w:instrText>
      </w:r>
      <w:r>
        <w:rPr>
          <w:lang w:eastAsia="en-AU"/>
        </w:rPr>
      </w:r>
      <w:r>
        <w:rPr>
          <w:lang w:eastAsia="en-AU"/>
        </w:rPr>
        <w:fldChar w:fldCharType="separate"/>
      </w:r>
      <w:r w:rsidR="007F78D8">
        <w:rPr>
          <w:lang w:eastAsia="en-AU"/>
        </w:rPr>
        <w:t xml:space="preserve">Table </w:t>
      </w:r>
      <w:r w:rsidR="007F78D8">
        <w:rPr>
          <w:noProof/>
          <w:lang w:eastAsia="en-AU"/>
        </w:rPr>
        <w:t>11</w:t>
      </w:r>
      <w:r>
        <w:rPr>
          <w:lang w:eastAsia="en-AU"/>
        </w:rPr>
        <w:fldChar w:fldCharType="end"/>
      </w:r>
      <w:r>
        <w:rPr>
          <w:lang w:eastAsia="en-AU"/>
        </w:rPr>
        <w:t>) through six major pathways, the largest being the sea container pathway. Only two of the top 10 countries of origin (Papua New Guinea and Fiji) were identified as CAL countries.</w:t>
      </w:r>
    </w:p>
    <w:p w14:paraId="0AE7DAE3" w14:textId="77777777" w:rsidR="00AB0E44" w:rsidRDefault="00361FA3">
      <w:pPr>
        <w:pStyle w:val="Caption"/>
        <w:rPr>
          <w:lang w:eastAsia="en-AU"/>
        </w:rPr>
      </w:pPr>
      <w:bookmarkStart w:id="125" w:name="_Ref514150995"/>
      <w:bookmarkStart w:id="126" w:name="_Toc521069602"/>
      <w:r>
        <w:rPr>
          <w:lang w:eastAsia="en-AU"/>
        </w:rPr>
        <w:t xml:space="preserve">Table </w:t>
      </w:r>
      <w:r>
        <w:rPr>
          <w:lang w:eastAsia="en-AU"/>
        </w:rPr>
        <w:fldChar w:fldCharType="begin"/>
      </w:r>
      <w:r>
        <w:rPr>
          <w:lang w:eastAsia="en-AU"/>
        </w:rPr>
        <w:instrText xml:space="preserve"> SEQ Table \* ARABIC </w:instrText>
      </w:r>
      <w:r>
        <w:rPr>
          <w:lang w:eastAsia="en-AU"/>
        </w:rPr>
        <w:fldChar w:fldCharType="separate"/>
      </w:r>
      <w:r w:rsidR="007F78D8">
        <w:rPr>
          <w:noProof/>
          <w:lang w:eastAsia="en-AU"/>
        </w:rPr>
        <w:t>11</w:t>
      </w:r>
      <w:r>
        <w:rPr>
          <w:lang w:eastAsia="en-AU"/>
        </w:rPr>
        <w:fldChar w:fldCharType="end"/>
      </w:r>
      <w:bookmarkEnd w:id="125"/>
      <w:r>
        <w:rPr>
          <w:lang w:eastAsia="en-AU"/>
        </w:rPr>
        <w:t xml:space="preserve"> Exotic invasive ant interceptions, by country of origin and pathway, 2012–2017</w:t>
      </w:r>
      <w:bookmarkEnd w:id="126"/>
    </w:p>
    <w:tbl>
      <w:tblPr>
        <w:tblStyle w:val="PlainTable5"/>
        <w:tblW w:w="7371" w:type="dxa"/>
        <w:tblBorders>
          <w:top w:val="single" w:sz="4" w:space="0" w:color="000000"/>
          <w:bottom w:val="single" w:sz="4" w:space="0" w:color="000000"/>
        </w:tblBorders>
        <w:tblLayout w:type="fixed"/>
        <w:tblLook w:val="04A0" w:firstRow="1" w:lastRow="0" w:firstColumn="1" w:lastColumn="0" w:noHBand="0" w:noVBand="1"/>
      </w:tblPr>
      <w:tblGrid>
        <w:gridCol w:w="1845"/>
        <w:gridCol w:w="565"/>
        <w:gridCol w:w="851"/>
        <w:gridCol w:w="708"/>
        <w:gridCol w:w="709"/>
        <w:gridCol w:w="992"/>
        <w:gridCol w:w="993"/>
        <w:gridCol w:w="708"/>
      </w:tblGrid>
      <w:tr w:rsidR="0003300A" w14:paraId="2311CC5F" w14:textId="77777777" w:rsidTr="0051252F">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1845" w:type="dxa"/>
            <w:tcBorders>
              <w:top w:val="single" w:sz="4" w:space="0" w:color="000000"/>
              <w:bottom w:val="nil"/>
            </w:tcBorders>
            <w:shd w:val="clear" w:color="auto" w:fill="auto"/>
          </w:tcPr>
          <w:p w14:paraId="7BC4F194" w14:textId="77777777" w:rsidR="00AB0E44" w:rsidRDefault="00361FA3">
            <w:pPr>
              <w:pStyle w:val="Tabletext"/>
              <w:jc w:val="left"/>
              <w:rPr>
                <w:rFonts w:eastAsia="Calibri"/>
                <w:b/>
                <w:i w:val="0"/>
                <w:lang w:eastAsia="en-AU"/>
              </w:rPr>
            </w:pPr>
            <w:r>
              <w:rPr>
                <w:rFonts w:eastAsia="Calibri"/>
                <w:b/>
                <w:i w:val="0"/>
                <w:lang w:eastAsia="en-AU"/>
              </w:rPr>
              <w:t>Country of origin</w:t>
            </w:r>
          </w:p>
        </w:tc>
        <w:tc>
          <w:tcPr>
            <w:tcW w:w="565" w:type="dxa"/>
            <w:tcBorders>
              <w:top w:val="single" w:sz="4" w:space="0" w:color="000000"/>
              <w:bottom w:val="nil"/>
            </w:tcBorders>
            <w:shd w:val="clear" w:color="auto" w:fill="auto"/>
          </w:tcPr>
          <w:p w14:paraId="4D74C708" w14:textId="77777777" w:rsidR="00AB0E44" w:rsidRDefault="00361FA3" w:rsidP="0051252F">
            <w:pPr>
              <w:pStyle w:val="Tabletext"/>
              <w:jc w:val="right"/>
              <w:cnfStyle w:val="100000000000" w:firstRow="1" w:lastRow="0" w:firstColumn="0" w:lastColumn="0" w:oddVBand="0" w:evenVBand="0" w:oddHBand="0" w:evenHBand="0" w:firstRowFirstColumn="0" w:firstRowLastColumn="0" w:lastRowFirstColumn="0" w:lastRowLastColumn="0"/>
              <w:rPr>
                <w:rFonts w:eastAsia="Calibri"/>
                <w:b/>
                <w:i w:val="0"/>
                <w:lang w:eastAsia="en-AU"/>
              </w:rPr>
            </w:pPr>
            <w:r>
              <w:rPr>
                <w:rFonts w:eastAsia="Calibri"/>
                <w:b/>
                <w:i w:val="0"/>
                <w:lang w:eastAsia="en-AU"/>
              </w:rPr>
              <w:t>Air cargo</w:t>
            </w:r>
          </w:p>
        </w:tc>
        <w:tc>
          <w:tcPr>
            <w:tcW w:w="851" w:type="dxa"/>
            <w:tcBorders>
              <w:top w:val="single" w:sz="4" w:space="0" w:color="000000"/>
              <w:bottom w:val="nil"/>
            </w:tcBorders>
            <w:shd w:val="clear" w:color="auto" w:fill="auto"/>
          </w:tcPr>
          <w:p w14:paraId="140458F2" w14:textId="77777777" w:rsidR="00AB0E44" w:rsidRDefault="00361FA3" w:rsidP="0051252F">
            <w:pPr>
              <w:pStyle w:val="Tabletext"/>
              <w:jc w:val="right"/>
              <w:cnfStyle w:val="100000000000" w:firstRow="1" w:lastRow="0" w:firstColumn="0" w:lastColumn="0" w:oddVBand="0" w:evenVBand="0" w:oddHBand="0" w:evenHBand="0" w:firstRowFirstColumn="0" w:firstRowLastColumn="0" w:lastRowFirstColumn="0" w:lastRowLastColumn="0"/>
              <w:rPr>
                <w:rFonts w:eastAsia="Calibri"/>
                <w:b/>
                <w:i w:val="0"/>
                <w:lang w:eastAsia="en-AU"/>
              </w:rPr>
            </w:pPr>
            <w:r>
              <w:rPr>
                <w:rFonts w:eastAsia="Calibri"/>
                <w:b/>
                <w:i w:val="0"/>
                <w:lang w:eastAsia="en-AU"/>
              </w:rPr>
              <w:t>Air baggage</w:t>
            </w:r>
          </w:p>
        </w:tc>
        <w:tc>
          <w:tcPr>
            <w:tcW w:w="708" w:type="dxa"/>
            <w:tcBorders>
              <w:top w:val="single" w:sz="4" w:space="0" w:color="000000"/>
              <w:bottom w:val="nil"/>
            </w:tcBorders>
            <w:shd w:val="clear" w:color="auto" w:fill="auto"/>
          </w:tcPr>
          <w:p w14:paraId="05D509FE" w14:textId="77777777" w:rsidR="00AB0E44" w:rsidRDefault="00361FA3" w:rsidP="0051252F">
            <w:pPr>
              <w:pStyle w:val="Tabletext"/>
              <w:jc w:val="right"/>
              <w:cnfStyle w:val="100000000000" w:firstRow="1" w:lastRow="0" w:firstColumn="0" w:lastColumn="0" w:oddVBand="0" w:evenVBand="0" w:oddHBand="0" w:evenHBand="0" w:firstRowFirstColumn="0" w:firstRowLastColumn="0" w:lastRowFirstColumn="0" w:lastRowLastColumn="0"/>
              <w:rPr>
                <w:rFonts w:eastAsia="Calibri"/>
                <w:b/>
                <w:i w:val="0"/>
                <w:lang w:eastAsia="en-AU"/>
              </w:rPr>
            </w:pPr>
            <w:r>
              <w:rPr>
                <w:rFonts w:eastAsia="Calibri"/>
                <w:b/>
                <w:i w:val="0"/>
                <w:lang w:eastAsia="en-AU"/>
              </w:rPr>
              <w:t>Sea cargo</w:t>
            </w:r>
          </w:p>
        </w:tc>
        <w:tc>
          <w:tcPr>
            <w:tcW w:w="709" w:type="dxa"/>
            <w:tcBorders>
              <w:top w:val="single" w:sz="4" w:space="0" w:color="000000"/>
              <w:bottom w:val="nil"/>
            </w:tcBorders>
            <w:shd w:val="clear" w:color="auto" w:fill="auto"/>
          </w:tcPr>
          <w:p w14:paraId="58ED1317" w14:textId="77777777" w:rsidR="00AB0E44" w:rsidRDefault="00361FA3" w:rsidP="0051252F">
            <w:pPr>
              <w:pStyle w:val="Tabletext"/>
              <w:jc w:val="right"/>
              <w:cnfStyle w:val="100000000000" w:firstRow="1" w:lastRow="0" w:firstColumn="0" w:lastColumn="0" w:oddVBand="0" w:evenVBand="0" w:oddHBand="0" w:evenHBand="0" w:firstRowFirstColumn="0" w:firstRowLastColumn="0" w:lastRowFirstColumn="0" w:lastRowLastColumn="0"/>
              <w:rPr>
                <w:rFonts w:eastAsia="Calibri"/>
                <w:b/>
                <w:i w:val="0"/>
                <w:lang w:eastAsia="en-AU"/>
              </w:rPr>
            </w:pPr>
            <w:r>
              <w:rPr>
                <w:rFonts w:eastAsia="Calibri"/>
                <w:b/>
                <w:i w:val="0"/>
                <w:lang w:eastAsia="en-AU"/>
              </w:rPr>
              <w:t>Sea vessel</w:t>
            </w:r>
          </w:p>
        </w:tc>
        <w:tc>
          <w:tcPr>
            <w:tcW w:w="992" w:type="dxa"/>
            <w:tcBorders>
              <w:top w:val="single" w:sz="4" w:space="0" w:color="000000"/>
              <w:bottom w:val="nil"/>
            </w:tcBorders>
            <w:shd w:val="clear" w:color="auto" w:fill="auto"/>
          </w:tcPr>
          <w:p w14:paraId="1A022D94" w14:textId="77777777" w:rsidR="00AB0E44" w:rsidRDefault="00361FA3" w:rsidP="0051252F">
            <w:pPr>
              <w:pStyle w:val="Tabletext"/>
              <w:jc w:val="right"/>
              <w:cnfStyle w:val="100000000000" w:firstRow="1" w:lastRow="0" w:firstColumn="0" w:lastColumn="0" w:oddVBand="0" w:evenVBand="0" w:oddHBand="0" w:evenHBand="0" w:firstRowFirstColumn="0" w:firstRowLastColumn="0" w:lastRowFirstColumn="0" w:lastRowLastColumn="0"/>
              <w:rPr>
                <w:rFonts w:eastAsia="Calibri"/>
                <w:b/>
                <w:i w:val="0"/>
                <w:lang w:eastAsia="en-AU"/>
              </w:rPr>
            </w:pPr>
            <w:r>
              <w:rPr>
                <w:rFonts w:eastAsia="Calibri"/>
                <w:b/>
                <w:i w:val="0"/>
                <w:lang w:eastAsia="en-AU"/>
              </w:rPr>
              <w:t>Empty container</w:t>
            </w:r>
          </w:p>
        </w:tc>
        <w:tc>
          <w:tcPr>
            <w:tcW w:w="993" w:type="dxa"/>
            <w:tcBorders>
              <w:top w:val="single" w:sz="4" w:space="0" w:color="000000"/>
              <w:bottom w:val="nil"/>
            </w:tcBorders>
            <w:shd w:val="clear" w:color="auto" w:fill="auto"/>
          </w:tcPr>
          <w:p w14:paraId="609B4089" w14:textId="77777777" w:rsidR="00AB0E44" w:rsidRDefault="00361FA3" w:rsidP="0051252F">
            <w:pPr>
              <w:pStyle w:val="Tabletext"/>
              <w:jc w:val="right"/>
              <w:cnfStyle w:val="100000000000" w:firstRow="1" w:lastRow="0" w:firstColumn="0" w:lastColumn="0" w:oddVBand="0" w:evenVBand="0" w:oddHBand="0" w:evenHBand="0" w:firstRowFirstColumn="0" w:firstRowLastColumn="0" w:lastRowFirstColumn="0" w:lastRowLastColumn="0"/>
              <w:rPr>
                <w:rFonts w:eastAsia="Calibri"/>
                <w:b/>
                <w:i w:val="0"/>
                <w:lang w:eastAsia="en-AU"/>
              </w:rPr>
            </w:pPr>
            <w:r>
              <w:rPr>
                <w:rFonts w:eastAsia="Calibri"/>
                <w:b/>
                <w:i w:val="0"/>
                <w:lang w:eastAsia="en-AU"/>
              </w:rPr>
              <w:t>FCL/LCL container</w:t>
            </w:r>
          </w:p>
        </w:tc>
        <w:tc>
          <w:tcPr>
            <w:tcW w:w="708" w:type="dxa"/>
            <w:tcBorders>
              <w:top w:val="single" w:sz="4" w:space="0" w:color="000000"/>
              <w:bottom w:val="nil"/>
            </w:tcBorders>
            <w:shd w:val="clear" w:color="auto" w:fill="auto"/>
          </w:tcPr>
          <w:p w14:paraId="3F07A355" w14:textId="77777777" w:rsidR="00AB0E44" w:rsidRDefault="00361FA3" w:rsidP="0051252F">
            <w:pPr>
              <w:pStyle w:val="Tabletext"/>
              <w:jc w:val="right"/>
              <w:cnfStyle w:val="100000000000" w:firstRow="1" w:lastRow="0" w:firstColumn="0" w:lastColumn="0" w:oddVBand="0" w:evenVBand="0" w:oddHBand="0" w:evenHBand="0" w:firstRowFirstColumn="0" w:firstRowLastColumn="0" w:lastRowFirstColumn="0" w:lastRowLastColumn="0"/>
              <w:rPr>
                <w:rFonts w:eastAsia="Calibri"/>
                <w:b/>
                <w:i w:val="0"/>
                <w:lang w:eastAsia="en-AU"/>
              </w:rPr>
            </w:pPr>
            <w:r>
              <w:rPr>
                <w:rFonts w:eastAsia="Calibri"/>
                <w:b/>
                <w:i w:val="0"/>
                <w:lang w:eastAsia="en-AU"/>
              </w:rPr>
              <w:t>Total</w:t>
            </w:r>
          </w:p>
        </w:tc>
      </w:tr>
      <w:tr w:rsidR="0003300A" w14:paraId="6E8046FC" w14:textId="77777777" w:rsidTr="0051252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45" w:type="dxa"/>
            <w:tcBorders>
              <w:top w:val="nil"/>
              <w:right w:val="nil"/>
            </w:tcBorders>
            <w:shd w:val="clear" w:color="auto" w:fill="auto"/>
          </w:tcPr>
          <w:p w14:paraId="7CDA1FD7" w14:textId="267B1FA6" w:rsidR="00AB0E44" w:rsidRDefault="00361FA3">
            <w:pPr>
              <w:pStyle w:val="Tabletext"/>
              <w:jc w:val="left"/>
              <w:rPr>
                <w:rFonts w:eastAsia="Calibri"/>
                <w:i w:val="0"/>
                <w:lang w:eastAsia="en-AU"/>
              </w:rPr>
            </w:pPr>
            <w:r>
              <w:rPr>
                <w:rFonts w:eastAsia="Calibri"/>
                <w:i w:val="0"/>
                <w:lang w:eastAsia="en-AU"/>
              </w:rPr>
              <w:t>Papua New Guinea</w:t>
            </w:r>
            <w:r w:rsidR="0003300A">
              <w:rPr>
                <w:rFonts w:eastAsia="Calibri"/>
                <w:i w:val="0"/>
                <w:lang w:eastAsia="en-AU"/>
              </w:rPr>
              <w:t xml:space="preserve"> </w:t>
            </w:r>
            <w:r w:rsidR="0003300A" w:rsidRPr="00E6471A">
              <w:rPr>
                <w:b/>
                <w:i w:val="0"/>
                <w:lang w:eastAsia="en-AU"/>
              </w:rPr>
              <w:t>a</w:t>
            </w:r>
          </w:p>
        </w:tc>
        <w:tc>
          <w:tcPr>
            <w:tcW w:w="565" w:type="dxa"/>
            <w:tcBorders>
              <w:top w:val="nil"/>
              <w:left w:val="nil"/>
              <w:bottom w:val="nil"/>
            </w:tcBorders>
            <w:shd w:val="clear" w:color="auto" w:fill="auto"/>
          </w:tcPr>
          <w:p w14:paraId="5704784F"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2</w:t>
            </w:r>
          </w:p>
        </w:tc>
        <w:tc>
          <w:tcPr>
            <w:tcW w:w="851" w:type="dxa"/>
            <w:tcBorders>
              <w:top w:val="nil"/>
            </w:tcBorders>
            <w:shd w:val="clear" w:color="auto" w:fill="auto"/>
          </w:tcPr>
          <w:p w14:paraId="61885C9E"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19</w:t>
            </w:r>
          </w:p>
        </w:tc>
        <w:tc>
          <w:tcPr>
            <w:tcW w:w="708" w:type="dxa"/>
            <w:tcBorders>
              <w:top w:val="nil"/>
            </w:tcBorders>
            <w:shd w:val="clear" w:color="auto" w:fill="auto"/>
          </w:tcPr>
          <w:p w14:paraId="47560525"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5</w:t>
            </w:r>
          </w:p>
        </w:tc>
        <w:tc>
          <w:tcPr>
            <w:tcW w:w="709" w:type="dxa"/>
            <w:tcBorders>
              <w:top w:val="nil"/>
            </w:tcBorders>
            <w:shd w:val="clear" w:color="auto" w:fill="auto"/>
          </w:tcPr>
          <w:p w14:paraId="4A103DEC"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2</w:t>
            </w:r>
          </w:p>
        </w:tc>
        <w:tc>
          <w:tcPr>
            <w:tcW w:w="992" w:type="dxa"/>
            <w:tcBorders>
              <w:top w:val="nil"/>
            </w:tcBorders>
            <w:shd w:val="clear" w:color="auto" w:fill="auto"/>
          </w:tcPr>
          <w:p w14:paraId="6C246CA2"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4</w:t>
            </w:r>
          </w:p>
        </w:tc>
        <w:tc>
          <w:tcPr>
            <w:tcW w:w="993" w:type="dxa"/>
            <w:tcBorders>
              <w:top w:val="nil"/>
            </w:tcBorders>
            <w:shd w:val="clear" w:color="auto" w:fill="auto"/>
          </w:tcPr>
          <w:p w14:paraId="4C688441"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4</w:t>
            </w:r>
          </w:p>
        </w:tc>
        <w:tc>
          <w:tcPr>
            <w:tcW w:w="708" w:type="dxa"/>
            <w:tcBorders>
              <w:top w:val="nil"/>
            </w:tcBorders>
            <w:shd w:val="clear" w:color="auto" w:fill="auto"/>
          </w:tcPr>
          <w:p w14:paraId="60A67FC3"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36</w:t>
            </w:r>
          </w:p>
        </w:tc>
      </w:tr>
      <w:tr w:rsidR="0003300A" w14:paraId="37F70961" w14:textId="77777777" w:rsidTr="0051252F">
        <w:trPr>
          <w:trHeight w:val="80"/>
        </w:trPr>
        <w:tc>
          <w:tcPr>
            <w:cnfStyle w:val="001000000000" w:firstRow="0" w:lastRow="0" w:firstColumn="1" w:lastColumn="0" w:oddVBand="0" w:evenVBand="0" w:oddHBand="0" w:evenHBand="0" w:firstRowFirstColumn="0" w:firstRowLastColumn="0" w:lastRowFirstColumn="0" w:lastRowLastColumn="0"/>
            <w:tcW w:w="1845" w:type="dxa"/>
            <w:tcBorders>
              <w:right w:val="nil"/>
            </w:tcBorders>
            <w:shd w:val="clear" w:color="auto" w:fill="auto"/>
          </w:tcPr>
          <w:p w14:paraId="4A302802" w14:textId="77777777" w:rsidR="00AB0E44" w:rsidRDefault="00361FA3">
            <w:pPr>
              <w:pStyle w:val="Tabletext"/>
              <w:jc w:val="left"/>
              <w:rPr>
                <w:rFonts w:eastAsia="Calibri"/>
                <w:i w:val="0"/>
                <w:lang w:eastAsia="en-AU"/>
              </w:rPr>
            </w:pPr>
            <w:r>
              <w:rPr>
                <w:rFonts w:eastAsia="Calibri"/>
                <w:i w:val="0"/>
                <w:lang w:eastAsia="en-AU"/>
              </w:rPr>
              <w:t>United States</w:t>
            </w:r>
          </w:p>
        </w:tc>
        <w:tc>
          <w:tcPr>
            <w:tcW w:w="565" w:type="dxa"/>
            <w:tcBorders>
              <w:top w:val="nil"/>
              <w:left w:val="nil"/>
              <w:bottom w:val="nil"/>
            </w:tcBorders>
            <w:shd w:val="clear" w:color="auto" w:fill="auto"/>
          </w:tcPr>
          <w:p w14:paraId="347BB54F"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5</w:t>
            </w:r>
          </w:p>
        </w:tc>
        <w:tc>
          <w:tcPr>
            <w:tcW w:w="851" w:type="dxa"/>
            <w:shd w:val="clear" w:color="auto" w:fill="auto"/>
          </w:tcPr>
          <w:p w14:paraId="08E776B6"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w:t>
            </w:r>
          </w:p>
        </w:tc>
        <w:tc>
          <w:tcPr>
            <w:tcW w:w="708" w:type="dxa"/>
            <w:shd w:val="clear" w:color="auto" w:fill="auto"/>
          </w:tcPr>
          <w:p w14:paraId="32C1E3E2"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3</w:t>
            </w:r>
          </w:p>
        </w:tc>
        <w:tc>
          <w:tcPr>
            <w:tcW w:w="709" w:type="dxa"/>
            <w:shd w:val="clear" w:color="auto" w:fill="auto"/>
          </w:tcPr>
          <w:p w14:paraId="53501EAE"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w:t>
            </w:r>
          </w:p>
        </w:tc>
        <w:tc>
          <w:tcPr>
            <w:tcW w:w="992" w:type="dxa"/>
            <w:shd w:val="clear" w:color="auto" w:fill="auto"/>
          </w:tcPr>
          <w:p w14:paraId="43B5E149"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p>
        </w:tc>
        <w:tc>
          <w:tcPr>
            <w:tcW w:w="993" w:type="dxa"/>
            <w:shd w:val="clear" w:color="auto" w:fill="auto"/>
          </w:tcPr>
          <w:p w14:paraId="339092D3"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12</w:t>
            </w:r>
          </w:p>
        </w:tc>
        <w:tc>
          <w:tcPr>
            <w:tcW w:w="708" w:type="dxa"/>
            <w:shd w:val="clear" w:color="auto" w:fill="auto"/>
          </w:tcPr>
          <w:p w14:paraId="4C5D724E"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23</w:t>
            </w:r>
          </w:p>
        </w:tc>
      </w:tr>
      <w:tr w:rsidR="0003300A" w14:paraId="6B585156" w14:textId="77777777" w:rsidTr="0051252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5" w:type="dxa"/>
            <w:tcBorders>
              <w:right w:val="nil"/>
            </w:tcBorders>
            <w:shd w:val="clear" w:color="auto" w:fill="auto"/>
          </w:tcPr>
          <w:p w14:paraId="1B2FAF6C" w14:textId="77777777" w:rsidR="00AB0E44" w:rsidRDefault="00361FA3">
            <w:pPr>
              <w:pStyle w:val="Tabletext"/>
              <w:jc w:val="left"/>
              <w:rPr>
                <w:rFonts w:eastAsia="Calibri"/>
                <w:i w:val="0"/>
                <w:lang w:eastAsia="en-AU"/>
              </w:rPr>
            </w:pPr>
            <w:r>
              <w:rPr>
                <w:rFonts w:eastAsia="Calibri"/>
                <w:i w:val="0"/>
                <w:lang w:eastAsia="en-AU"/>
              </w:rPr>
              <w:t>China</w:t>
            </w:r>
          </w:p>
        </w:tc>
        <w:tc>
          <w:tcPr>
            <w:tcW w:w="565" w:type="dxa"/>
            <w:tcBorders>
              <w:top w:val="nil"/>
              <w:left w:val="nil"/>
              <w:bottom w:val="nil"/>
            </w:tcBorders>
            <w:shd w:val="clear" w:color="auto" w:fill="auto"/>
          </w:tcPr>
          <w:p w14:paraId="0F698C44"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2</w:t>
            </w:r>
          </w:p>
        </w:tc>
        <w:tc>
          <w:tcPr>
            <w:tcW w:w="851" w:type="dxa"/>
            <w:shd w:val="clear" w:color="auto" w:fill="auto"/>
          </w:tcPr>
          <w:p w14:paraId="5F36D1DC"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p>
        </w:tc>
        <w:tc>
          <w:tcPr>
            <w:tcW w:w="708" w:type="dxa"/>
            <w:shd w:val="clear" w:color="auto" w:fill="auto"/>
          </w:tcPr>
          <w:p w14:paraId="551DD7DC"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2</w:t>
            </w:r>
          </w:p>
        </w:tc>
        <w:tc>
          <w:tcPr>
            <w:tcW w:w="709" w:type="dxa"/>
            <w:shd w:val="clear" w:color="auto" w:fill="auto"/>
          </w:tcPr>
          <w:p w14:paraId="74EF052F"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p>
        </w:tc>
        <w:tc>
          <w:tcPr>
            <w:tcW w:w="992" w:type="dxa"/>
            <w:shd w:val="clear" w:color="auto" w:fill="auto"/>
          </w:tcPr>
          <w:p w14:paraId="10A6DC5B"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c>
          <w:tcPr>
            <w:tcW w:w="993" w:type="dxa"/>
            <w:shd w:val="clear" w:color="auto" w:fill="auto"/>
          </w:tcPr>
          <w:p w14:paraId="6C604155"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12</w:t>
            </w:r>
          </w:p>
        </w:tc>
        <w:tc>
          <w:tcPr>
            <w:tcW w:w="708" w:type="dxa"/>
            <w:shd w:val="clear" w:color="auto" w:fill="auto"/>
          </w:tcPr>
          <w:p w14:paraId="43B75583"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18</w:t>
            </w:r>
          </w:p>
        </w:tc>
      </w:tr>
      <w:tr w:rsidR="0003300A" w14:paraId="336BE9F3" w14:textId="77777777" w:rsidTr="0051252F">
        <w:trPr>
          <w:trHeight w:val="80"/>
        </w:trPr>
        <w:tc>
          <w:tcPr>
            <w:cnfStyle w:val="001000000000" w:firstRow="0" w:lastRow="0" w:firstColumn="1" w:lastColumn="0" w:oddVBand="0" w:evenVBand="0" w:oddHBand="0" w:evenHBand="0" w:firstRowFirstColumn="0" w:firstRowLastColumn="0" w:lastRowFirstColumn="0" w:lastRowLastColumn="0"/>
            <w:tcW w:w="1845" w:type="dxa"/>
            <w:tcBorders>
              <w:right w:val="nil"/>
            </w:tcBorders>
            <w:shd w:val="clear" w:color="auto" w:fill="auto"/>
          </w:tcPr>
          <w:p w14:paraId="36354CC6" w14:textId="77777777" w:rsidR="00AB0E44" w:rsidRDefault="00361FA3">
            <w:pPr>
              <w:pStyle w:val="Tabletext"/>
              <w:jc w:val="left"/>
              <w:rPr>
                <w:rFonts w:eastAsia="Calibri"/>
                <w:i w:val="0"/>
                <w:lang w:eastAsia="en-AU"/>
              </w:rPr>
            </w:pPr>
            <w:r>
              <w:rPr>
                <w:rFonts w:eastAsia="Calibri"/>
                <w:i w:val="0"/>
                <w:lang w:eastAsia="en-AU"/>
              </w:rPr>
              <w:t>Indonesia</w:t>
            </w:r>
          </w:p>
        </w:tc>
        <w:tc>
          <w:tcPr>
            <w:tcW w:w="565" w:type="dxa"/>
            <w:tcBorders>
              <w:top w:val="nil"/>
              <w:left w:val="nil"/>
              <w:bottom w:val="nil"/>
            </w:tcBorders>
            <w:shd w:val="clear" w:color="auto" w:fill="auto"/>
          </w:tcPr>
          <w:p w14:paraId="35CF1D93"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w:t>
            </w:r>
          </w:p>
        </w:tc>
        <w:tc>
          <w:tcPr>
            <w:tcW w:w="851" w:type="dxa"/>
            <w:shd w:val="clear" w:color="auto" w:fill="auto"/>
          </w:tcPr>
          <w:p w14:paraId="65AE5B7B"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5</w:t>
            </w:r>
          </w:p>
        </w:tc>
        <w:tc>
          <w:tcPr>
            <w:tcW w:w="708" w:type="dxa"/>
            <w:shd w:val="clear" w:color="auto" w:fill="auto"/>
          </w:tcPr>
          <w:p w14:paraId="6CF857AC"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4</w:t>
            </w:r>
          </w:p>
        </w:tc>
        <w:tc>
          <w:tcPr>
            <w:tcW w:w="709" w:type="dxa"/>
            <w:shd w:val="clear" w:color="auto" w:fill="auto"/>
          </w:tcPr>
          <w:p w14:paraId="0E484119"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w:t>
            </w:r>
          </w:p>
        </w:tc>
        <w:tc>
          <w:tcPr>
            <w:tcW w:w="992" w:type="dxa"/>
            <w:shd w:val="clear" w:color="auto" w:fill="auto"/>
          </w:tcPr>
          <w:p w14:paraId="04F606DF"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p>
        </w:tc>
        <w:tc>
          <w:tcPr>
            <w:tcW w:w="993" w:type="dxa"/>
            <w:shd w:val="clear" w:color="auto" w:fill="auto"/>
          </w:tcPr>
          <w:p w14:paraId="6D72419F"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4</w:t>
            </w:r>
          </w:p>
        </w:tc>
        <w:tc>
          <w:tcPr>
            <w:tcW w:w="708" w:type="dxa"/>
            <w:shd w:val="clear" w:color="auto" w:fill="auto"/>
          </w:tcPr>
          <w:p w14:paraId="534C5BD5"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17</w:t>
            </w:r>
          </w:p>
        </w:tc>
      </w:tr>
      <w:tr w:rsidR="0003300A" w14:paraId="2F2BD5F7" w14:textId="77777777" w:rsidTr="0051252F">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845" w:type="dxa"/>
            <w:tcBorders>
              <w:right w:val="nil"/>
            </w:tcBorders>
            <w:shd w:val="clear" w:color="auto" w:fill="auto"/>
          </w:tcPr>
          <w:p w14:paraId="4DFAD483" w14:textId="618292E1" w:rsidR="00AB0E44" w:rsidRDefault="00361FA3" w:rsidP="00F9643A">
            <w:pPr>
              <w:pStyle w:val="Tabletext"/>
              <w:jc w:val="left"/>
              <w:rPr>
                <w:rFonts w:eastAsia="Calibri"/>
                <w:i w:val="0"/>
                <w:lang w:eastAsia="en-AU"/>
              </w:rPr>
            </w:pPr>
            <w:r>
              <w:rPr>
                <w:rFonts w:eastAsia="Calibri"/>
                <w:i w:val="0"/>
                <w:lang w:eastAsia="en-AU"/>
              </w:rPr>
              <w:t>Fiji</w:t>
            </w:r>
            <w:r w:rsidR="00E4548D">
              <w:rPr>
                <w:rFonts w:eastAsia="Calibri"/>
                <w:i w:val="0"/>
                <w:lang w:eastAsia="en-AU"/>
              </w:rPr>
              <w:t xml:space="preserve"> </w:t>
            </w:r>
            <w:r w:rsidR="00F9643A" w:rsidRPr="00DB34FB">
              <w:rPr>
                <w:b/>
                <w:i w:val="0"/>
                <w:lang w:eastAsia="en-AU"/>
              </w:rPr>
              <w:t>a</w:t>
            </w:r>
          </w:p>
        </w:tc>
        <w:tc>
          <w:tcPr>
            <w:tcW w:w="565" w:type="dxa"/>
            <w:tcBorders>
              <w:top w:val="nil"/>
              <w:left w:val="nil"/>
              <w:bottom w:val="nil"/>
            </w:tcBorders>
            <w:shd w:val="clear" w:color="auto" w:fill="auto"/>
          </w:tcPr>
          <w:p w14:paraId="2AB77923"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4</w:t>
            </w:r>
          </w:p>
        </w:tc>
        <w:tc>
          <w:tcPr>
            <w:tcW w:w="851" w:type="dxa"/>
            <w:shd w:val="clear" w:color="auto" w:fill="auto"/>
          </w:tcPr>
          <w:p w14:paraId="5BAEFB7F"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7</w:t>
            </w:r>
          </w:p>
        </w:tc>
        <w:tc>
          <w:tcPr>
            <w:tcW w:w="708" w:type="dxa"/>
            <w:shd w:val="clear" w:color="auto" w:fill="auto"/>
          </w:tcPr>
          <w:p w14:paraId="62F3116C"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2</w:t>
            </w:r>
          </w:p>
        </w:tc>
        <w:tc>
          <w:tcPr>
            <w:tcW w:w="709" w:type="dxa"/>
            <w:shd w:val="clear" w:color="auto" w:fill="auto"/>
          </w:tcPr>
          <w:p w14:paraId="21F057B8"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p>
        </w:tc>
        <w:tc>
          <w:tcPr>
            <w:tcW w:w="992" w:type="dxa"/>
            <w:shd w:val="clear" w:color="auto" w:fill="auto"/>
          </w:tcPr>
          <w:p w14:paraId="1C61EE82"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c>
          <w:tcPr>
            <w:tcW w:w="993" w:type="dxa"/>
            <w:shd w:val="clear" w:color="auto" w:fill="auto"/>
          </w:tcPr>
          <w:p w14:paraId="7407C1B2"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2</w:t>
            </w:r>
          </w:p>
        </w:tc>
        <w:tc>
          <w:tcPr>
            <w:tcW w:w="708" w:type="dxa"/>
            <w:shd w:val="clear" w:color="auto" w:fill="auto"/>
          </w:tcPr>
          <w:p w14:paraId="689ECD03"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16</w:t>
            </w:r>
          </w:p>
        </w:tc>
      </w:tr>
      <w:tr w:rsidR="0003300A" w14:paraId="181626A7" w14:textId="77777777" w:rsidTr="0051252F">
        <w:trPr>
          <w:trHeight w:val="166"/>
        </w:trPr>
        <w:tc>
          <w:tcPr>
            <w:cnfStyle w:val="001000000000" w:firstRow="0" w:lastRow="0" w:firstColumn="1" w:lastColumn="0" w:oddVBand="0" w:evenVBand="0" w:oddHBand="0" w:evenHBand="0" w:firstRowFirstColumn="0" w:firstRowLastColumn="0" w:lastRowFirstColumn="0" w:lastRowLastColumn="0"/>
            <w:tcW w:w="1845" w:type="dxa"/>
            <w:tcBorders>
              <w:right w:val="nil"/>
            </w:tcBorders>
            <w:shd w:val="clear" w:color="auto" w:fill="auto"/>
          </w:tcPr>
          <w:p w14:paraId="3FBC3175" w14:textId="77777777" w:rsidR="00AB0E44" w:rsidRDefault="00361FA3">
            <w:pPr>
              <w:pStyle w:val="Tabletext"/>
              <w:jc w:val="left"/>
              <w:rPr>
                <w:rFonts w:eastAsia="Calibri"/>
                <w:i w:val="0"/>
                <w:lang w:eastAsia="en-AU"/>
              </w:rPr>
            </w:pPr>
            <w:r>
              <w:rPr>
                <w:rFonts w:eastAsia="Calibri"/>
                <w:i w:val="0"/>
                <w:lang w:eastAsia="en-AU"/>
              </w:rPr>
              <w:t>India</w:t>
            </w:r>
          </w:p>
        </w:tc>
        <w:tc>
          <w:tcPr>
            <w:tcW w:w="565" w:type="dxa"/>
            <w:tcBorders>
              <w:top w:val="nil"/>
              <w:left w:val="nil"/>
              <w:bottom w:val="nil"/>
            </w:tcBorders>
            <w:shd w:val="clear" w:color="auto" w:fill="auto"/>
          </w:tcPr>
          <w:p w14:paraId="31C22F58"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3</w:t>
            </w:r>
          </w:p>
        </w:tc>
        <w:tc>
          <w:tcPr>
            <w:tcW w:w="851" w:type="dxa"/>
            <w:shd w:val="clear" w:color="auto" w:fill="auto"/>
          </w:tcPr>
          <w:p w14:paraId="019F14A5"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7</w:t>
            </w:r>
          </w:p>
        </w:tc>
        <w:tc>
          <w:tcPr>
            <w:tcW w:w="708" w:type="dxa"/>
            <w:shd w:val="clear" w:color="auto" w:fill="auto"/>
          </w:tcPr>
          <w:p w14:paraId="4EE7B0F8"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w:t>
            </w:r>
          </w:p>
        </w:tc>
        <w:tc>
          <w:tcPr>
            <w:tcW w:w="709" w:type="dxa"/>
            <w:shd w:val="clear" w:color="auto" w:fill="auto"/>
          </w:tcPr>
          <w:p w14:paraId="297CE852"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p>
        </w:tc>
        <w:tc>
          <w:tcPr>
            <w:tcW w:w="992" w:type="dxa"/>
            <w:shd w:val="clear" w:color="auto" w:fill="auto"/>
          </w:tcPr>
          <w:p w14:paraId="37E96902"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p>
        </w:tc>
        <w:tc>
          <w:tcPr>
            <w:tcW w:w="993" w:type="dxa"/>
            <w:shd w:val="clear" w:color="auto" w:fill="auto"/>
          </w:tcPr>
          <w:p w14:paraId="106E35B1"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3</w:t>
            </w:r>
          </w:p>
        </w:tc>
        <w:tc>
          <w:tcPr>
            <w:tcW w:w="708" w:type="dxa"/>
            <w:shd w:val="clear" w:color="auto" w:fill="auto"/>
          </w:tcPr>
          <w:p w14:paraId="6F0E711C"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15</w:t>
            </w:r>
          </w:p>
        </w:tc>
      </w:tr>
      <w:tr w:rsidR="0003300A" w14:paraId="26C3979D" w14:textId="77777777" w:rsidTr="0051252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45" w:type="dxa"/>
            <w:tcBorders>
              <w:right w:val="nil"/>
            </w:tcBorders>
            <w:shd w:val="clear" w:color="auto" w:fill="auto"/>
          </w:tcPr>
          <w:p w14:paraId="24D5824D" w14:textId="77777777" w:rsidR="00AB0E44" w:rsidRDefault="00361FA3">
            <w:pPr>
              <w:pStyle w:val="Tabletext"/>
              <w:jc w:val="left"/>
              <w:rPr>
                <w:rFonts w:eastAsia="Calibri"/>
                <w:i w:val="0"/>
                <w:lang w:eastAsia="en-AU"/>
              </w:rPr>
            </w:pPr>
            <w:r>
              <w:rPr>
                <w:rFonts w:eastAsia="Calibri"/>
                <w:i w:val="0"/>
                <w:lang w:eastAsia="en-AU"/>
              </w:rPr>
              <w:t>Kenya</w:t>
            </w:r>
          </w:p>
        </w:tc>
        <w:tc>
          <w:tcPr>
            <w:tcW w:w="565" w:type="dxa"/>
            <w:tcBorders>
              <w:top w:val="nil"/>
              <w:left w:val="nil"/>
              <w:bottom w:val="nil"/>
            </w:tcBorders>
            <w:shd w:val="clear" w:color="auto" w:fill="auto"/>
          </w:tcPr>
          <w:p w14:paraId="2DF48F34"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14</w:t>
            </w:r>
          </w:p>
        </w:tc>
        <w:tc>
          <w:tcPr>
            <w:tcW w:w="851" w:type="dxa"/>
            <w:shd w:val="clear" w:color="auto" w:fill="auto"/>
          </w:tcPr>
          <w:p w14:paraId="1A267F75"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p>
        </w:tc>
        <w:tc>
          <w:tcPr>
            <w:tcW w:w="708" w:type="dxa"/>
            <w:shd w:val="clear" w:color="auto" w:fill="auto"/>
          </w:tcPr>
          <w:p w14:paraId="51F45C82"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c>
          <w:tcPr>
            <w:tcW w:w="709" w:type="dxa"/>
            <w:shd w:val="clear" w:color="auto" w:fill="auto"/>
          </w:tcPr>
          <w:p w14:paraId="268DB920"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c>
          <w:tcPr>
            <w:tcW w:w="992" w:type="dxa"/>
            <w:shd w:val="clear" w:color="auto" w:fill="auto"/>
          </w:tcPr>
          <w:p w14:paraId="2603C88F"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c>
          <w:tcPr>
            <w:tcW w:w="993" w:type="dxa"/>
            <w:shd w:val="clear" w:color="auto" w:fill="auto"/>
          </w:tcPr>
          <w:p w14:paraId="7A31D7CF"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c>
          <w:tcPr>
            <w:tcW w:w="708" w:type="dxa"/>
            <w:shd w:val="clear" w:color="auto" w:fill="auto"/>
          </w:tcPr>
          <w:p w14:paraId="65311370"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15</w:t>
            </w:r>
          </w:p>
        </w:tc>
      </w:tr>
      <w:tr w:rsidR="0003300A" w14:paraId="31A4F48B" w14:textId="77777777" w:rsidTr="0051252F">
        <w:trPr>
          <w:trHeight w:val="190"/>
        </w:trPr>
        <w:tc>
          <w:tcPr>
            <w:cnfStyle w:val="001000000000" w:firstRow="0" w:lastRow="0" w:firstColumn="1" w:lastColumn="0" w:oddVBand="0" w:evenVBand="0" w:oddHBand="0" w:evenHBand="0" w:firstRowFirstColumn="0" w:firstRowLastColumn="0" w:lastRowFirstColumn="0" w:lastRowLastColumn="0"/>
            <w:tcW w:w="1845" w:type="dxa"/>
            <w:tcBorders>
              <w:right w:val="nil"/>
            </w:tcBorders>
            <w:shd w:val="clear" w:color="auto" w:fill="auto"/>
          </w:tcPr>
          <w:p w14:paraId="389C3967" w14:textId="77777777" w:rsidR="00AB0E44" w:rsidRDefault="00361FA3">
            <w:pPr>
              <w:pStyle w:val="Tabletext"/>
              <w:jc w:val="left"/>
              <w:rPr>
                <w:rFonts w:eastAsia="Calibri"/>
                <w:i w:val="0"/>
                <w:lang w:eastAsia="en-AU"/>
              </w:rPr>
            </w:pPr>
            <w:r>
              <w:rPr>
                <w:rFonts w:eastAsia="Calibri"/>
                <w:i w:val="0"/>
                <w:lang w:eastAsia="en-AU"/>
              </w:rPr>
              <w:t>Vietnam</w:t>
            </w:r>
          </w:p>
        </w:tc>
        <w:tc>
          <w:tcPr>
            <w:tcW w:w="565" w:type="dxa"/>
            <w:tcBorders>
              <w:top w:val="nil"/>
              <w:left w:val="nil"/>
              <w:bottom w:val="nil"/>
            </w:tcBorders>
            <w:shd w:val="clear" w:color="auto" w:fill="auto"/>
          </w:tcPr>
          <w:p w14:paraId="5C52F650"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6</w:t>
            </w:r>
          </w:p>
        </w:tc>
        <w:tc>
          <w:tcPr>
            <w:tcW w:w="851" w:type="dxa"/>
            <w:shd w:val="clear" w:color="auto" w:fill="auto"/>
          </w:tcPr>
          <w:p w14:paraId="75C0495B"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3</w:t>
            </w:r>
          </w:p>
        </w:tc>
        <w:tc>
          <w:tcPr>
            <w:tcW w:w="708" w:type="dxa"/>
            <w:shd w:val="clear" w:color="auto" w:fill="auto"/>
          </w:tcPr>
          <w:p w14:paraId="6CCB1048"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w:t>
            </w:r>
          </w:p>
        </w:tc>
        <w:tc>
          <w:tcPr>
            <w:tcW w:w="709" w:type="dxa"/>
            <w:shd w:val="clear" w:color="auto" w:fill="auto"/>
          </w:tcPr>
          <w:p w14:paraId="453C8D79"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p>
        </w:tc>
        <w:tc>
          <w:tcPr>
            <w:tcW w:w="992" w:type="dxa"/>
            <w:shd w:val="clear" w:color="auto" w:fill="auto"/>
          </w:tcPr>
          <w:p w14:paraId="3F0C236A"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p>
        </w:tc>
        <w:tc>
          <w:tcPr>
            <w:tcW w:w="993" w:type="dxa"/>
            <w:shd w:val="clear" w:color="auto" w:fill="auto"/>
          </w:tcPr>
          <w:p w14:paraId="4FB765C9"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4</w:t>
            </w:r>
          </w:p>
        </w:tc>
        <w:tc>
          <w:tcPr>
            <w:tcW w:w="708" w:type="dxa"/>
            <w:shd w:val="clear" w:color="auto" w:fill="auto"/>
          </w:tcPr>
          <w:p w14:paraId="49C8A669"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14</w:t>
            </w:r>
          </w:p>
        </w:tc>
      </w:tr>
      <w:tr w:rsidR="0003300A" w14:paraId="2C92D754" w14:textId="77777777" w:rsidTr="0051252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45" w:type="dxa"/>
            <w:tcBorders>
              <w:right w:val="nil"/>
            </w:tcBorders>
            <w:shd w:val="clear" w:color="auto" w:fill="auto"/>
          </w:tcPr>
          <w:p w14:paraId="20464FA4" w14:textId="77777777" w:rsidR="00AB0E44" w:rsidRDefault="00361FA3">
            <w:pPr>
              <w:pStyle w:val="Tabletext"/>
              <w:jc w:val="left"/>
              <w:rPr>
                <w:rFonts w:eastAsia="Calibri"/>
                <w:i w:val="0"/>
                <w:lang w:eastAsia="en-AU"/>
              </w:rPr>
            </w:pPr>
            <w:r>
              <w:rPr>
                <w:rFonts w:eastAsia="Calibri"/>
                <w:i w:val="0"/>
                <w:lang w:eastAsia="en-AU"/>
              </w:rPr>
              <w:t>Malaysia</w:t>
            </w:r>
          </w:p>
        </w:tc>
        <w:tc>
          <w:tcPr>
            <w:tcW w:w="565" w:type="dxa"/>
            <w:tcBorders>
              <w:top w:val="nil"/>
              <w:left w:val="nil"/>
              <w:bottom w:val="nil"/>
            </w:tcBorders>
            <w:shd w:val="clear" w:color="auto" w:fill="auto"/>
          </w:tcPr>
          <w:p w14:paraId="446A0392"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2</w:t>
            </w:r>
          </w:p>
        </w:tc>
        <w:tc>
          <w:tcPr>
            <w:tcW w:w="851" w:type="dxa"/>
            <w:shd w:val="clear" w:color="auto" w:fill="auto"/>
          </w:tcPr>
          <w:p w14:paraId="3217CC56"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3</w:t>
            </w:r>
          </w:p>
        </w:tc>
        <w:tc>
          <w:tcPr>
            <w:tcW w:w="708" w:type="dxa"/>
            <w:shd w:val="clear" w:color="auto" w:fill="auto"/>
          </w:tcPr>
          <w:p w14:paraId="5606BFFB"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p>
        </w:tc>
        <w:tc>
          <w:tcPr>
            <w:tcW w:w="709" w:type="dxa"/>
            <w:shd w:val="clear" w:color="auto" w:fill="auto"/>
          </w:tcPr>
          <w:p w14:paraId="5BFFD7A0"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p>
        </w:tc>
        <w:tc>
          <w:tcPr>
            <w:tcW w:w="992" w:type="dxa"/>
            <w:shd w:val="clear" w:color="auto" w:fill="auto"/>
          </w:tcPr>
          <w:p w14:paraId="00FFEDFE"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c>
          <w:tcPr>
            <w:tcW w:w="993" w:type="dxa"/>
            <w:shd w:val="clear" w:color="auto" w:fill="auto"/>
          </w:tcPr>
          <w:p w14:paraId="7559ED15"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4</w:t>
            </w:r>
          </w:p>
        </w:tc>
        <w:tc>
          <w:tcPr>
            <w:tcW w:w="708" w:type="dxa"/>
            <w:shd w:val="clear" w:color="auto" w:fill="auto"/>
          </w:tcPr>
          <w:p w14:paraId="15E9273C"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11</w:t>
            </w:r>
          </w:p>
        </w:tc>
      </w:tr>
      <w:tr w:rsidR="0003300A" w14:paraId="2E1592D9" w14:textId="77777777" w:rsidTr="0051252F">
        <w:trPr>
          <w:trHeight w:val="86"/>
        </w:trPr>
        <w:tc>
          <w:tcPr>
            <w:cnfStyle w:val="001000000000" w:firstRow="0" w:lastRow="0" w:firstColumn="1" w:lastColumn="0" w:oddVBand="0" w:evenVBand="0" w:oddHBand="0" w:evenHBand="0" w:firstRowFirstColumn="0" w:firstRowLastColumn="0" w:lastRowFirstColumn="0" w:lastRowLastColumn="0"/>
            <w:tcW w:w="1845" w:type="dxa"/>
            <w:tcBorders>
              <w:right w:val="nil"/>
            </w:tcBorders>
            <w:shd w:val="clear" w:color="auto" w:fill="auto"/>
          </w:tcPr>
          <w:p w14:paraId="185B83A4" w14:textId="77777777" w:rsidR="00AB0E44" w:rsidRDefault="00361FA3">
            <w:pPr>
              <w:pStyle w:val="Tabletext"/>
              <w:jc w:val="left"/>
              <w:rPr>
                <w:rFonts w:eastAsia="Calibri"/>
                <w:i w:val="0"/>
                <w:lang w:eastAsia="en-AU"/>
              </w:rPr>
            </w:pPr>
            <w:r>
              <w:rPr>
                <w:rFonts w:eastAsia="Calibri"/>
                <w:i w:val="0"/>
                <w:lang w:eastAsia="en-AU"/>
              </w:rPr>
              <w:t>Thailand</w:t>
            </w:r>
          </w:p>
        </w:tc>
        <w:tc>
          <w:tcPr>
            <w:tcW w:w="565" w:type="dxa"/>
            <w:tcBorders>
              <w:top w:val="nil"/>
              <w:left w:val="nil"/>
              <w:bottom w:val="nil"/>
            </w:tcBorders>
            <w:shd w:val="clear" w:color="auto" w:fill="auto"/>
          </w:tcPr>
          <w:p w14:paraId="09D5E10E"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3</w:t>
            </w:r>
          </w:p>
        </w:tc>
        <w:tc>
          <w:tcPr>
            <w:tcW w:w="851" w:type="dxa"/>
            <w:shd w:val="clear" w:color="auto" w:fill="auto"/>
          </w:tcPr>
          <w:p w14:paraId="6D278B95"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w:t>
            </w:r>
          </w:p>
        </w:tc>
        <w:tc>
          <w:tcPr>
            <w:tcW w:w="708" w:type="dxa"/>
            <w:shd w:val="clear" w:color="auto" w:fill="auto"/>
          </w:tcPr>
          <w:p w14:paraId="2122C77F"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4</w:t>
            </w:r>
          </w:p>
        </w:tc>
        <w:tc>
          <w:tcPr>
            <w:tcW w:w="709" w:type="dxa"/>
            <w:shd w:val="clear" w:color="auto" w:fill="auto"/>
          </w:tcPr>
          <w:p w14:paraId="4E4C0A0F"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p>
        </w:tc>
        <w:tc>
          <w:tcPr>
            <w:tcW w:w="992" w:type="dxa"/>
            <w:shd w:val="clear" w:color="auto" w:fill="auto"/>
          </w:tcPr>
          <w:p w14:paraId="562AC0C2"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p>
        </w:tc>
        <w:tc>
          <w:tcPr>
            <w:tcW w:w="993" w:type="dxa"/>
            <w:shd w:val="clear" w:color="auto" w:fill="auto"/>
          </w:tcPr>
          <w:p w14:paraId="4131AE1D"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3</w:t>
            </w:r>
          </w:p>
        </w:tc>
        <w:tc>
          <w:tcPr>
            <w:tcW w:w="708" w:type="dxa"/>
            <w:shd w:val="clear" w:color="auto" w:fill="auto"/>
          </w:tcPr>
          <w:p w14:paraId="29F16DFF"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11</w:t>
            </w:r>
          </w:p>
        </w:tc>
      </w:tr>
      <w:tr w:rsidR="0003300A" w14:paraId="0A364A1C" w14:textId="77777777" w:rsidTr="0051252F">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845" w:type="dxa"/>
            <w:tcBorders>
              <w:right w:val="nil"/>
            </w:tcBorders>
            <w:shd w:val="clear" w:color="auto" w:fill="auto"/>
          </w:tcPr>
          <w:p w14:paraId="0CAF660D" w14:textId="5C79F008" w:rsidR="00AB0E44" w:rsidRDefault="00361FA3" w:rsidP="0003300A">
            <w:pPr>
              <w:pStyle w:val="Tabletext"/>
              <w:jc w:val="left"/>
              <w:rPr>
                <w:rFonts w:eastAsia="Calibri"/>
                <w:bCs/>
                <w:i w:val="0"/>
                <w:lang w:eastAsia="en-AU"/>
              </w:rPr>
            </w:pPr>
            <w:r>
              <w:rPr>
                <w:rFonts w:eastAsia="Calibri"/>
                <w:i w:val="0"/>
                <w:lang w:eastAsia="en-AU"/>
              </w:rPr>
              <w:t>Unknown</w:t>
            </w:r>
            <w:r w:rsidR="0003300A">
              <w:rPr>
                <w:rFonts w:eastAsia="Calibri"/>
                <w:i w:val="0"/>
                <w:lang w:eastAsia="en-AU"/>
              </w:rPr>
              <w:t xml:space="preserve"> </w:t>
            </w:r>
            <w:r w:rsidR="0003300A">
              <w:rPr>
                <w:rFonts w:eastAsia="Calibri"/>
                <w:b/>
                <w:i w:val="0"/>
                <w:lang w:eastAsia="en-AU"/>
              </w:rPr>
              <w:t>b</w:t>
            </w:r>
          </w:p>
        </w:tc>
        <w:tc>
          <w:tcPr>
            <w:tcW w:w="565" w:type="dxa"/>
            <w:tcBorders>
              <w:top w:val="nil"/>
              <w:left w:val="nil"/>
              <w:bottom w:val="nil"/>
            </w:tcBorders>
            <w:shd w:val="clear" w:color="auto" w:fill="auto"/>
          </w:tcPr>
          <w:p w14:paraId="3FEAC4AF"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c>
          <w:tcPr>
            <w:tcW w:w="851" w:type="dxa"/>
            <w:shd w:val="clear" w:color="auto" w:fill="auto"/>
          </w:tcPr>
          <w:p w14:paraId="2C883DC0"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p>
        </w:tc>
        <w:tc>
          <w:tcPr>
            <w:tcW w:w="708" w:type="dxa"/>
            <w:shd w:val="clear" w:color="auto" w:fill="auto"/>
          </w:tcPr>
          <w:p w14:paraId="01B5AFDE"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24</w:t>
            </w:r>
          </w:p>
        </w:tc>
        <w:tc>
          <w:tcPr>
            <w:tcW w:w="709" w:type="dxa"/>
            <w:shd w:val="clear" w:color="auto" w:fill="auto"/>
          </w:tcPr>
          <w:p w14:paraId="32288535"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2</w:t>
            </w:r>
          </w:p>
        </w:tc>
        <w:tc>
          <w:tcPr>
            <w:tcW w:w="992" w:type="dxa"/>
            <w:shd w:val="clear" w:color="auto" w:fill="auto"/>
          </w:tcPr>
          <w:p w14:paraId="578B0684"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4</w:t>
            </w:r>
          </w:p>
        </w:tc>
        <w:tc>
          <w:tcPr>
            <w:tcW w:w="993" w:type="dxa"/>
            <w:shd w:val="clear" w:color="auto" w:fill="auto"/>
          </w:tcPr>
          <w:p w14:paraId="0B85D2A5"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8</w:t>
            </w:r>
          </w:p>
        </w:tc>
        <w:tc>
          <w:tcPr>
            <w:tcW w:w="708" w:type="dxa"/>
            <w:shd w:val="clear" w:color="auto" w:fill="auto"/>
          </w:tcPr>
          <w:p w14:paraId="27EEAB81"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bCs/>
                <w:lang w:eastAsia="en-AU"/>
              </w:rPr>
            </w:pPr>
            <w:r>
              <w:rPr>
                <w:bCs/>
                <w:lang w:eastAsia="en-AU"/>
              </w:rPr>
              <w:t>39</w:t>
            </w:r>
          </w:p>
        </w:tc>
      </w:tr>
      <w:tr w:rsidR="0003300A" w14:paraId="1FBBCB2F" w14:textId="77777777" w:rsidTr="0051252F">
        <w:trPr>
          <w:trHeight w:val="111"/>
        </w:trPr>
        <w:tc>
          <w:tcPr>
            <w:cnfStyle w:val="001000000000" w:firstRow="0" w:lastRow="0" w:firstColumn="1" w:lastColumn="0" w:oddVBand="0" w:evenVBand="0" w:oddHBand="0" w:evenHBand="0" w:firstRowFirstColumn="0" w:firstRowLastColumn="0" w:lastRowFirstColumn="0" w:lastRowLastColumn="0"/>
            <w:tcW w:w="1845" w:type="dxa"/>
            <w:tcBorders>
              <w:right w:val="nil"/>
            </w:tcBorders>
            <w:shd w:val="clear" w:color="auto" w:fill="auto"/>
          </w:tcPr>
          <w:p w14:paraId="5FC5CA45" w14:textId="77777777" w:rsidR="00AB0E44" w:rsidRDefault="00361FA3">
            <w:pPr>
              <w:pStyle w:val="Tabletext"/>
              <w:jc w:val="left"/>
              <w:rPr>
                <w:rFonts w:eastAsia="Calibri"/>
                <w:i w:val="0"/>
                <w:lang w:eastAsia="en-AU"/>
              </w:rPr>
            </w:pPr>
            <w:r>
              <w:rPr>
                <w:rFonts w:eastAsia="Calibri"/>
                <w:i w:val="0"/>
                <w:lang w:eastAsia="en-AU"/>
              </w:rPr>
              <w:t>Other (40 countries)</w:t>
            </w:r>
          </w:p>
        </w:tc>
        <w:tc>
          <w:tcPr>
            <w:tcW w:w="565" w:type="dxa"/>
            <w:tcBorders>
              <w:top w:val="nil"/>
              <w:left w:val="nil"/>
              <w:bottom w:val="nil"/>
            </w:tcBorders>
            <w:shd w:val="clear" w:color="auto" w:fill="auto"/>
          </w:tcPr>
          <w:p w14:paraId="41ED9873"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14</w:t>
            </w:r>
          </w:p>
        </w:tc>
        <w:tc>
          <w:tcPr>
            <w:tcW w:w="851" w:type="dxa"/>
            <w:shd w:val="clear" w:color="auto" w:fill="auto"/>
          </w:tcPr>
          <w:p w14:paraId="52FE5662"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14</w:t>
            </w:r>
          </w:p>
        </w:tc>
        <w:tc>
          <w:tcPr>
            <w:tcW w:w="708" w:type="dxa"/>
            <w:shd w:val="clear" w:color="auto" w:fill="auto"/>
          </w:tcPr>
          <w:p w14:paraId="0244C8F1"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7</w:t>
            </w:r>
          </w:p>
        </w:tc>
        <w:tc>
          <w:tcPr>
            <w:tcW w:w="709" w:type="dxa"/>
            <w:shd w:val="clear" w:color="auto" w:fill="auto"/>
          </w:tcPr>
          <w:p w14:paraId="23DD8923"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5</w:t>
            </w:r>
          </w:p>
        </w:tc>
        <w:tc>
          <w:tcPr>
            <w:tcW w:w="992" w:type="dxa"/>
            <w:shd w:val="clear" w:color="auto" w:fill="auto"/>
          </w:tcPr>
          <w:p w14:paraId="04E2D76B"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4</w:t>
            </w:r>
          </w:p>
        </w:tc>
        <w:tc>
          <w:tcPr>
            <w:tcW w:w="993" w:type="dxa"/>
            <w:shd w:val="clear" w:color="auto" w:fill="auto"/>
          </w:tcPr>
          <w:p w14:paraId="0D6EC3DE"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50</w:t>
            </w:r>
          </w:p>
        </w:tc>
        <w:tc>
          <w:tcPr>
            <w:tcW w:w="708" w:type="dxa"/>
            <w:shd w:val="clear" w:color="auto" w:fill="auto"/>
          </w:tcPr>
          <w:p w14:paraId="6D5CE4A0"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bCs/>
                <w:lang w:eastAsia="en-AU"/>
              </w:rPr>
            </w:pPr>
            <w:r>
              <w:rPr>
                <w:bCs/>
                <w:lang w:eastAsia="en-AU"/>
              </w:rPr>
              <w:t>94</w:t>
            </w:r>
          </w:p>
        </w:tc>
      </w:tr>
      <w:tr w:rsidR="0003300A" w:rsidRPr="0003300A" w14:paraId="08DF89CE" w14:textId="77777777" w:rsidTr="0051252F">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845" w:type="dxa"/>
            <w:tcBorders>
              <w:right w:val="nil"/>
            </w:tcBorders>
            <w:shd w:val="clear" w:color="auto" w:fill="auto"/>
          </w:tcPr>
          <w:p w14:paraId="026E83B3" w14:textId="77777777" w:rsidR="00AB0E44" w:rsidRPr="0003300A" w:rsidRDefault="00361FA3">
            <w:pPr>
              <w:pStyle w:val="Tabletext"/>
              <w:jc w:val="left"/>
              <w:rPr>
                <w:rFonts w:eastAsia="Calibri"/>
                <w:i w:val="0"/>
                <w:lang w:eastAsia="en-AU"/>
              </w:rPr>
            </w:pPr>
            <w:r w:rsidRPr="0003300A">
              <w:rPr>
                <w:rFonts w:eastAsia="Calibri"/>
                <w:i w:val="0"/>
                <w:lang w:eastAsia="en-AU"/>
              </w:rPr>
              <w:t>Total</w:t>
            </w:r>
          </w:p>
        </w:tc>
        <w:tc>
          <w:tcPr>
            <w:tcW w:w="565" w:type="dxa"/>
            <w:tcBorders>
              <w:top w:val="nil"/>
              <w:left w:val="nil"/>
              <w:bottom w:val="single" w:sz="4" w:space="0" w:color="000000"/>
            </w:tcBorders>
            <w:shd w:val="clear" w:color="auto" w:fill="auto"/>
          </w:tcPr>
          <w:p w14:paraId="64BF114A" w14:textId="77777777" w:rsidR="00AB0E44" w:rsidRPr="0003300A"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03300A">
              <w:rPr>
                <w:lang w:eastAsia="en-AU"/>
              </w:rPr>
              <w:t>57</w:t>
            </w:r>
          </w:p>
        </w:tc>
        <w:tc>
          <w:tcPr>
            <w:tcW w:w="851" w:type="dxa"/>
            <w:shd w:val="clear" w:color="auto" w:fill="auto"/>
          </w:tcPr>
          <w:p w14:paraId="1107249F" w14:textId="77777777" w:rsidR="00AB0E44" w:rsidRPr="0003300A"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03300A">
              <w:rPr>
                <w:lang w:eastAsia="en-AU"/>
              </w:rPr>
              <w:t>64</w:t>
            </w:r>
          </w:p>
        </w:tc>
        <w:tc>
          <w:tcPr>
            <w:tcW w:w="708" w:type="dxa"/>
            <w:shd w:val="clear" w:color="auto" w:fill="auto"/>
          </w:tcPr>
          <w:p w14:paraId="5A149EFC" w14:textId="77777777" w:rsidR="00AB0E44" w:rsidRPr="0003300A"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03300A">
              <w:rPr>
                <w:lang w:eastAsia="en-AU"/>
              </w:rPr>
              <w:t>55</w:t>
            </w:r>
          </w:p>
        </w:tc>
        <w:tc>
          <w:tcPr>
            <w:tcW w:w="709" w:type="dxa"/>
            <w:shd w:val="clear" w:color="auto" w:fill="auto"/>
          </w:tcPr>
          <w:p w14:paraId="6423FE5D" w14:textId="77777777" w:rsidR="00AB0E44" w:rsidRPr="0003300A"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03300A">
              <w:rPr>
                <w:lang w:eastAsia="en-AU"/>
              </w:rPr>
              <w:t>15</w:t>
            </w:r>
          </w:p>
        </w:tc>
        <w:tc>
          <w:tcPr>
            <w:tcW w:w="992" w:type="dxa"/>
            <w:shd w:val="clear" w:color="auto" w:fill="auto"/>
          </w:tcPr>
          <w:p w14:paraId="53E2274D" w14:textId="77777777" w:rsidR="00AB0E44" w:rsidRPr="0003300A"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03300A">
              <w:rPr>
                <w:lang w:eastAsia="en-AU"/>
              </w:rPr>
              <w:t>12</w:t>
            </w:r>
          </w:p>
        </w:tc>
        <w:tc>
          <w:tcPr>
            <w:tcW w:w="993" w:type="dxa"/>
            <w:shd w:val="clear" w:color="auto" w:fill="auto"/>
          </w:tcPr>
          <w:p w14:paraId="260A95EF" w14:textId="77777777" w:rsidR="00AB0E44" w:rsidRPr="0003300A"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sidRPr="0003300A">
              <w:rPr>
                <w:lang w:eastAsia="en-AU"/>
              </w:rPr>
              <w:t>106</w:t>
            </w:r>
          </w:p>
        </w:tc>
        <w:tc>
          <w:tcPr>
            <w:tcW w:w="708" w:type="dxa"/>
            <w:shd w:val="clear" w:color="auto" w:fill="auto"/>
          </w:tcPr>
          <w:p w14:paraId="7F26A6F2" w14:textId="77777777" w:rsidR="00AB0E44" w:rsidRPr="0003300A" w:rsidRDefault="00361FA3">
            <w:pPr>
              <w:pStyle w:val="Tabletext"/>
              <w:jc w:val="right"/>
              <w:cnfStyle w:val="000000100000" w:firstRow="0" w:lastRow="0" w:firstColumn="0" w:lastColumn="0" w:oddVBand="0" w:evenVBand="0" w:oddHBand="1" w:evenHBand="0" w:firstRowFirstColumn="0" w:firstRowLastColumn="0" w:lastRowFirstColumn="0" w:lastRowLastColumn="0"/>
              <w:rPr>
                <w:bCs/>
                <w:lang w:eastAsia="en-AU"/>
              </w:rPr>
            </w:pPr>
            <w:r w:rsidRPr="0003300A">
              <w:rPr>
                <w:bCs/>
                <w:lang w:eastAsia="en-AU"/>
              </w:rPr>
              <w:t>309</w:t>
            </w:r>
          </w:p>
        </w:tc>
      </w:tr>
    </w:tbl>
    <w:p w14:paraId="02B648EE" w14:textId="36F93D0F" w:rsidR="00AB0E44" w:rsidRDefault="0003300A">
      <w:pPr>
        <w:pStyle w:val="FigureTableNoteSource"/>
        <w:rPr>
          <w:lang w:eastAsia="en-AU"/>
        </w:rPr>
      </w:pPr>
      <w:proofErr w:type="gramStart"/>
      <w:r w:rsidRPr="0051252F">
        <w:rPr>
          <w:b/>
          <w:lang w:eastAsia="en-AU"/>
        </w:rPr>
        <w:t>a</w:t>
      </w:r>
      <w:proofErr w:type="gramEnd"/>
      <w:r w:rsidR="00361FA3" w:rsidRPr="0003300A">
        <w:rPr>
          <w:lang w:eastAsia="en-AU"/>
        </w:rPr>
        <w:t xml:space="preserve"> Country action list. </w:t>
      </w:r>
      <w:proofErr w:type="gramStart"/>
      <w:r w:rsidRPr="0051252F">
        <w:rPr>
          <w:b/>
          <w:lang w:eastAsia="en-AU"/>
        </w:rPr>
        <w:t>b</w:t>
      </w:r>
      <w:proofErr w:type="gramEnd"/>
      <w:r w:rsidR="00361FA3" w:rsidRPr="0003300A">
        <w:rPr>
          <w:lang w:eastAsia="en-AU"/>
        </w:rPr>
        <w:t xml:space="preserve"> Origin undete</w:t>
      </w:r>
      <w:r w:rsidR="00361FA3">
        <w:rPr>
          <w:lang w:eastAsia="en-AU"/>
        </w:rPr>
        <w:t xml:space="preserve">rmined. </w:t>
      </w:r>
      <w:r w:rsidR="00361FA3" w:rsidRPr="0051252F">
        <w:rPr>
          <w:rStyle w:val="Strong"/>
        </w:rPr>
        <w:t>FCL</w:t>
      </w:r>
      <w:r w:rsidR="00361FA3">
        <w:rPr>
          <w:lang w:eastAsia="en-AU"/>
        </w:rPr>
        <w:t xml:space="preserve"> Full container load. </w:t>
      </w:r>
      <w:r w:rsidR="00361FA3" w:rsidRPr="0051252F">
        <w:rPr>
          <w:rStyle w:val="Strong"/>
        </w:rPr>
        <w:t>LCL</w:t>
      </w:r>
      <w:r w:rsidR="00361FA3">
        <w:rPr>
          <w:lang w:eastAsia="en-AU"/>
        </w:rPr>
        <w:t xml:space="preserve"> Less than full container load.</w:t>
      </w:r>
    </w:p>
    <w:p w14:paraId="26188291" w14:textId="77777777" w:rsidR="00AB0E44" w:rsidRDefault="00361FA3">
      <w:pPr>
        <w:pStyle w:val="FigureTableNoteSource"/>
        <w:rPr>
          <w:lang w:eastAsia="en-AU"/>
        </w:rPr>
      </w:pPr>
      <w:r>
        <w:rPr>
          <w:lang w:eastAsia="en-AU"/>
        </w:rPr>
        <w:t>Source: Department of Agriculture and Water Resources</w:t>
      </w:r>
    </w:p>
    <w:p w14:paraId="1555BFAF" w14:textId="0670BFA3" w:rsidR="00AB0E44" w:rsidRDefault="00361FA3">
      <w:pPr>
        <w:spacing w:before="240"/>
        <w:rPr>
          <w:lang w:eastAsia="en-AU"/>
        </w:rPr>
      </w:pPr>
      <w:r>
        <w:rPr>
          <w:lang w:eastAsia="en-AU"/>
        </w:rPr>
        <w:t>The department conducts targeted surveillance at and near ports using purpose</w:t>
      </w:r>
      <w:r w:rsidR="007E61A2">
        <w:rPr>
          <w:lang w:eastAsia="en-AU"/>
        </w:rPr>
        <w:t>-</w:t>
      </w:r>
      <w:r>
        <w:rPr>
          <w:lang w:eastAsia="en-AU"/>
        </w:rPr>
        <w:t>built traps which are regularly checked. Any ants caught are photographed and sent for identification. Border detections by the department are reported to the relevant state/territory departments so that an integrated response can be mounted. An issue for any surveillance is the plethora of native ant species which must be distinguished from the unwanted exotic ants.</w:t>
      </w:r>
    </w:p>
    <w:p w14:paraId="15A7603D" w14:textId="114EA328" w:rsidR="00AB0E44" w:rsidRDefault="00361FA3">
      <w:pPr>
        <w:spacing w:before="240"/>
        <w:rPr>
          <w:lang w:eastAsia="en-AU"/>
        </w:rPr>
      </w:pPr>
      <w:r>
        <w:rPr>
          <w:lang w:eastAsia="en-AU"/>
        </w:rPr>
        <w:t xml:space="preserve">By contrast, New Zealand engages in an </w:t>
      </w:r>
      <w:r w:rsidRPr="00E460BD">
        <w:rPr>
          <w:lang w:eastAsia="en-AU"/>
        </w:rPr>
        <w:t xml:space="preserve">innovative National Invasive Ant Surveillance </w:t>
      </w:r>
      <w:r w:rsidR="00E460BD" w:rsidRPr="0051252F">
        <w:rPr>
          <w:lang w:eastAsia="en-AU"/>
        </w:rPr>
        <w:t>P</w:t>
      </w:r>
      <w:r w:rsidRPr="00E460BD">
        <w:rPr>
          <w:lang w:eastAsia="en-AU"/>
        </w:rPr>
        <w:t>rogram</w:t>
      </w:r>
      <w:r w:rsidR="00E460BD" w:rsidRPr="00E460BD">
        <w:rPr>
          <w:lang w:eastAsia="en-AU"/>
        </w:rPr>
        <w:t>me</w:t>
      </w:r>
      <w:r>
        <w:rPr>
          <w:lang w:eastAsia="en-AU"/>
        </w:rPr>
        <w:t xml:space="preserve"> each summer</w:t>
      </w:r>
      <w:r w:rsidR="00A81D6D">
        <w:rPr>
          <w:lang w:eastAsia="en-AU"/>
        </w:rPr>
        <w:t>.</w:t>
      </w:r>
      <w:r>
        <w:rPr>
          <w:lang w:eastAsia="en-AU"/>
        </w:rPr>
        <w:t xml:space="preserve"> </w:t>
      </w:r>
      <w:r w:rsidR="00A81D6D">
        <w:rPr>
          <w:lang w:eastAsia="en-AU"/>
        </w:rPr>
        <w:t>I</w:t>
      </w:r>
      <w:r>
        <w:rPr>
          <w:lang w:eastAsia="en-AU"/>
        </w:rPr>
        <w:t>t sets out hundreds of closely-spaced geo-referenced ant traps around its main ports and airports. The traps are only left out for a day</w:t>
      </w:r>
      <w:r w:rsidR="00A81D6D">
        <w:rPr>
          <w:lang w:eastAsia="en-AU"/>
        </w:rPr>
        <w:t>,</w:t>
      </w:r>
      <w:r>
        <w:rPr>
          <w:lang w:eastAsia="en-AU"/>
        </w:rPr>
        <w:t xml:space="preserve"> after which they are all collected and analysed for the presence of any exotic invasive ant species. The location of any positive trap is examined more closely and any ant nests there destroyed, with follow</w:t>
      </w:r>
      <w:r w:rsidR="00A81D6D">
        <w:rPr>
          <w:lang w:eastAsia="en-AU"/>
        </w:rPr>
        <w:t>-</w:t>
      </w:r>
      <w:r>
        <w:rPr>
          <w:lang w:eastAsia="en-AU"/>
        </w:rPr>
        <w:t>up baiting and surveillance to ensure success. This program would be extremely difficult and expensive to implement in Australia</w:t>
      </w:r>
      <w:r w:rsidR="00A81D6D">
        <w:rPr>
          <w:lang w:eastAsia="en-AU"/>
        </w:rPr>
        <w:t xml:space="preserve"> because of </w:t>
      </w:r>
      <w:r>
        <w:rPr>
          <w:lang w:eastAsia="en-AU"/>
        </w:rPr>
        <w:t>our greater number of ports and our warmer climate, which would mean surveillance is needed year</w:t>
      </w:r>
      <w:r w:rsidR="00A81D6D">
        <w:rPr>
          <w:lang w:eastAsia="en-AU"/>
        </w:rPr>
        <w:t>-</w:t>
      </w:r>
      <w:r>
        <w:rPr>
          <w:lang w:eastAsia="en-AU"/>
        </w:rPr>
        <w:t>round.</w:t>
      </w:r>
    </w:p>
    <w:p w14:paraId="5123B876" w14:textId="77777777" w:rsidR="00AB0E44" w:rsidRDefault="00361FA3">
      <w:pPr>
        <w:pStyle w:val="Heading3"/>
      </w:pPr>
      <w:bookmarkStart w:id="127" w:name="_Toc521069559"/>
      <w:r>
        <w:t>Giant African snails (</w:t>
      </w:r>
      <w:proofErr w:type="spellStart"/>
      <w:r>
        <w:rPr>
          <w:i/>
        </w:rPr>
        <w:t>Achatina</w:t>
      </w:r>
      <w:proofErr w:type="spellEnd"/>
      <w:r>
        <w:rPr>
          <w:i/>
        </w:rPr>
        <w:t xml:space="preserve"> </w:t>
      </w:r>
      <w:proofErr w:type="spellStart"/>
      <w:r>
        <w:rPr>
          <w:i/>
        </w:rPr>
        <w:t>fulica</w:t>
      </w:r>
      <w:proofErr w:type="spellEnd"/>
      <w:r>
        <w:t>)</w:t>
      </w:r>
      <w:bookmarkEnd w:id="127"/>
    </w:p>
    <w:p w14:paraId="62685876" w14:textId="47A4FEB5" w:rsidR="00AB0E44" w:rsidRDefault="00361FA3">
      <w:pPr>
        <w:rPr>
          <w:iCs/>
          <w:lang w:eastAsia="en-AU"/>
        </w:rPr>
      </w:pPr>
      <w:r w:rsidRPr="00E460BD">
        <w:rPr>
          <w:lang w:eastAsia="en-AU"/>
        </w:rPr>
        <w:t>The giant African snail</w:t>
      </w:r>
      <w:r w:rsidR="00FF0C6D">
        <w:rPr>
          <w:lang w:eastAsia="en-AU"/>
        </w:rPr>
        <w:t xml:space="preserve"> (GAS) </w:t>
      </w:r>
      <w:r w:rsidRPr="00E460BD">
        <w:rPr>
          <w:lang w:eastAsia="en-AU"/>
        </w:rPr>
        <w:t>is a major agricultural</w:t>
      </w:r>
      <w:r w:rsidR="00970634">
        <w:rPr>
          <w:lang w:eastAsia="en-AU"/>
        </w:rPr>
        <w:t>, environmental</w:t>
      </w:r>
      <w:r w:rsidRPr="00E460BD">
        <w:rPr>
          <w:lang w:eastAsia="en-AU"/>
        </w:rPr>
        <w:t xml:space="preserve"> and amenity pest. Individual snails may reach over 20 c</w:t>
      </w:r>
      <w:r w:rsidR="00E460BD" w:rsidRPr="0051252F">
        <w:rPr>
          <w:lang w:eastAsia="en-AU"/>
        </w:rPr>
        <w:t>entimetres</w:t>
      </w:r>
      <w:r w:rsidRPr="00E460BD">
        <w:rPr>
          <w:lang w:eastAsia="en-AU"/>
        </w:rPr>
        <w:t xml:space="preserve"> in length and weigh over 30 grams. They feed on over 500 different plants</w:t>
      </w:r>
      <w:r w:rsidR="00A81D6D" w:rsidRPr="00E460BD">
        <w:rPr>
          <w:lang w:eastAsia="en-AU"/>
        </w:rPr>
        <w:t>,</w:t>
      </w:r>
      <w:r w:rsidRPr="00E460BD">
        <w:rPr>
          <w:lang w:eastAsia="en-AU"/>
        </w:rPr>
        <w:t xml:space="preserve"> including many ornamentals, most vegetables (especially brassicas), legumes, pumpkins and melons, potato, onion, sunflowers and eucalypts</w:t>
      </w:r>
      <w:r w:rsidR="00A81D6D" w:rsidRPr="00E460BD">
        <w:rPr>
          <w:lang w:eastAsia="en-AU"/>
        </w:rPr>
        <w:t>.</w:t>
      </w:r>
      <w:r w:rsidRPr="00E460BD">
        <w:rPr>
          <w:lang w:eastAsia="en-AU"/>
        </w:rPr>
        <w:t xml:space="preserve"> </w:t>
      </w:r>
      <w:r w:rsidR="00A81D6D" w:rsidRPr="00E460BD">
        <w:rPr>
          <w:lang w:eastAsia="en-AU"/>
        </w:rPr>
        <w:t xml:space="preserve">They </w:t>
      </w:r>
      <w:r w:rsidRPr="00E460BD">
        <w:rPr>
          <w:lang w:eastAsia="en-AU"/>
        </w:rPr>
        <w:t xml:space="preserve">may also eat </w:t>
      </w:r>
      <w:r w:rsidRPr="00E460BD">
        <w:rPr>
          <w:iCs/>
          <w:lang w:eastAsia="en-AU"/>
        </w:rPr>
        <w:t xml:space="preserve">tree bark. </w:t>
      </w:r>
      <w:r w:rsidRPr="00E460BD">
        <w:rPr>
          <w:lang w:eastAsia="en-AU"/>
        </w:rPr>
        <w:t xml:space="preserve">Environmental impacts include competition with endemic snail species, </w:t>
      </w:r>
      <w:r w:rsidR="00A81D6D" w:rsidRPr="00E460BD">
        <w:rPr>
          <w:lang w:eastAsia="en-AU"/>
        </w:rPr>
        <w:t xml:space="preserve">which they sometimes also eat, </w:t>
      </w:r>
      <w:r w:rsidRPr="00E460BD">
        <w:rPr>
          <w:lang w:eastAsia="en-AU"/>
        </w:rPr>
        <w:t>and adversely changing soil properties. Amenity impacts include offensive odours on death and population levels reaching the point where it is not possible to avoid stepping on them on pathways or driving over them on roads, potentially causing skidding.</w:t>
      </w:r>
    </w:p>
    <w:p w14:paraId="58169FA7" w14:textId="510078C2" w:rsidR="00AB0E44" w:rsidRDefault="00FF0C6D">
      <w:pPr>
        <w:rPr>
          <w:lang w:eastAsia="en-AU"/>
        </w:rPr>
      </w:pPr>
      <w:r>
        <w:rPr>
          <w:lang w:eastAsia="en-AU"/>
        </w:rPr>
        <w:t>The</w:t>
      </w:r>
      <w:r w:rsidR="0003300A">
        <w:rPr>
          <w:lang w:eastAsia="en-AU"/>
        </w:rPr>
        <w:t xml:space="preserve"> snails </w:t>
      </w:r>
      <w:r w:rsidR="00361FA3">
        <w:rPr>
          <w:lang w:eastAsia="en-AU"/>
        </w:rPr>
        <w:t>are long-lived</w:t>
      </w:r>
      <w:r w:rsidR="00A81D6D">
        <w:rPr>
          <w:lang w:eastAsia="en-AU"/>
        </w:rPr>
        <w:t>,</w:t>
      </w:r>
      <w:r w:rsidR="00361FA3">
        <w:rPr>
          <w:lang w:eastAsia="en-AU"/>
        </w:rPr>
        <w:t xml:space="preserve"> prolific breeders. A snail may lay between 10 and 400 eggs at a time and </w:t>
      </w:r>
      <w:r w:rsidR="00A81D6D">
        <w:rPr>
          <w:lang w:eastAsia="en-AU"/>
        </w:rPr>
        <w:t xml:space="preserve">from </w:t>
      </w:r>
      <w:r w:rsidR="00361FA3">
        <w:rPr>
          <w:lang w:eastAsia="en-AU"/>
        </w:rPr>
        <w:t>300 to 1</w:t>
      </w:r>
      <w:r w:rsidR="00A81D6D">
        <w:rPr>
          <w:lang w:eastAsia="en-AU"/>
        </w:rPr>
        <w:t>,</w:t>
      </w:r>
      <w:r w:rsidR="00361FA3">
        <w:rPr>
          <w:lang w:eastAsia="en-AU"/>
        </w:rPr>
        <w:t xml:space="preserve">000 eggs each year in </w:t>
      </w:r>
      <w:r w:rsidR="00A81D6D">
        <w:rPr>
          <w:lang w:eastAsia="en-AU"/>
        </w:rPr>
        <w:t>three</w:t>
      </w:r>
      <w:r w:rsidR="00361FA3">
        <w:rPr>
          <w:lang w:eastAsia="en-AU"/>
        </w:rPr>
        <w:t xml:space="preserve"> to </w:t>
      </w:r>
      <w:r w:rsidR="00A81D6D">
        <w:rPr>
          <w:lang w:eastAsia="en-AU"/>
        </w:rPr>
        <w:t xml:space="preserve">four </w:t>
      </w:r>
      <w:r w:rsidR="00361FA3">
        <w:rPr>
          <w:lang w:eastAsia="en-AU"/>
        </w:rPr>
        <w:t>clutches. As they can store sperm, a single snail could produce a large number of offspring following entry into Australia.</w:t>
      </w:r>
    </w:p>
    <w:p w14:paraId="76F79C03" w14:textId="10D92558" w:rsidR="00AB0E44" w:rsidRDefault="00361FA3">
      <w:pPr>
        <w:rPr>
          <w:lang w:eastAsia="en-AU"/>
        </w:rPr>
      </w:pPr>
      <w:r>
        <w:rPr>
          <w:lang w:eastAsia="en-AU"/>
        </w:rPr>
        <w:t>The snails were described in east Africa in 1821, then in India in 1847. Since then they have spread through South-East Asia to the Pacific and the Caribbean. During the Second World War they spread significantly with military equipment (</w:t>
      </w:r>
      <w:proofErr w:type="spellStart"/>
      <w:r>
        <w:rPr>
          <w:lang w:eastAsia="en-AU"/>
        </w:rPr>
        <w:t>Thiengo</w:t>
      </w:r>
      <w:proofErr w:type="spellEnd"/>
      <w:r>
        <w:rPr>
          <w:lang w:eastAsia="en-AU"/>
        </w:rPr>
        <w:t xml:space="preserve"> et al. 2007)</w:t>
      </w:r>
      <w:r w:rsidR="00A81D6D">
        <w:rPr>
          <w:lang w:eastAsia="en-AU"/>
        </w:rPr>
        <w:t>.</w:t>
      </w:r>
      <w:r>
        <w:rPr>
          <w:lang w:eastAsia="en-AU"/>
        </w:rPr>
        <w:t xml:space="preserve"> </w:t>
      </w:r>
      <w:r w:rsidR="00A81D6D">
        <w:rPr>
          <w:lang w:eastAsia="en-AU"/>
        </w:rPr>
        <w:t xml:space="preserve">After the </w:t>
      </w:r>
      <w:r>
        <w:rPr>
          <w:lang w:eastAsia="en-AU"/>
        </w:rPr>
        <w:t xml:space="preserve">war, the US intercepted many snails on military equipment returning from the Asia-Pacific. Since the establishment of </w:t>
      </w:r>
      <w:r w:rsidR="0003300A">
        <w:rPr>
          <w:lang w:eastAsia="en-AU"/>
        </w:rPr>
        <w:t xml:space="preserve">giant African snails </w:t>
      </w:r>
      <w:r>
        <w:rPr>
          <w:lang w:eastAsia="en-AU"/>
        </w:rPr>
        <w:t>in Hawaii</w:t>
      </w:r>
      <w:r w:rsidR="00A81D6D">
        <w:rPr>
          <w:lang w:eastAsia="en-AU"/>
        </w:rPr>
        <w:t>,</w:t>
      </w:r>
      <w:r>
        <w:rPr>
          <w:lang w:eastAsia="en-AU"/>
        </w:rPr>
        <w:t xml:space="preserve"> there have been periodic introductions into continental US. </w:t>
      </w:r>
      <w:r w:rsidR="0003300A">
        <w:rPr>
          <w:lang w:eastAsia="en-AU"/>
        </w:rPr>
        <w:t xml:space="preserve">Giant African snails were </w:t>
      </w:r>
      <w:r>
        <w:rPr>
          <w:lang w:eastAsia="en-AU"/>
        </w:rPr>
        <w:t>introduced into Brazil in 1988 (</w:t>
      </w:r>
      <w:r>
        <w:rPr>
          <w:lang w:eastAsia="en-AU"/>
        </w:rPr>
        <w:fldChar w:fldCharType="begin"/>
      </w:r>
      <w:r>
        <w:rPr>
          <w:lang w:eastAsia="en-AU"/>
        </w:rPr>
        <w:instrText xml:space="preserve"> REF _Ref514229107 \h </w:instrText>
      </w:r>
      <w:r>
        <w:rPr>
          <w:lang w:eastAsia="en-AU"/>
        </w:rPr>
      </w:r>
      <w:r>
        <w:rPr>
          <w:lang w:eastAsia="en-AU"/>
        </w:rPr>
        <w:fldChar w:fldCharType="separate"/>
      </w:r>
      <w:r w:rsidR="007F78D8">
        <w:t xml:space="preserve">Box </w:t>
      </w:r>
      <w:r w:rsidR="007F78D8">
        <w:rPr>
          <w:noProof/>
        </w:rPr>
        <w:t>2</w:t>
      </w:r>
      <w:r>
        <w:rPr>
          <w:lang w:eastAsia="en-AU"/>
        </w:rPr>
        <w:fldChar w:fldCharType="end"/>
      </w:r>
      <w:r>
        <w:rPr>
          <w:lang w:eastAsia="en-AU"/>
        </w:rPr>
        <w:t>).</w:t>
      </w:r>
    </w:p>
    <w:p w14:paraId="142910D6" w14:textId="77777777" w:rsidR="00AB0E44" w:rsidRDefault="00361FA3">
      <w:pPr>
        <w:pStyle w:val="Caption"/>
        <w:rPr>
          <w:noProof/>
        </w:rPr>
      </w:pPr>
      <w:bookmarkStart w:id="128" w:name="_Ref514229107"/>
      <w:r>
        <w:t xml:space="preserve">Box </w:t>
      </w:r>
      <w:r w:rsidR="00F21B3D">
        <w:rPr>
          <w:noProof/>
        </w:rPr>
        <w:fldChar w:fldCharType="begin"/>
      </w:r>
      <w:r w:rsidR="00F21B3D">
        <w:rPr>
          <w:noProof/>
        </w:rPr>
        <w:instrText xml:space="preserve"> SEQ Box \* ARABIC </w:instrText>
      </w:r>
      <w:r w:rsidR="00F21B3D">
        <w:rPr>
          <w:noProof/>
        </w:rPr>
        <w:fldChar w:fldCharType="separate"/>
      </w:r>
      <w:r w:rsidR="007F78D8">
        <w:rPr>
          <w:noProof/>
        </w:rPr>
        <w:t>2</w:t>
      </w:r>
      <w:r w:rsidR="00F21B3D">
        <w:rPr>
          <w:noProof/>
        </w:rPr>
        <w:fldChar w:fldCharType="end"/>
      </w:r>
      <w:bookmarkEnd w:id="128"/>
      <w:r>
        <w:rPr>
          <w:noProof/>
        </w:rPr>
        <w:t xml:space="preserve"> Giant African snail invasions in the Americas</w:t>
      </w:r>
    </w:p>
    <w:p w14:paraId="32BB9833" w14:textId="086AE179" w:rsidR="00A81D6D" w:rsidRPr="0051252F" w:rsidRDefault="00361FA3" w:rsidP="0051252F">
      <w:pPr>
        <w:pStyle w:val="BoxText"/>
        <w:rPr>
          <w:b/>
        </w:rPr>
      </w:pPr>
      <w:r w:rsidRPr="0051252F">
        <w:rPr>
          <w:b/>
        </w:rPr>
        <w:t>The US</w:t>
      </w:r>
      <w:r w:rsidR="003D5B2B">
        <w:rPr>
          <w:b/>
        </w:rPr>
        <w:t>: o</w:t>
      </w:r>
      <w:r w:rsidRPr="0051252F">
        <w:rPr>
          <w:b/>
        </w:rPr>
        <w:t>ne boy, ten years and a million dollars</w:t>
      </w:r>
    </w:p>
    <w:p w14:paraId="06778B08" w14:textId="4E94C9A5" w:rsidR="00AB0E44" w:rsidRDefault="00361FA3" w:rsidP="0051252F">
      <w:pPr>
        <w:pStyle w:val="BoxText"/>
      </w:pPr>
      <w:r>
        <w:t xml:space="preserve">In 1966 a boy from Florida on holiday in Hawaii took three giant African snails home with him as pets. </w:t>
      </w:r>
      <w:r w:rsidR="00A81D6D">
        <w:t xml:space="preserve">His grandmother </w:t>
      </w:r>
      <w:r>
        <w:t xml:space="preserve">released </w:t>
      </w:r>
      <w:r w:rsidR="00A81D6D">
        <w:t xml:space="preserve">them </w:t>
      </w:r>
      <w:r>
        <w:t>in her garden. The Florida state government was alerted in 1969 and by 1973 18</w:t>
      </w:r>
      <w:r w:rsidR="00A81D6D">
        <w:t>,</w:t>
      </w:r>
      <w:r>
        <w:t xml:space="preserve">000 snails had been found and destroyed. The overall Florida state eradication campaign took 10 years and cost over </w:t>
      </w:r>
      <w:r w:rsidR="00A81D6D">
        <w:t xml:space="preserve">US$1 </w:t>
      </w:r>
      <w:r>
        <w:t>million at that time (</w:t>
      </w:r>
      <w:proofErr w:type="spellStart"/>
      <w:r>
        <w:t>Capinera</w:t>
      </w:r>
      <w:proofErr w:type="spellEnd"/>
      <w:r>
        <w:t xml:space="preserve"> 2011).</w:t>
      </w:r>
    </w:p>
    <w:p w14:paraId="35C94818" w14:textId="2DF34204" w:rsidR="00A81D6D" w:rsidRPr="00A560A6" w:rsidRDefault="00361FA3" w:rsidP="0051252F">
      <w:pPr>
        <w:pStyle w:val="BoxText"/>
      </w:pPr>
      <w:r w:rsidRPr="0051252F">
        <w:rPr>
          <w:b/>
        </w:rPr>
        <w:t>Brazil</w:t>
      </w:r>
      <w:r w:rsidR="003D5B2B">
        <w:rPr>
          <w:b/>
        </w:rPr>
        <w:t>: a</w:t>
      </w:r>
      <w:r w:rsidRPr="0051252F">
        <w:rPr>
          <w:b/>
        </w:rPr>
        <w:t xml:space="preserve"> new business venture gone wrong</w:t>
      </w:r>
    </w:p>
    <w:p w14:paraId="331D689B" w14:textId="541C9214" w:rsidR="00AB0E44" w:rsidRPr="0051252F" w:rsidRDefault="0003300A" w:rsidP="0051252F">
      <w:pPr>
        <w:pStyle w:val="BoxText"/>
      </w:pPr>
      <w:r>
        <w:t xml:space="preserve">Giant African snails </w:t>
      </w:r>
      <w:r w:rsidR="00361FA3">
        <w:t>were introduced to Brazil in 1988 for sale at an agricultural show. The snails were intended to be farmed for human consumption. Many of those who tried the venture lost money and their snails were simply released into the wild or thrown into garbage piles. This led to extensive infestation of urban areas and garbage dumps. By 2007 snails were present in 23 of 26 national regions (</w:t>
      </w:r>
      <w:proofErr w:type="spellStart"/>
      <w:r w:rsidR="00361FA3">
        <w:t>Thiengo</w:t>
      </w:r>
      <w:proofErr w:type="spellEnd"/>
      <w:r w:rsidR="00361FA3">
        <w:t xml:space="preserve"> et al. 2007).</w:t>
      </w:r>
    </w:p>
    <w:p w14:paraId="5962AE92" w14:textId="6E94654C" w:rsidR="00AB0E44" w:rsidRDefault="00713620">
      <w:pPr>
        <w:spacing w:before="240"/>
        <w:rPr>
          <w:lang w:eastAsia="en-AU"/>
        </w:rPr>
      </w:pPr>
      <w:r>
        <w:rPr>
          <w:lang w:eastAsia="en-AU"/>
        </w:rPr>
        <w:t xml:space="preserve">Giant African snails </w:t>
      </w:r>
      <w:r w:rsidR="00361FA3">
        <w:rPr>
          <w:lang w:eastAsia="en-AU"/>
        </w:rPr>
        <w:t xml:space="preserve">are known vectors for the rat lungworm </w:t>
      </w:r>
      <w:r>
        <w:rPr>
          <w:lang w:eastAsia="en-AU"/>
        </w:rPr>
        <w:t>(</w:t>
      </w:r>
      <w:proofErr w:type="spellStart"/>
      <w:r w:rsidR="00361FA3">
        <w:rPr>
          <w:i/>
          <w:lang w:eastAsia="en-AU"/>
        </w:rPr>
        <w:t>Angiostrongylus</w:t>
      </w:r>
      <w:proofErr w:type="spellEnd"/>
      <w:r w:rsidR="00361FA3">
        <w:rPr>
          <w:i/>
          <w:lang w:eastAsia="en-AU"/>
        </w:rPr>
        <w:t xml:space="preserve"> </w:t>
      </w:r>
      <w:proofErr w:type="spellStart"/>
      <w:r w:rsidR="00361FA3">
        <w:rPr>
          <w:i/>
          <w:lang w:eastAsia="en-AU"/>
        </w:rPr>
        <w:t>cantonensis</w:t>
      </w:r>
      <w:proofErr w:type="spellEnd"/>
      <w:r>
        <w:rPr>
          <w:lang w:eastAsia="en-AU"/>
        </w:rPr>
        <w:t>)</w:t>
      </w:r>
      <w:r w:rsidR="00361FA3">
        <w:rPr>
          <w:lang w:eastAsia="en-AU"/>
        </w:rPr>
        <w:t>, which causes eosinophilic meningitis in humans (</w:t>
      </w:r>
      <w:proofErr w:type="spellStart"/>
      <w:r w:rsidR="00361FA3">
        <w:rPr>
          <w:lang w:eastAsia="en-AU"/>
        </w:rPr>
        <w:t>Tillier</w:t>
      </w:r>
      <w:proofErr w:type="spellEnd"/>
      <w:r w:rsidR="00361FA3">
        <w:rPr>
          <w:lang w:eastAsia="en-AU"/>
        </w:rPr>
        <w:t xml:space="preserve"> et al. 199</w:t>
      </w:r>
      <w:r w:rsidR="00223743">
        <w:rPr>
          <w:lang w:eastAsia="en-AU"/>
        </w:rPr>
        <w:t>3</w:t>
      </w:r>
      <w:r w:rsidR="00361FA3">
        <w:rPr>
          <w:lang w:eastAsia="en-AU"/>
        </w:rPr>
        <w:t>). Rat lungworm is already present in Australia</w:t>
      </w:r>
      <w:r w:rsidR="00A81D6D">
        <w:rPr>
          <w:lang w:eastAsia="en-AU"/>
        </w:rPr>
        <w:t>,</w:t>
      </w:r>
      <w:r w:rsidR="00361FA3">
        <w:rPr>
          <w:lang w:eastAsia="en-AU"/>
        </w:rPr>
        <w:t xml:space="preserve"> and the introduction of </w:t>
      </w:r>
      <w:r>
        <w:rPr>
          <w:lang w:eastAsia="en-AU"/>
        </w:rPr>
        <w:t xml:space="preserve">the snails </w:t>
      </w:r>
      <w:r w:rsidR="00361FA3">
        <w:rPr>
          <w:lang w:eastAsia="en-AU"/>
        </w:rPr>
        <w:t>(or other efficient vectors such as the semi-slug (Box 3)</w:t>
      </w:r>
      <w:r w:rsidR="00A81D6D">
        <w:rPr>
          <w:lang w:eastAsia="en-AU"/>
        </w:rPr>
        <w:t>)</w:t>
      </w:r>
      <w:r w:rsidR="00361FA3">
        <w:rPr>
          <w:lang w:eastAsia="en-AU"/>
        </w:rPr>
        <w:t xml:space="preserve"> would increase the risk of it being spread to humans. </w:t>
      </w:r>
      <w:r>
        <w:rPr>
          <w:lang w:eastAsia="en-AU"/>
        </w:rPr>
        <w:t xml:space="preserve">The snails </w:t>
      </w:r>
      <w:r w:rsidR="00361FA3">
        <w:rPr>
          <w:lang w:eastAsia="en-AU"/>
        </w:rPr>
        <w:t xml:space="preserve">can also transmit various </w:t>
      </w:r>
      <w:r w:rsidR="00361FA3">
        <w:rPr>
          <w:i/>
          <w:lang w:eastAsia="en-AU"/>
        </w:rPr>
        <w:t>Phytophthora</w:t>
      </w:r>
      <w:r w:rsidR="00361FA3">
        <w:rPr>
          <w:lang w:eastAsia="en-AU"/>
        </w:rPr>
        <w:t xml:space="preserve"> species to susceptible </w:t>
      </w:r>
      <w:r w:rsidR="00361FA3">
        <w:rPr>
          <w:szCs w:val="24"/>
          <w:lang w:eastAsia="en-AU"/>
        </w:rPr>
        <w:t>plants (Turner 1967).</w:t>
      </w:r>
    </w:p>
    <w:p w14:paraId="39D005B6" w14:textId="77777777" w:rsidR="00AB0E44" w:rsidRDefault="00361FA3">
      <w:pPr>
        <w:pStyle w:val="Caption"/>
        <w:rPr>
          <w:noProof/>
        </w:rPr>
      </w:pPr>
      <w:r>
        <w:t xml:space="preserve">Box </w:t>
      </w:r>
      <w:r w:rsidR="00F21B3D">
        <w:rPr>
          <w:noProof/>
        </w:rPr>
        <w:fldChar w:fldCharType="begin"/>
      </w:r>
      <w:r w:rsidR="00F21B3D">
        <w:rPr>
          <w:noProof/>
        </w:rPr>
        <w:instrText xml:space="preserve"> SEQ Box \* ARABIC </w:instrText>
      </w:r>
      <w:r w:rsidR="00F21B3D">
        <w:rPr>
          <w:noProof/>
        </w:rPr>
        <w:fldChar w:fldCharType="separate"/>
      </w:r>
      <w:r w:rsidR="007F78D8">
        <w:rPr>
          <w:noProof/>
        </w:rPr>
        <w:t>3</w:t>
      </w:r>
      <w:r w:rsidR="00F21B3D">
        <w:rPr>
          <w:noProof/>
        </w:rPr>
        <w:fldChar w:fldCharType="end"/>
      </w:r>
      <w:r>
        <w:rPr>
          <w:noProof/>
        </w:rPr>
        <w:t xml:space="preserve"> Contaminated containers could bring in the semi-slug</w:t>
      </w:r>
    </w:p>
    <w:p w14:paraId="7C77EC75" w14:textId="01ACF239" w:rsidR="00AB0E44" w:rsidRDefault="00361FA3" w:rsidP="0051252F">
      <w:pPr>
        <w:pStyle w:val="BoxText"/>
      </w:pPr>
      <w:r>
        <w:t>The semi-slug (</w:t>
      </w:r>
      <w:proofErr w:type="spellStart"/>
      <w:r w:rsidRPr="0051252F">
        <w:rPr>
          <w:rStyle w:val="Emphasis"/>
        </w:rPr>
        <w:t>Parmarion</w:t>
      </w:r>
      <w:proofErr w:type="spellEnd"/>
      <w:r w:rsidRPr="0051252F">
        <w:rPr>
          <w:rStyle w:val="Emphasis"/>
        </w:rPr>
        <w:t xml:space="preserve"> </w:t>
      </w:r>
      <w:proofErr w:type="spellStart"/>
      <w:r w:rsidRPr="0051252F">
        <w:rPr>
          <w:rStyle w:val="Emphasis"/>
        </w:rPr>
        <w:t>martensi</w:t>
      </w:r>
      <w:proofErr w:type="spellEnd"/>
      <w:r>
        <w:t>) is a small, inconspicuous pest of agricultural, environmental and public health significance. It can inhabit many environments, feeding on a diverse range of fruits, vegetables, food scraps and pet food (Hollingsworth et al. 2007). It can climb to find food</w:t>
      </w:r>
      <w:r w:rsidR="00713620">
        <w:t>.</w:t>
      </w:r>
      <w:r>
        <w:t xml:space="preserve"> </w:t>
      </w:r>
      <w:r w:rsidR="00713620">
        <w:t xml:space="preserve">It </w:t>
      </w:r>
      <w:r>
        <w:t xml:space="preserve">also likes hiding in soil under rocks and on other organic matter, </w:t>
      </w:r>
      <w:r w:rsidR="00713620">
        <w:t xml:space="preserve">thereby </w:t>
      </w:r>
      <w:r>
        <w:t>posing a hitchhiking risk.</w:t>
      </w:r>
    </w:p>
    <w:p w14:paraId="1FB74070" w14:textId="3C2ACE8C" w:rsidR="00AB0E44" w:rsidRDefault="00713620" w:rsidP="0051252F">
      <w:pPr>
        <w:pStyle w:val="BoxText"/>
      </w:pPr>
      <w:r>
        <w:t xml:space="preserve">The semi-slug </w:t>
      </w:r>
      <w:r w:rsidR="00361FA3">
        <w:t xml:space="preserve">is a prolific vector of the rat lungworm </w:t>
      </w:r>
      <w:r>
        <w:t>(</w:t>
      </w:r>
      <w:proofErr w:type="spellStart"/>
      <w:r w:rsidR="00361FA3" w:rsidRPr="0051252F">
        <w:rPr>
          <w:i/>
        </w:rPr>
        <w:t>Angiostrongylus</w:t>
      </w:r>
      <w:proofErr w:type="spellEnd"/>
      <w:r w:rsidR="00361FA3" w:rsidRPr="0051252F">
        <w:rPr>
          <w:i/>
        </w:rPr>
        <w:t xml:space="preserve"> </w:t>
      </w:r>
      <w:proofErr w:type="spellStart"/>
      <w:r w:rsidR="00361FA3" w:rsidRPr="0051252F">
        <w:rPr>
          <w:i/>
        </w:rPr>
        <w:t>cantonensis</w:t>
      </w:r>
      <w:proofErr w:type="spellEnd"/>
      <w:r>
        <w:t>)</w:t>
      </w:r>
      <w:r w:rsidR="00361FA3">
        <w:t>, whose larvae are excreted in great numbers in the slime from the semi-slug</w:t>
      </w:r>
      <w:r w:rsidR="00A81D6D">
        <w:t xml:space="preserve">, which is </w:t>
      </w:r>
      <w:r w:rsidR="00361FA3">
        <w:t xml:space="preserve">deposited as </w:t>
      </w:r>
      <w:r w:rsidR="00A81D6D">
        <w:t xml:space="preserve">the semi-slug </w:t>
      </w:r>
      <w:r w:rsidR="00361FA3">
        <w:t>crawls across salad vegetables, fruits and other foods</w:t>
      </w:r>
      <w:r w:rsidR="00A81D6D">
        <w:t>.</w:t>
      </w:r>
      <w:r w:rsidR="00361FA3">
        <w:t xml:space="preserve"> </w:t>
      </w:r>
      <w:r w:rsidR="00A81D6D">
        <w:t xml:space="preserve">There is a </w:t>
      </w:r>
      <w:r w:rsidR="00361FA3">
        <w:t xml:space="preserve">high risk </w:t>
      </w:r>
      <w:r w:rsidR="00A81D6D">
        <w:t xml:space="preserve">that </w:t>
      </w:r>
      <w:r w:rsidR="00361FA3">
        <w:t xml:space="preserve">people and other animals </w:t>
      </w:r>
      <w:r w:rsidR="00A81D6D">
        <w:t xml:space="preserve">that </w:t>
      </w:r>
      <w:r w:rsidR="00361FA3">
        <w:t xml:space="preserve">may </w:t>
      </w:r>
      <w:r w:rsidR="00A81D6D">
        <w:t xml:space="preserve">later </w:t>
      </w:r>
      <w:r w:rsidR="00361FA3">
        <w:t xml:space="preserve">eat these </w:t>
      </w:r>
      <w:r w:rsidR="00A81D6D">
        <w:t>foods will be infected</w:t>
      </w:r>
      <w:r w:rsidR="00361FA3">
        <w:t>. The larvae find their way to the human brain</w:t>
      </w:r>
      <w:r w:rsidR="00A81D6D">
        <w:t>,</w:t>
      </w:r>
      <w:r w:rsidR="00361FA3">
        <w:t xml:space="preserve"> where they cause blinding light and pain flashes, other neurological symptoms and even death. </w:t>
      </w:r>
      <w:r w:rsidR="00A81D6D">
        <w:t xml:space="preserve">In </w:t>
      </w:r>
      <w:r w:rsidR="00361FA3">
        <w:t>Hawaii</w:t>
      </w:r>
      <w:r w:rsidR="00A81D6D">
        <w:t>,</w:t>
      </w:r>
      <w:r w:rsidR="00361FA3">
        <w:t xml:space="preserve"> </w:t>
      </w:r>
      <w:r w:rsidR="00A81D6D">
        <w:t xml:space="preserve">the invasion of </w:t>
      </w:r>
      <w:r w:rsidR="00361FA3">
        <w:t>the semi-slug has led to an upsurge in human cases of rat lungworm infest</w:t>
      </w:r>
      <w:r w:rsidR="00A81D6D">
        <w:t>at</w:t>
      </w:r>
      <w:r w:rsidR="00361FA3">
        <w:t>ions and brain disease in recent years.</w:t>
      </w:r>
    </w:p>
    <w:p w14:paraId="542FCCF2" w14:textId="1AA2CD19" w:rsidR="00AB0E44" w:rsidRPr="0051252F" w:rsidRDefault="00361FA3" w:rsidP="0051252F">
      <w:pPr>
        <w:pStyle w:val="BoxText"/>
      </w:pPr>
      <w:r>
        <w:t xml:space="preserve">Rat lungworm is present at a very low level in Australia. The introduction of </w:t>
      </w:r>
      <w:r w:rsidR="00713620">
        <w:t xml:space="preserve">the semi-slug </w:t>
      </w:r>
      <w:r>
        <w:t xml:space="preserve">would significantly increase risks of its spread to humans. If contaminated containers from countries with semi-slugs </w:t>
      </w:r>
      <w:r w:rsidR="00A81D6D">
        <w:t xml:space="preserve">are not cleaned and </w:t>
      </w:r>
      <w:r>
        <w:t>are released into tropical and subtropical parts of Australia, the risk of semi-slug incursions is unmitigated.</w:t>
      </w:r>
    </w:p>
    <w:p w14:paraId="43C28AEE" w14:textId="11D8AD80" w:rsidR="00AB0E44" w:rsidRDefault="00361FA3">
      <w:pPr>
        <w:spacing w:before="240"/>
        <w:rPr>
          <w:lang w:eastAsia="en-AU"/>
        </w:rPr>
      </w:pPr>
      <w:r>
        <w:rPr>
          <w:lang w:eastAsia="en-AU"/>
        </w:rPr>
        <w:t xml:space="preserve">Apart from deliberate introductions, snails may also be inadvertently introduced in soil or on machinery and other objects. They frequently burrow into soil or enter dark, cool and covered areas during the day to avoid predation and adverse environmental conditions. The risk of snails hiding in, on or under objects like sea containers is greatest when they are placed on or next to soil or grassy areas. Arrival pathways for </w:t>
      </w:r>
      <w:r w:rsidR="00713620">
        <w:rPr>
          <w:lang w:eastAsia="en-AU"/>
        </w:rPr>
        <w:t xml:space="preserve">giant African snails </w:t>
      </w:r>
      <w:r>
        <w:rPr>
          <w:lang w:eastAsia="en-AU"/>
        </w:rPr>
        <w:t>into Australia include predominantly sea containers and sea cargo (</w:t>
      </w:r>
      <w:r>
        <w:rPr>
          <w:lang w:eastAsia="en-AU"/>
        </w:rPr>
        <w:fldChar w:fldCharType="begin"/>
      </w:r>
      <w:r>
        <w:rPr>
          <w:lang w:eastAsia="en-AU"/>
        </w:rPr>
        <w:instrText xml:space="preserve"> REF _Ref514150955 \h </w:instrText>
      </w:r>
      <w:r>
        <w:rPr>
          <w:lang w:eastAsia="en-AU"/>
        </w:rPr>
      </w:r>
      <w:r>
        <w:rPr>
          <w:lang w:eastAsia="en-AU"/>
        </w:rPr>
        <w:fldChar w:fldCharType="separate"/>
      </w:r>
      <w:r w:rsidR="007F78D8">
        <w:t xml:space="preserve">Table </w:t>
      </w:r>
      <w:r w:rsidR="007F78D8">
        <w:rPr>
          <w:noProof/>
        </w:rPr>
        <w:t>12</w:t>
      </w:r>
      <w:r>
        <w:rPr>
          <w:lang w:eastAsia="en-AU"/>
        </w:rPr>
        <w:fldChar w:fldCharType="end"/>
      </w:r>
      <w:r>
        <w:rPr>
          <w:lang w:eastAsia="en-AU"/>
        </w:rPr>
        <w:t>).</w:t>
      </w:r>
    </w:p>
    <w:p w14:paraId="1958AAF3" w14:textId="28BBB9BA" w:rsidR="00AB0E44" w:rsidRDefault="00361FA3">
      <w:pPr>
        <w:pStyle w:val="Caption"/>
        <w:rPr>
          <w:lang w:eastAsia="en-AU"/>
        </w:rPr>
      </w:pPr>
      <w:bookmarkStart w:id="129" w:name="_Ref514150955"/>
      <w:bookmarkStart w:id="130" w:name="_Toc521069603"/>
      <w:r>
        <w:t xml:space="preserve">Table </w:t>
      </w:r>
      <w:r w:rsidR="00F21B3D">
        <w:rPr>
          <w:noProof/>
        </w:rPr>
        <w:fldChar w:fldCharType="begin"/>
      </w:r>
      <w:r w:rsidR="00F21B3D">
        <w:rPr>
          <w:noProof/>
        </w:rPr>
        <w:instrText xml:space="preserve"> SEQ Table \* ARABIC </w:instrText>
      </w:r>
      <w:r w:rsidR="00F21B3D">
        <w:rPr>
          <w:noProof/>
        </w:rPr>
        <w:fldChar w:fldCharType="separate"/>
      </w:r>
      <w:r w:rsidR="007F78D8">
        <w:rPr>
          <w:noProof/>
        </w:rPr>
        <w:t>12</w:t>
      </w:r>
      <w:r w:rsidR="00F21B3D">
        <w:rPr>
          <w:noProof/>
        </w:rPr>
        <w:fldChar w:fldCharType="end"/>
      </w:r>
      <w:bookmarkEnd w:id="129"/>
      <w:r>
        <w:rPr>
          <w:noProof/>
        </w:rPr>
        <w:t xml:space="preserve"> Giant African snail interceptions, by top five c</w:t>
      </w:r>
      <w:r w:rsidR="004166B5">
        <w:rPr>
          <w:noProof/>
        </w:rPr>
        <w:t>ountries of origin and pathway,</w:t>
      </w:r>
      <w:r w:rsidR="004166B5">
        <w:rPr>
          <w:noProof/>
        </w:rPr>
        <w:br/>
      </w:r>
      <w:r w:rsidR="00DF0F2B" w:rsidRPr="00DF0F2B">
        <w:rPr>
          <w:noProof/>
        </w:rPr>
        <w:t>2012–</w:t>
      </w:r>
      <w:r w:rsidR="00555CCB">
        <w:rPr>
          <w:noProof/>
        </w:rPr>
        <w:t>20</w:t>
      </w:r>
      <w:r w:rsidR="00DF0F2B" w:rsidRPr="00DF0F2B">
        <w:rPr>
          <w:noProof/>
        </w:rPr>
        <w:t>17</w:t>
      </w:r>
      <w:bookmarkEnd w:id="130"/>
    </w:p>
    <w:tbl>
      <w:tblPr>
        <w:tblStyle w:val="PlainTable5"/>
        <w:tblW w:w="8789" w:type="dxa"/>
        <w:tblBorders>
          <w:top w:val="single" w:sz="4" w:space="0" w:color="auto"/>
          <w:bottom w:val="single" w:sz="4" w:space="0" w:color="auto"/>
        </w:tblBorders>
        <w:tblLayout w:type="fixed"/>
        <w:tblLook w:val="04A0" w:firstRow="1" w:lastRow="0" w:firstColumn="1" w:lastColumn="0" w:noHBand="0" w:noVBand="1"/>
      </w:tblPr>
      <w:tblGrid>
        <w:gridCol w:w="1843"/>
        <w:gridCol w:w="868"/>
        <w:gridCol w:w="868"/>
        <w:gridCol w:w="868"/>
        <w:gridCol w:w="869"/>
        <w:gridCol w:w="780"/>
        <w:gridCol w:w="956"/>
        <w:gridCol w:w="1028"/>
        <w:gridCol w:w="709"/>
      </w:tblGrid>
      <w:tr w:rsidR="00AB0E44" w14:paraId="7872E314" w14:textId="77777777" w:rsidTr="0051252F">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1843" w:type="dxa"/>
            <w:tcBorders>
              <w:top w:val="single" w:sz="4" w:space="0" w:color="auto"/>
              <w:bottom w:val="nil"/>
              <w:right w:val="none" w:sz="0" w:space="0" w:color="auto"/>
            </w:tcBorders>
            <w:shd w:val="clear" w:color="auto" w:fill="auto"/>
          </w:tcPr>
          <w:p w14:paraId="79A2E1A0" w14:textId="77777777" w:rsidR="00AB0E44" w:rsidRDefault="00361FA3">
            <w:pPr>
              <w:pStyle w:val="Tabletext"/>
              <w:jc w:val="left"/>
              <w:rPr>
                <w:rFonts w:eastAsia="Calibri"/>
                <w:b/>
                <w:i w:val="0"/>
                <w:lang w:eastAsia="en-AU"/>
              </w:rPr>
            </w:pPr>
            <w:r>
              <w:rPr>
                <w:rFonts w:eastAsia="Calibri"/>
                <w:b/>
                <w:i w:val="0"/>
                <w:lang w:eastAsia="en-AU"/>
              </w:rPr>
              <w:t>Country of origin</w:t>
            </w:r>
          </w:p>
        </w:tc>
        <w:tc>
          <w:tcPr>
            <w:tcW w:w="868" w:type="dxa"/>
            <w:tcBorders>
              <w:top w:val="single" w:sz="4" w:space="0" w:color="auto"/>
              <w:bottom w:val="nil"/>
            </w:tcBorders>
            <w:shd w:val="clear" w:color="auto" w:fill="auto"/>
          </w:tcPr>
          <w:p w14:paraId="78B69D8D" w14:textId="77777777" w:rsidR="00AB0E44" w:rsidRDefault="00361FA3" w:rsidP="0051252F">
            <w:pPr>
              <w:pStyle w:val="Tabletext"/>
              <w:jc w:val="right"/>
              <w:cnfStyle w:val="100000000000" w:firstRow="1" w:lastRow="0" w:firstColumn="0" w:lastColumn="0" w:oddVBand="0" w:evenVBand="0" w:oddHBand="0" w:evenHBand="0" w:firstRowFirstColumn="0" w:firstRowLastColumn="0" w:lastRowFirstColumn="0" w:lastRowLastColumn="0"/>
              <w:rPr>
                <w:rFonts w:eastAsia="Calibri"/>
                <w:b/>
                <w:i w:val="0"/>
                <w:lang w:eastAsia="en-AU"/>
              </w:rPr>
            </w:pPr>
            <w:r>
              <w:rPr>
                <w:rFonts w:eastAsia="Calibri"/>
                <w:b/>
                <w:i w:val="0"/>
                <w:lang w:eastAsia="en-AU"/>
              </w:rPr>
              <w:t>Air cargo</w:t>
            </w:r>
          </w:p>
        </w:tc>
        <w:tc>
          <w:tcPr>
            <w:tcW w:w="868" w:type="dxa"/>
            <w:tcBorders>
              <w:top w:val="single" w:sz="4" w:space="0" w:color="auto"/>
              <w:bottom w:val="nil"/>
            </w:tcBorders>
            <w:shd w:val="clear" w:color="auto" w:fill="auto"/>
          </w:tcPr>
          <w:p w14:paraId="10C70FC1" w14:textId="77777777" w:rsidR="00AB0E44" w:rsidRDefault="00361FA3" w:rsidP="0051252F">
            <w:pPr>
              <w:pStyle w:val="Tabletext"/>
              <w:jc w:val="right"/>
              <w:cnfStyle w:val="100000000000" w:firstRow="1" w:lastRow="0" w:firstColumn="0" w:lastColumn="0" w:oddVBand="0" w:evenVBand="0" w:oddHBand="0" w:evenHBand="0" w:firstRowFirstColumn="0" w:firstRowLastColumn="0" w:lastRowFirstColumn="0" w:lastRowLastColumn="0"/>
              <w:rPr>
                <w:rFonts w:eastAsia="Calibri"/>
                <w:b/>
                <w:i w:val="0"/>
                <w:lang w:eastAsia="en-AU"/>
              </w:rPr>
            </w:pPr>
            <w:r>
              <w:rPr>
                <w:rFonts w:eastAsia="Calibri"/>
                <w:b/>
                <w:i w:val="0"/>
                <w:lang w:eastAsia="en-AU"/>
              </w:rPr>
              <w:t>Air baggage</w:t>
            </w:r>
          </w:p>
        </w:tc>
        <w:tc>
          <w:tcPr>
            <w:tcW w:w="868" w:type="dxa"/>
            <w:tcBorders>
              <w:top w:val="single" w:sz="4" w:space="0" w:color="auto"/>
              <w:bottom w:val="nil"/>
            </w:tcBorders>
            <w:shd w:val="clear" w:color="auto" w:fill="auto"/>
          </w:tcPr>
          <w:p w14:paraId="3FB41763" w14:textId="77777777" w:rsidR="00AB0E44" w:rsidRDefault="00361FA3" w:rsidP="0051252F">
            <w:pPr>
              <w:pStyle w:val="Tabletext"/>
              <w:jc w:val="right"/>
              <w:cnfStyle w:val="100000000000" w:firstRow="1" w:lastRow="0" w:firstColumn="0" w:lastColumn="0" w:oddVBand="0" w:evenVBand="0" w:oddHBand="0" w:evenHBand="0" w:firstRowFirstColumn="0" w:firstRowLastColumn="0" w:lastRowFirstColumn="0" w:lastRowLastColumn="0"/>
              <w:rPr>
                <w:rFonts w:eastAsia="Calibri"/>
                <w:b/>
                <w:i w:val="0"/>
                <w:lang w:eastAsia="en-AU"/>
              </w:rPr>
            </w:pPr>
            <w:r>
              <w:rPr>
                <w:rFonts w:eastAsia="Calibri"/>
                <w:b/>
                <w:i w:val="0"/>
                <w:lang w:eastAsia="en-AU"/>
              </w:rPr>
              <w:t>Sea cargo</w:t>
            </w:r>
          </w:p>
        </w:tc>
        <w:tc>
          <w:tcPr>
            <w:tcW w:w="869" w:type="dxa"/>
            <w:tcBorders>
              <w:top w:val="single" w:sz="4" w:space="0" w:color="auto"/>
              <w:bottom w:val="nil"/>
            </w:tcBorders>
            <w:shd w:val="clear" w:color="auto" w:fill="auto"/>
          </w:tcPr>
          <w:p w14:paraId="7AF1F43F" w14:textId="77777777" w:rsidR="00AB0E44" w:rsidRDefault="00361FA3" w:rsidP="0051252F">
            <w:pPr>
              <w:pStyle w:val="Tabletext"/>
              <w:jc w:val="right"/>
              <w:cnfStyle w:val="100000000000" w:firstRow="1" w:lastRow="0" w:firstColumn="0" w:lastColumn="0" w:oddVBand="0" w:evenVBand="0" w:oddHBand="0" w:evenHBand="0" w:firstRowFirstColumn="0" w:firstRowLastColumn="0" w:lastRowFirstColumn="0" w:lastRowLastColumn="0"/>
              <w:rPr>
                <w:rFonts w:eastAsia="Calibri"/>
                <w:b/>
                <w:i w:val="0"/>
                <w:lang w:eastAsia="en-AU"/>
              </w:rPr>
            </w:pPr>
            <w:r>
              <w:rPr>
                <w:rFonts w:eastAsia="Calibri"/>
                <w:b/>
                <w:i w:val="0"/>
                <w:lang w:eastAsia="en-AU"/>
              </w:rPr>
              <w:t>Commercial vessel</w:t>
            </w:r>
          </w:p>
        </w:tc>
        <w:tc>
          <w:tcPr>
            <w:tcW w:w="780" w:type="dxa"/>
            <w:tcBorders>
              <w:top w:val="single" w:sz="4" w:space="0" w:color="auto"/>
              <w:bottom w:val="nil"/>
            </w:tcBorders>
            <w:shd w:val="clear" w:color="auto" w:fill="auto"/>
          </w:tcPr>
          <w:p w14:paraId="2F341970" w14:textId="77777777" w:rsidR="00AB0E44" w:rsidRDefault="00361FA3" w:rsidP="0051252F">
            <w:pPr>
              <w:pStyle w:val="Tabletext"/>
              <w:jc w:val="right"/>
              <w:cnfStyle w:val="100000000000" w:firstRow="1" w:lastRow="0" w:firstColumn="0" w:lastColumn="0" w:oddVBand="0" w:evenVBand="0" w:oddHBand="0" w:evenHBand="0" w:firstRowFirstColumn="0" w:firstRowLastColumn="0" w:lastRowFirstColumn="0" w:lastRowLastColumn="0"/>
              <w:rPr>
                <w:rFonts w:eastAsia="Calibri"/>
                <w:b/>
                <w:i w:val="0"/>
                <w:lang w:eastAsia="en-AU"/>
              </w:rPr>
            </w:pPr>
            <w:r>
              <w:rPr>
                <w:rFonts w:eastAsia="Calibri"/>
                <w:b/>
                <w:i w:val="0"/>
                <w:lang w:eastAsia="en-AU"/>
              </w:rPr>
              <w:t>Yacht</w:t>
            </w:r>
          </w:p>
        </w:tc>
        <w:tc>
          <w:tcPr>
            <w:tcW w:w="956" w:type="dxa"/>
            <w:tcBorders>
              <w:top w:val="single" w:sz="4" w:space="0" w:color="auto"/>
              <w:bottom w:val="nil"/>
            </w:tcBorders>
            <w:shd w:val="clear" w:color="auto" w:fill="auto"/>
          </w:tcPr>
          <w:p w14:paraId="7CC09D99" w14:textId="77777777" w:rsidR="00AB0E44" w:rsidRDefault="00361FA3" w:rsidP="0051252F">
            <w:pPr>
              <w:pStyle w:val="Tabletext"/>
              <w:jc w:val="right"/>
              <w:cnfStyle w:val="100000000000" w:firstRow="1" w:lastRow="0" w:firstColumn="0" w:lastColumn="0" w:oddVBand="0" w:evenVBand="0" w:oddHBand="0" w:evenHBand="0" w:firstRowFirstColumn="0" w:firstRowLastColumn="0" w:lastRowFirstColumn="0" w:lastRowLastColumn="0"/>
              <w:rPr>
                <w:rFonts w:eastAsia="Calibri"/>
                <w:b/>
                <w:i w:val="0"/>
                <w:lang w:eastAsia="en-AU"/>
              </w:rPr>
            </w:pPr>
            <w:r>
              <w:rPr>
                <w:rFonts w:eastAsia="Calibri"/>
                <w:b/>
                <w:i w:val="0"/>
                <w:lang w:eastAsia="en-AU"/>
              </w:rPr>
              <w:t>Empty container</w:t>
            </w:r>
          </w:p>
        </w:tc>
        <w:tc>
          <w:tcPr>
            <w:tcW w:w="1028" w:type="dxa"/>
            <w:tcBorders>
              <w:top w:val="single" w:sz="4" w:space="0" w:color="auto"/>
              <w:bottom w:val="nil"/>
            </w:tcBorders>
            <w:shd w:val="clear" w:color="auto" w:fill="auto"/>
          </w:tcPr>
          <w:p w14:paraId="046AF477" w14:textId="77777777" w:rsidR="00AB0E44" w:rsidRDefault="00361FA3" w:rsidP="0051252F">
            <w:pPr>
              <w:pStyle w:val="Tabletext"/>
              <w:jc w:val="right"/>
              <w:cnfStyle w:val="100000000000" w:firstRow="1" w:lastRow="0" w:firstColumn="0" w:lastColumn="0" w:oddVBand="0" w:evenVBand="0" w:oddHBand="0" w:evenHBand="0" w:firstRowFirstColumn="0" w:firstRowLastColumn="0" w:lastRowFirstColumn="0" w:lastRowLastColumn="0"/>
              <w:rPr>
                <w:rFonts w:eastAsia="Calibri"/>
                <w:b/>
                <w:i w:val="0"/>
                <w:lang w:eastAsia="en-AU"/>
              </w:rPr>
            </w:pPr>
            <w:r>
              <w:rPr>
                <w:rFonts w:eastAsia="Calibri"/>
                <w:b/>
                <w:i w:val="0"/>
                <w:lang w:eastAsia="en-AU"/>
              </w:rPr>
              <w:t>FCL/LCL container</w:t>
            </w:r>
          </w:p>
        </w:tc>
        <w:tc>
          <w:tcPr>
            <w:tcW w:w="709" w:type="dxa"/>
            <w:tcBorders>
              <w:top w:val="single" w:sz="4" w:space="0" w:color="auto"/>
              <w:bottom w:val="nil"/>
            </w:tcBorders>
            <w:shd w:val="clear" w:color="auto" w:fill="auto"/>
          </w:tcPr>
          <w:p w14:paraId="163132B4" w14:textId="77777777" w:rsidR="00AB0E44" w:rsidRDefault="00361FA3" w:rsidP="0051252F">
            <w:pPr>
              <w:pStyle w:val="Tabletext"/>
              <w:jc w:val="right"/>
              <w:cnfStyle w:val="100000000000" w:firstRow="1" w:lastRow="0" w:firstColumn="0" w:lastColumn="0" w:oddVBand="0" w:evenVBand="0" w:oddHBand="0" w:evenHBand="0" w:firstRowFirstColumn="0" w:firstRowLastColumn="0" w:lastRowFirstColumn="0" w:lastRowLastColumn="0"/>
              <w:rPr>
                <w:rFonts w:eastAsia="Calibri"/>
                <w:b/>
                <w:i w:val="0"/>
                <w:lang w:eastAsia="en-AU"/>
              </w:rPr>
            </w:pPr>
            <w:r>
              <w:rPr>
                <w:rFonts w:eastAsia="Calibri"/>
                <w:b/>
                <w:i w:val="0"/>
                <w:lang w:eastAsia="en-AU"/>
              </w:rPr>
              <w:t>Total</w:t>
            </w:r>
          </w:p>
        </w:tc>
      </w:tr>
      <w:tr w:rsidR="00AB0E44" w14:paraId="1313D558" w14:textId="77777777" w:rsidTr="00AB0E44">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843" w:type="dxa"/>
            <w:tcBorders>
              <w:top w:val="nil"/>
              <w:right w:val="nil"/>
            </w:tcBorders>
            <w:shd w:val="clear" w:color="auto" w:fill="auto"/>
          </w:tcPr>
          <w:p w14:paraId="6A7E5F3D" w14:textId="7D7070E7" w:rsidR="00AB0E44" w:rsidRDefault="00361FA3">
            <w:pPr>
              <w:pStyle w:val="Tabletext"/>
              <w:tabs>
                <w:tab w:val="right" w:pos="1627"/>
              </w:tabs>
              <w:jc w:val="left"/>
              <w:rPr>
                <w:i w:val="0"/>
                <w:lang w:eastAsia="en-AU"/>
              </w:rPr>
            </w:pPr>
            <w:r>
              <w:rPr>
                <w:rFonts w:eastAsia="Calibri"/>
                <w:i w:val="0"/>
                <w:lang w:eastAsia="en-AU"/>
              </w:rPr>
              <w:t>Solomon Islands</w:t>
            </w:r>
            <w:r w:rsidR="00713620">
              <w:rPr>
                <w:rFonts w:eastAsia="Calibri"/>
                <w:i w:val="0"/>
                <w:vertAlign w:val="superscript"/>
                <w:lang w:eastAsia="en-AU"/>
              </w:rPr>
              <w:t xml:space="preserve"> </w:t>
            </w:r>
            <w:r w:rsidR="00713620" w:rsidRPr="00DB34FB">
              <w:rPr>
                <w:b/>
                <w:i w:val="0"/>
                <w:lang w:eastAsia="en-AU"/>
              </w:rPr>
              <w:t>a</w:t>
            </w:r>
          </w:p>
        </w:tc>
        <w:tc>
          <w:tcPr>
            <w:tcW w:w="868" w:type="dxa"/>
            <w:tcBorders>
              <w:top w:val="nil"/>
              <w:left w:val="nil"/>
              <w:bottom w:val="nil"/>
            </w:tcBorders>
            <w:shd w:val="clear" w:color="auto" w:fill="auto"/>
          </w:tcPr>
          <w:p w14:paraId="0D18936F"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c>
          <w:tcPr>
            <w:tcW w:w="868" w:type="dxa"/>
            <w:tcBorders>
              <w:top w:val="nil"/>
            </w:tcBorders>
            <w:shd w:val="clear" w:color="auto" w:fill="auto"/>
          </w:tcPr>
          <w:p w14:paraId="02DCCEDD"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c>
          <w:tcPr>
            <w:tcW w:w="868" w:type="dxa"/>
            <w:tcBorders>
              <w:top w:val="nil"/>
            </w:tcBorders>
            <w:shd w:val="clear" w:color="auto" w:fill="auto"/>
          </w:tcPr>
          <w:p w14:paraId="6BF896F9"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5</w:t>
            </w:r>
          </w:p>
        </w:tc>
        <w:tc>
          <w:tcPr>
            <w:tcW w:w="869" w:type="dxa"/>
            <w:tcBorders>
              <w:top w:val="nil"/>
            </w:tcBorders>
            <w:shd w:val="clear" w:color="auto" w:fill="auto"/>
          </w:tcPr>
          <w:p w14:paraId="3AC4D27C"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p>
        </w:tc>
        <w:tc>
          <w:tcPr>
            <w:tcW w:w="780" w:type="dxa"/>
            <w:tcBorders>
              <w:top w:val="nil"/>
            </w:tcBorders>
            <w:shd w:val="clear" w:color="auto" w:fill="auto"/>
          </w:tcPr>
          <w:p w14:paraId="2BCBAB8D"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c>
          <w:tcPr>
            <w:tcW w:w="956" w:type="dxa"/>
            <w:tcBorders>
              <w:top w:val="nil"/>
            </w:tcBorders>
            <w:shd w:val="clear" w:color="auto" w:fill="auto"/>
          </w:tcPr>
          <w:p w14:paraId="3F810528"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35</w:t>
            </w:r>
          </w:p>
        </w:tc>
        <w:tc>
          <w:tcPr>
            <w:tcW w:w="1028" w:type="dxa"/>
            <w:tcBorders>
              <w:top w:val="nil"/>
            </w:tcBorders>
            <w:shd w:val="clear" w:color="auto" w:fill="auto"/>
          </w:tcPr>
          <w:p w14:paraId="53AFAD91"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p>
        </w:tc>
        <w:tc>
          <w:tcPr>
            <w:tcW w:w="709" w:type="dxa"/>
            <w:tcBorders>
              <w:top w:val="nil"/>
            </w:tcBorders>
            <w:shd w:val="clear" w:color="auto" w:fill="auto"/>
          </w:tcPr>
          <w:p w14:paraId="15A26BF2"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42</w:t>
            </w:r>
          </w:p>
        </w:tc>
      </w:tr>
      <w:tr w:rsidR="00AB0E44" w14:paraId="046DB6B1" w14:textId="77777777" w:rsidTr="00AB0E44">
        <w:trPr>
          <w:trHeight w:val="138"/>
        </w:trPr>
        <w:tc>
          <w:tcPr>
            <w:cnfStyle w:val="001000000000" w:firstRow="0" w:lastRow="0" w:firstColumn="1" w:lastColumn="0" w:oddVBand="0" w:evenVBand="0" w:oddHBand="0" w:evenHBand="0" w:firstRowFirstColumn="0" w:firstRowLastColumn="0" w:lastRowFirstColumn="0" w:lastRowLastColumn="0"/>
            <w:tcW w:w="1843" w:type="dxa"/>
            <w:tcBorders>
              <w:top w:val="nil"/>
              <w:right w:val="none" w:sz="0" w:space="0" w:color="auto"/>
            </w:tcBorders>
            <w:shd w:val="clear" w:color="auto" w:fill="auto"/>
          </w:tcPr>
          <w:p w14:paraId="7AEC4DCF" w14:textId="5DA84D4B" w:rsidR="00AB0E44" w:rsidRDefault="00361FA3">
            <w:pPr>
              <w:pStyle w:val="Tabletext"/>
              <w:jc w:val="left"/>
              <w:rPr>
                <w:rFonts w:eastAsia="Calibri"/>
                <w:i w:val="0"/>
                <w:lang w:eastAsia="en-AU"/>
              </w:rPr>
            </w:pPr>
            <w:r>
              <w:rPr>
                <w:rFonts w:eastAsia="Calibri"/>
                <w:i w:val="0"/>
                <w:lang w:eastAsia="en-AU"/>
              </w:rPr>
              <w:t>Papua New Guinea</w:t>
            </w:r>
            <w:r w:rsidR="00713620" w:rsidRPr="0051252F">
              <w:rPr>
                <w:b/>
                <w:lang w:eastAsia="en-AU"/>
              </w:rPr>
              <w:t xml:space="preserve"> </w:t>
            </w:r>
            <w:r w:rsidR="00713620" w:rsidRPr="00DB34FB">
              <w:rPr>
                <w:b/>
                <w:i w:val="0"/>
                <w:lang w:eastAsia="en-AU"/>
              </w:rPr>
              <w:t>a</w:t>
            </w:r>
          </w:p>
        </w:tc>
        <w:tc>
          <w:tcPr>
            <w:tcW w:w="868" w:type="dxa"/>
            <w:tcBorders>
              <w:top w:val="nil"/>
              <w:bottom w:val="nil"/>
            </w:tcBorders>
            <w:shd w:val="clear" w:color="auto" w:fill="auto"/>
          </w:tcPr>
          <w:p w14:paraId="5671EAEB"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p>
        </w:tc>
        <w:tc>
          <w:tcPr>
            <w:tcW w:w="868" w:type="dxa"/>
            <w:tcBorders>
              <w:top w:val="nil"/>
            </w:tcBorders>
            <w:shd w:val="clear" w:color="auto" w:fill="auto"/>
          </w:tcPr>
          <w:p w14:paraId="6B4E28CA"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p>
        </w:tc>
        <w:tc>
          <w:tcPr>
            <w:tcW w:w="868" w:type="dxa"/>
            <w:tcBorders>
              <w:top w:val="nil"/>
            </w:tcBorders>
            <w:shd w:val="clear" w:color="auto" w:fill="auto"/>
          </w:tcPr>
          <w:p w14:paraId="307FAB0B"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3</w:t>
            </w:r>
          </w:p>
        </w:tc>
        <w:tc>
          <w:tcPr>
            <w:tcW w:w="869" w:type="dxa"/>
            <w:tcBorders>
              <w:top w:val="nil"/>
            </w:tcBorders>
            <w:shd w:val="clear" w:color="auto" w:fill="auto"/>
          </w:tcPr>
          <w:p w14:paraId="2CD1A0EF"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p>
        </w:tc>
        <w:tc>
          <w:tcPr>
            <w:tcW w:w="780" w:type="dxa"/>
            <w:tcBorders>
              <w:top w:val="nil"/>
            </w:tcBorders>
            <w:shd w:val="clear" w:color="auto" w:fill="auto"/>
          </w:tcPr>
          <w:p w14:paraId="0117C5CC"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p>
        </w:tc>
        <w:tc>
          <w:tcPr>
            <w:tcW w:w="956" w:type="dxa"/>
            <w:tcBorders>
              <w:top w:val="nil"/>
            </w:tcBorders>
            <w:shd w:val="clear" w:color="auto" w:fill="auto"/>
          </w:tcPr>
          <w:p w14:paraId="080BD5D7"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13</w:t>
            </w:r>
          </w:p>
        </w:tc>
        <w:tc>
          <w:tcPr>
            <w:tcW w:w="1028" w:type="dxa"/>
            <w:tcBorders>
              <w:top w:val="nil"/>
            </w:tcBorders>
            <w:shd w:val="clear" w:color="auto" w:fill="auto"/>
          </w:tcPr>
          <w:p w14:paraId="49174B75"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5</w:t>
            </w:r>
          </w:p>
        </w:tc>
        <w:tc>
          <w:tcPr>
            <w:tcW w:w="709" w:type="dxa"/>
            <w:tcBorders>
              <w:top w:val="nil"/>
            </w:tcBorders>
            <w:shd w:val="clear" w:color="auto" w:fill="auto"/>
          </w:tcPr>
          <w:p w14:paraId="1DB6AF3F"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21</w:t>
            </w:r>
          </w:p>
        </w:tc>
      </w:tr>
      <w:tr w:rsidR="00AB0E44" w14:paraId="309BF379" w14:textId="77777777" w:rsidTr="00AB0E44">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843" w:type="dxa"/>
            <w:tcBorders>
              <w:right w:val="nil"/>
            </w:tcBorders>
            <w:shd w:val="clear" w:color="auto" w:fill="auto"/>
          </w:tcPr>
          <w:p w14:paraId="00065DA0" w14:textId="77777777" w:rsidR="00AB0E44" w:rsidRDefault="00361FA3">
            <w:pPr>
              <w:pStyle w:val="Tabletext"/>
              <w:jc w:val="left"/>
              <w:rPr>
                <w:rFonts w:eastAsia="Calibri"/>
                <w:i w:val="0"/>
                <w:lang w:eastAsia="en-AU"/>
              </w:rPr>
            </w:pPr>
            <w:r>
              <w:rPr>
                <w:rFonts w:eastAsia="Calibri"/>
                <w:i w:val="0"/>
                <w:lang w:eastAsia="en-AU"/>
              </w:rPr>
              <w:t>United States</w:t>
            </w:r>
          </w:p>
        </w:tc>
        <w:tc>
          <w:tcPr>
            <w:tcW w:w="868" w:type="dxa"/>
            <w:tcBorders>
              <w:top w:val="nil"/>
              <w:left w:val="nil"/>
              <w:bottom w:val="nil"/>
            </w:tcBorders>
            <w:shd w:val="clear" w:color="auto" w:fill="auto"/>
          </w:tcPr>
          <w:p w14:paraId="0F4274E1"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c>
          <w:tcPr>
            <w:tcW w:w="868" w:type="dxa"/>
            <w:shd w:val="clear" w:color="auto" w:fill="auto"/>
          </w:tcPr>
          <w:p w14:paraId="038AA699"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p>
        </w:tc>
        <w:tc>
          <w:tcPr>
            <w:tcW w:w="868" w:type="dxa"/>
            <w:shd w:val="clear" w:color="auto" w:fill="auto"/>
          </w:tcPr>
          <w:p w14:paraId="7925E7F5"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p>
        </w:tc>
        <w:tc>
          <w:tcPr>
            <w:tcW w:w="869" w:type="dxa"/>
            <w:shd w:val="clear" w:color="auto" w:fill="auto"/>
          </w:tcPr>
          <w:p w14:paraId="3E408860"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c>
          <w:tcPr>
            <w:tcW w:w="780" w:type="dxa"/>
            <w:shd w:val="clear" w:color="auto" w:fill="auto"/>
          </w:tcPr>
          <w:p w14:paraId="4CBCA191"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c>
          <w:tcPr>
            <w:tcW w:w="956" w:type="dxa"/>
            <w:shd w:val="clear" w:color="auto" w:fill="auto"/>
          </w:tcPr>
          <w:p w14:paraId="7B8F1795"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c>
          <w:tcPr>
            <w:tcW w:w="1028" w:type="dxa"/>
            <w:shd w:val="clear" w:color="auto" w:fill="auto"/>
          </w:tcPr>
          <w:p w14:paraId="3B889C26"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4</w:t>
            </w:r>
          </w:p>
        </w:tc>
        <w:tc>
          <w:tcPr>
            <w:tcW w:w="709" w:type="dxa"/>
            <w:shd w:val="clear" w:color="auto" w:fill="auto"/>
          </w:tcPr>
          <w:p w14:paraId="02DB42BD"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6</w:t>
            </w:r>
          </w:p>
        </w:tc>
      </w:tr>
      <w:tr w:rsidR="00AB0E44" w14:paraId="510D4408" w14:textId="77777777" w:rsidTr="00AB0E44">
        <w:trPr>
          <w:trHeight w:val="74"/>
        </w:trPr>
        <w:tc>
          <w:tcPr>
            <w:cnfStyle w:val="001000000000" w:firstRow="0" w:lastRow="0" w:firstColumn="1" w:lastColumn="0" w:oddVBand="0" w:evenVBand="0" w:oddHBand="0" w:evenHBand="0" w:firstRowFirstColumn="0" w:firstRowLastColumn="0" w:lastRowFirstColumn="0" w:lastRowLastColumn="0"/>
            <w:tcW w:w="1843" w:type="dxa"/>
            <w:tcBorders>
              <w:right w:val="nil"/>
            </w:tcBorders>
            <w:shd w:val="clear" w:color="auto" w:fill="auto"/>
          </w:tcPr>
          <w:p w14:paraId="69D8463E" w14:textId="1CAA2E5C" w:rsidR="00AB0E44" w:rsidRDefault="00361FA3">
            <w:pPr>
              <w:pStyle w:val="Tabletext"/>
              <w:jc w:val="left"/>
              <w:rPr>
                <w:rFonts w:eastAsia="Calibri"/>
                <w:i w:val="0"/>
                <w:lang w:eastAsia="en-AU"/>
              </w:rPr>
            </w:pPr>
            <w:r>
              <w:rPr>
                <w:rFonts w:eastAsia="Calibri"/>
                <w:i w:val="0"/>
                <w:lang w:eastAsia="en-AU"/>
              </w:rPr>
              <w:t>New Caledonia</w:t>
            </w:r>
            <w:r w:rsidR="00713620">
              <w:rPr>
                <w:rFonts w:eastAsia="Calibri"/>
                <w:i w:val="0"/>
                <w:vertAlign w:val="superscript"/>
                <w:lang w:eastAsia="en-AU"/>
              </w:rPr>
              <w:t xml:space="preserve"> </w:t>
            </w:r>
            <w:r w:rsidR="00713620" w:rsidRPr="00DB34FB">
              <w:rPr>
                <w:b/>
                <w:i w:val="0"/>
                <w:lang w:eastAsia="en-AU"/>
              </w:rPr>
              <w:t>a</w:t>
            </w:r>
          </w:p>
        </w:tc>
        <w:tc>
          <w:tcPr>
            <w:tcW w:w="868" w:type="dxa"/>
            <w:tcBorders>
              <w:top w:val="nil"/>
              <w:left w:val="nil"/>
              <w:bottom w:val="nil"/>
            </w:tcBorders>
            <w:shd w:val="clear" w:color="auto" w:fill="auto"/>
          </w:tcPr>
          <w:p w14:paraId="290BAED6"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p>
        </w:tc>
        <w:tc>
          <w:tcPr>
            <w:tcW w:w="868" w:type="dxa"/>
            <w:shd w:val="clear" w:color="auto" w:fill="auto"/>
          </w:tcPr>
          <w:p w14:paraId="403F1A50"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p>
        </w:tc>
        <w:tc>
          <w:tcPr>
            <w:tcW w:w="868" w:type="dxa"/>
            <w:shd w:val="clear" w:color="auto" w:fill="auto"/>
          </w:tcPr>
          <w:p w14:paraId="4FE14F58"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w:t>
            </w:r>
          </w:p>
        </w:tc>
        <w:tc>
          <w:tcPr>
            <w:tcW w:w="869" w:type="dxa"/>
            <w:shd w:val="clear" w:color="auto" w:fill="auto"/>
          </w:tcPr>
          <w:p w14:paraId="11ADCC79"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p>
        </w:tc>
        <w:tc>
          <w:tcPr>
            <w:tcW w:w="780" w:type="dxa"/>
            <w:shd w:val="clear" w:color="auto" w:fill="auto"/>
          </w:tcPr>
          <w:p w14:paraId="5389E7D7"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0</w:t>
            </w:r>
          </w:p>
        </w:tc>
        <w:tc>
          <w:tcPr>
            <w:tcW w:w="956" w:type="dxa"/>
            <w:shd w:val="clear" w:color="auto" w:fill="auto"/>
          </w:tcPr>
          <w:p w14:paraId="6C90118C"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w:t>
            </w:r>
          </w:p>
        </w:tc>
        <w:tc>
          <w:tcPr>
            <w:tcW w:w="1028" w:type="dxa"/>
            <w:shd w:val="clear" w:color="auto" w:fill="auto"/>
          </w:tcPr>
          <w:p w14:paraId="6DFE1E05"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w:t>
            </w:r>
          </w:p>
        </w:tc>
        <w:tc>
          <w:tcPr>
            <w:tcW w:w="709" w:type="dxa"/>
            <w:shd w:val="clear" w:color="auto" w:fill="auto"/>
          </w:tcPr>
          <w:p w14:paraId="48D290E4"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5</w:t>
            </w:r>
          </w:p>
        </w:tc>
      </w:tr>
      <w:tr w:rsidR="00AB0E44" w14:paraId="2306FA65" w14:textId="77777777" w:rsidTr="00AB0E44">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43" w:type="dxa"/>
            <w:tcBorders>
              <w:right w:val="nil"/>
            </w:tcBorders>
            <w:shd w:val="clear" w:color="auto" w:fill="auto"/>
          </w:tcPr>
          <w:p w14:paraId="04F7D282" w14:textId="47C1396B" w:rsidR="00AB0E44" w:rsidRDefault="00361FA3">
            <w:pPr>
              <w:pStyle w:val="Tabletext"/>
              <w:jc w:val="left"/>
              <w:rPr>
                <w:rFonts w:eastAsia="Calibri"/>
                <w:i w:val="0"/>
                <w:lang w:eastAsia="en-AU"/>
              </w:rPr>
            </w:pPr>
            <w:r>
              <w:rPr>
                <w:rFonts w:eastAsia="Calibri"/>
                <w:i w:val="0"/>
                <w:lang w:eastAsia="en-AU"/>
              </w:rPr>
              <w:t>Christmas Island</w:t>
            </w:r>
            <w:r w:rsidR="00713620">
              <w:rPr>
                <w:rFonts w:eastAsia="Calibri"/>
                <w:i w:val="0"/>
                <w:vertAlign w:val="superscript"/>
                <w:lang w:eastAsia="en-AU"/>
              </w:rPr>
              <w:t xml:space="preserve"> </w:t>
            </w:r>
            <w:r w:rsidR="00713620" w:rsidRPr="00DB34FB">
              <w:rPr>
                <w:b/>
                <w:i w:val="0"/>
                <w:lang w:eastAsia="en-AU"/>
              </w:rPr>
              <w:t>a</w:t>
            </w:r>
          </w:p>
        </w:tc>
        <w:tc>
          <w:tcPr>
            <w:tcW w:w="868" w:type="dxa"/>
            <w:tcBorders>
              <w:top w:val="nil"/>
              <w:left w:val="nil"/>
              <w:bottom w:val="nil"/>
            </w:tcBorders>
            <w:shd w:val="clear" w:color="auto" w:fill="auto"/>
          </w:tcPr>
          <w:p w14:paraId="32537269"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p>
        </w:tc>
        <w:tc>
          <w:tcPr>
            <w:tcW w:w="868" w:type="dxa"/>
            <w:shd w:val="clear" w:color="auto" w:fill="auto"/>
          </w:tcPr>
          <w:p w14:paraId="4658EDED"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c>
          <w:tcPr>
            <w:tcW w:w="868" w:type="dxa"/>
            <w:shd w:val="clear" w:color="auto" w:fill="auto"/>
          </w:tcPr>
          <w:p w14:paraId="5CAC7763"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3</w:t>
            </w:r>
          </w:p>
        </w:tc>
        <w:tc>
          <w:tcPr>
            <w:tcW w:w="869" w:type="dxa"/>
            <w:shd w:val="clear" w:color="auto" w:fill="auto"/>
          </w:tcPr>
          <w:p w14:paraId="5F6CE615"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c>
          <w:tcPr>
            <w:tcW w:w="780" w:type="dxa"/>
            <w:shd w:val="clear" w:color="auto" w:fill="auto"/>
          </w:tcPr>
          <w:p w14:paraId="6FC39AA7"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c>
          <w:tcPr>
            <w:tcW w:w="956" w:type="dxa"/>
            <w:shd w:val="clear" w:color="auto" w:fill="auto"/>
          </w:tcPr>
          <w:p w14:paraId="3E10EF81"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p>
        </w:tc>
        <w:tc>
          <w:tcPr>
            <w:tcW w:w="1028" w:type="dxa"/>
            <w:shd w:val="clear" w:color="auto" w:fill="auto"/>
          </w:tcPr>
          <w:p w14:paraId="2AC10500"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0</w:t>
            </w:r>
          </w:p>
        </w:tc>
        <w:tc>
          <w:tcPr>
            <w:tcW w:w="709" w:type="dxa"/>
            <w:shd w:val="clear" w:color="auto" w:fill="auto"/>
          </w:tcPr>
          <w:p w14:paraId="49E9A25F"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5</w:t>
            </w:r>
          </w:p>
        </w:tc>
      </w:tr>
      <w:tr w:rsidR="00AB0E44" w14:paraId="2958277B" w14:textId="77777777" w:rsidTr="00AB0E44">
        <w:trPr>
          <w:trHeight w:val="82"/>
        </w:trPr>
        <w:tc>
          <w:tcPr>
            <w:cnfStyle w:val="001000000000" w:firstRow="0" w:lastRow="0" w:firstColumn="1" w:lastColumn="0" w:oddVBand="0" w:evenVBand="0" w:oddHBand="0" w:evenHBand="0" w:firstRowFirstColumn="0" w:firstRowLastColumn="0" w:lastRowFirstColumn="0" w:lastRowLastColumn="0"/>
            <w:tcW w:w="1843" w:type="dxa"/>
            <w:tcBorders>
              <w:right w:val="nil"/>
            </w:tcBorders>
            <w:shd w:val="clear" w:color="auto" w:fill="auto"/>
          </w:tcPr>
          <w:p w14:paraId="5DC0AD09" w14:textId="77777777" w:rsidR="00AB0E44" w:rsidRDefault="00361FA3">
            <w:pPr>
              <w:pStyle w:val="Tabletext"/>
              <w:jc w:val="left"/>
              <w:rPr>
                <w:rFonts w:eastAsia="Calibri"/>
                <w:i w:val="0"/>
                <w:lang w:eastAsia="en-AU"/>
              </w:rPr>
            </w:pPr>
            <w:r>
              <w:rPr>
                <w:rFonts w:eastAsia="Calibri"/>
                <w:i w:val="0"/>
                <w:lang w:eastAsia="en-AU"/>
              </w:rPr>
              <w:t>Other (18 countries)</w:t>
            </w:r>
          </w:p>
        </w:tc>
        <w:tc>
          <w:tcPr>
            <w:tcW w:w="868" w:type="dxa"/>
            <w:tcBorders>
              <w:top w:val="nil"/>
              <w:left w:val="nil"/>
              <w:bottom w:val="nil"/>
            </w:tcBorders>
            <w:shd w:val="clear" w:color="auto" w:fill="auto"/>
          </w:tcPr>
          <w:p w14:paraId="43BB22E3"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w:t>
            </w:r>
          </w:p>
        </w:tc>
        <w:tc>
          <w:tcPr>
            <w:tcW w:w="868" w:type="dxa"/>
            <w:shd w:val="clear" w:color="auto" w:fill="auto"/>
          </w:tcPr>
          <w:p w14:paraId="7D363886"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w:t>
            </w:r>
          </w:p>
        </w:tc>
        <w:tc>
          <w:tcPr>
            <w:tcW w:w="868" w:type="dxa"/>
            <w:shd w:val="clear" w:color="auto" w:fill="auto"/>
          </w:tcPr>
          <w:p w14:paraId="2423799F"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20</w:t>
            </w:r>
          </w:p>
        </w:tc>
        <w:tc>
          <w:tcPr>
            <w:tcW w:w="869" w:type="dxa"/>
            <w:shd w:val="clear" w:color="auto" w:fill="auto"/>
          </w:tcPr>
          <w:p w14:paraId="7FFD95DC"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13</w:t>
            </w:r>
          </w:p>
        </w:tc>
        <w:tc>
          <w:tcPr>
            <w:tcW w:w="780" w:type="dxa"/>
            <w:shd w:val="clear" w:color="auto" w:fill="auto"/>
          </w:tcPr>
          <w:p w14:paraId="3E6B159A"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w:t>
            </w:r>
          </w:p>
        </w:tc>
        <w:tc>
          <w:tcPr>
            <w:tcW w:w="956" w:type="dxa"/>
            <w:shd w:val="clear" w:color="auto" w:fill="auto"/>
          </w:tcPr>
          <w:p w14:paraId="2D289860"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9</w:t>
            </w:r>
          </w:p>
        </w:tc>
        <w:tc>
          <w:tcPr>
            <w:tcW w:w="1028" w:type="dxa"/>
            <w:shd w:val="clear" w:color="auto" w:fill="auto"/>
          </w:tcPr>
          <w:p w14:paraId="096A7624"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17</w:t>
            </w:r>
          </w:p>
        </w:tc>
        <w:tc>
          <w:tcPr>
            <w:tcW w:w="709" w:type="dxa"/>
            <w:shd w:val="clear" w:color="auto" w:fill="auto"/>
          </w:tcPr>
          <w:p w14:paraId="5442FFB2" w14:textId="77777777" w:rsidR="00AB0E44" w:rsidRDefault="00361FA3">
            <w:pPr>
              <w:pStyle w:val="Tabletext"/>
              <w:jc w:val="right"/>
              <w:cnfStyle w:val="000000000000" w:firstRow="0" w:lastRow="0" w:firstColumn="0" w:lastColumn="0" w:oddVBand="0" w:evenVBand="0" w:oddHBand="0" w:evenHBand="0" w:firstRowFirstColumn="0" w:firstRowLastColumn="0" w:lastRowFirstColumn="0" w:lastRowLastColumn="0"/>
              <w:rPr>
                <w:bCs/>
                <w:lang w:eastAsia="en-AU"/>
              </w:rPr>
            </w:pPr>
            <w:r>
              <w:rPr>
                <w:bCs/>
                <w:lang w:eastAsia="en-AU"/>
              </w:rPr>
              <w:t>64</w:t>
            </w:r>
          </w:p>
        </w:tc>
      </w:tr>
      <w:tr w:rsidR="00AB0E44" w14:paraId="3A5F6095" w14:textId="77777777" w:rsidTr="00AB0E44">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843" w:type="dxa"/>
            <w:tcBorders>
              <w:right w:val="nil"/>
            </w:tcBorders>
            <w:shd w:val="clear" w:color="auto" w:fill="auto"/>
          </w:tcPr>
          <w:p w14:paraId="35EF6F07" w14:textId="77777777" w:rsidR="00AB0E44" w:rsidRDefault="00361FA3">
            <w:pPr>
              <w:pStyle w:val="Tabletext"/>
              <w:jc w:val="left"/>
              <w:rPr>
                <w:rFonts w:eastAsia="Calibri"/>
                <w:i w:val="0"/>
                <w:lang w:eastAsia="en-AU"/>
              </w:rPr>
            </w:pPr>
            <w:r>
              <w:rPr>
                <w:rFonts w:eastAsia="Calibri"/>
                <w:i w:val="0"/>
                <w:lang w:eastAsia="en-AU"/>
              </w:rPr>
              <w:t>Total</w:t>
            </w:r>
          </w:p>
        </w:tc>
        <w:tc>
          <w:tcPr>
            <w:tcW w:w="868" w:type="dxa"/>
            <w:tcBorders>
              <w:top w:val="nil"/>
              <w:left w:val="nil"/>
              <w:bottom w:val="single" w:sz="4" w:space="0" w:color="auto"/>
            </w:tcBorders>
            <w:shd w:val="clear" w:color="auto" w:fill="auto"/>
          </w:tcPr>
          <w:p w14:paraId="3D83351D"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3</w:t>
            </w:r>
          </w:p>
        </w:tc>
        <w:tc>
          <w:tcPr>
            <w:tcW w:w="868" w:type="dxa"/>
            <w:shd w:val="clear" w:color="auto" w:fill="auto"/>
          </w:tcPr>
          <w:p w14:paraId="6D995DA4"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3</w:t>
            </w:r>
          </w:p>
        </w:tc>
        <w:tc>
          <w:tcPr>
            <w:tcW w:w="868" w:type="dxa"/>
            <w:shd w:val="clear" w:color="auto" w:fill="auto"/>
          </w:tcPr>
          <w:p w14:paraId="2FAA610D"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34</w:t>
            </w:r>
          </w:p>
        </w:tc>
        <w:tc>
          <w:tcPr>
            <w:tcW w:w="869" w:type="dxa"/>
            <w:shd w:val="clear" w:color="auto" w:fill="auto"/>
          </w:tcPr>
          <w:p w14:paraId="365A0EF5"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14</w:t>
            </w:r>
          </w:p>
        </w:tc>
        <w:tc>
          <w:tcPr>
            <w:tcW w:w="780" w:type="dxa"/>
            <w:shd w:val="clear" w:color="auto" w:fill="auto"/>
          </w:tcPr>
          <w:p w14:paraId="37FCA1AC"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1</w:t>
            </w:r>
          </w:p>
        </w:tc>
        <w:tc>
          <w:tcPr>
            <w:tcW w:w="956" w:type="dxa"/>
            <w:shd w:val="clear" w:color="auto" w:fill="auto"/>
          </w:tcPr>
          <w:p w14:paraId="71D32710"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60</w:t>
            </w:r>
          </w:p>
        </w:tc>
        <w:tc>
          <w:tcPr>
            <w:tcW w:w="1028" w:type="dxa"/>
            <w:shd w:val="clear" w:color="auto" w:fill="auto"/>
          </w:tcPr>
          <w:p w14:paraId="4C8E7A03"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28</w:t>
            </w:r>
          </w:p>
        </w:tc>
        <w:tc>
          <w:tcPr>
            <w:tcW w:w="709" w:type="dxa"/>
            <w:shd w:val="clear" w:color="auto" w:fill="auto"/>
          </w:tcPr>
          <w:p w14:paraId="10EB9FD5" w14:textId="77777777" w:rsidR="00AB0E44" w:rsidRDefault="00361FA3">
            <w:pPr>
              <w:pStyle w:val="Tabletext"/>
              <w:jc w:val="right"/>
              <w:cnfStyle w:val="000000100000" w:firstRow="0" w:lastRow="0" w:firstColumn="0" w:lastColumn="0" w:oddVBand="0" w:evenVBand="0" w:oddHBand="1" w:evenHBand="0" w:firstRowFirstColumn="0" w:firstRowLastColumn="0" w:lastRowFirstColumn="0" w:lastRowLastColumn="0"/>
              <w:rPr>
                <w:bCs/>
                <w:lang w:eastAsia="en-AU"/>
              </w:rPr>
            </w:pPr>
            <w:r>
              <w:rPr>
                <w:bCs/>
                <w:lang w:eastAsia="en-AU"/>
              </w:rPr>
              <w:t>143</w:t>
            </w:r>
          </w:p>
        </w:tc>
      </w:tr>
    </w:tbl>
    <w:p w14:paraId="7809026D" w14:textId="07382BBD" w:rsidR="00AB0E44" w:rsidRDefault="00713620">
      <w:pPr>
        <w:pStyle w:val="FigureTableNoteSource"/>
        <w:rPr>
          <w:lang w:eastAsia="en-AU"/>
        </w:rPr>
      </w:pPr>
      <w:proofErr w:type="gramStart"/>
      <w:r w:rsidRPr="0051252F">
        <w:rPr>
          <w:b/>
          <w:lang w:eastAsia="en-AU"/>
        </w:rPr>
        <w:t>a</w:t>
      </w:r>
      <w:proofErr w:type="gramEnd"/>
      <w:r>
        <w:rPr>
          <w:vertAlign w:val="superscript"/>
          <w:lang w:eastAsia="en-AU"/>
        </w:rPr>
        <w:t xml:space="preserve"> </w:t>
      </w:r>
      <w:r w:rsidR="00361FA3">
        <w:rPr>
          <w:lang w:eastAsia="en-AU"/>
        </w:rPr>
        <w:t xml:space="preserve">Country action list. </w:t>
      </w:r>
      <w:r w:rsidR="00361FA3" w:rsidRPr="0051252F">
        <w:rPr>
          <w:rStyle w:val="Strong"/>
        </w:rPr>
        <w:t>FCL</w:t>
      </w:r>
      <w:r w:rsidR="00361FA3">
        <w:rPr>
          <w:lang w:eastAsia="en-AU"/>
        </w:rPr>
        <w:t xml:space="preserve"> Full container load. </w:t>
      </w:r>
      <w:r w:rsidR="00361FA3" w:rsidRPr="0051252F">
        <w:rPr>
          <w:rStyle w:val="Strong"/>
        </w:rPr>
        <w:t>LCL</w:t>
      </w:r>
      <w:r w:rsidR="00361FA3">
        <w:rPr>
          <w:lang w:eastAsia="en-AU"/>
        </w:rPr>
        <w:t xml:space="preserve"> Less than full container load.</w:t>
      </w:r>
    </w:p>
    <w:p w14:paraId="0CAF08AF" w14:textId="77777777" w:rsidR="00AB0E44" w:rsidRDefault="00361FA3">
      <w:pPr>
        <w:pStyle w:val="FigureTableNoteSource"/>
        <w:rPr>
          <w:lang w:eastAsia="en-AU"/>
        </w:rPr>
      </w:pPr>
      <w:r>
        <w:rPr>
          <w:lang w:eastAsia="en-AU"/>
        </w:rPr>
        <w:t>Source: Department of Agriculture and Water Resources</w:t>
      </w:r>
    </w:p>
    <w:p w14:paraId="31ECE96E" w14:textId="34972E25" w:rsidR="00AB0E44" w:rsidRDefault="00713620">
      <w:pPr>
        <w:spacing w:before="360"/>
        <w:rPr>
          <w:lang w:eastAsia="en-AU"/>
        </w:rPr>
      </w:pPr>
      <w:r>
        <w:rPr>
          <w:lang w:eastAsia="en-AU"/>
        </w:rPr>
        <w:t xml:space="preserve">Giant African snails </w:t>
      </w:r>
      <w:r w:rsidR="00361FA3">
        <w:rPr>
          <w:lang w:eastAsia="en-AU"/>
        </w:rPr>
        <w:t>are monitored at or near all ports of entry, especially those that receive CAL containers. CAL containers and cargo are either salt-segregated or snail</w:t>
      </w:r>
      <w:r w:rsidR="00402E7A">
        <w:rPr>
          <w:lang w:eastAsia="en-AU"/>
        </w:rPr>
        <w:t>-</w:t>
      </w:r>
      <w:r w:rsidR="00361FA3">
        <w:rPr>
          <w:lang w:eastAsia="en-AU"/>
        </w:rPr>
        <w:t xml:space="preserve">bait-segregated from non-CAL cargo by surrounding the cargo with a thick, wide, unbroken ring of salt or snail bait. However, it is possible for these rings to blow away on exposed windy docks or wash away </w:t>
      </w:r>
      <w:r w:rsidR="00DA102B">
        <w:rPr>
          <w:lang w:eastAsia="en-AU"/>
        </w:rPr>
        <w:t xml:space="preserve">when it </w:t>
      </w:r>
      <w:r w:rsidR="00361FA3">
        <w:rPr>
          <w:lang w:eastAsia="en-AU"/>
        </w:rPr>
        <w:t>rain</w:t>
      </w:r>
      <w:r w:rsidR="00DA102B">
        <w:rPr>
          <w:lang w:eastAsia="en-AU"/>
        </w:rPr>
        <w:t>s,</w:t>
      </w:r>
      <w:r w:rsidR="00361FA3">
        <w:rPr>
          <w:lang w:eastAsia="en-AU"/>
        </w:rPr>
        <w:t xml:space="preserve"> making them ineffective. Wet conditions reduce the efficacy of risk management measures and provide the perfect environment for snails to relocate.</w:t>
      </w:r>
    </w:p>
    <w:p w14:paraId="68C40237" w14:textId="77777777" w:rsidR="00AB0E44" w:rsidRDefault="00361FA3">
      <w:pPr>
        <w:pStyle w:val="Heading3"/>
      </w:pPr>
      <w:bookmarkStart w:id="131" w:name="_Toc521069560"/>
      <w:r>
        <w:t>Exotic bees and bee mites</w:t>
      </w:r>
      <w:bookmarkEnd w:id="131"/>
    </w:p>
    <w:p w14:paraId="4295EF57" w14:textId="46B1AD89" w:rsidR="00AB0E44" w:rsidRDefault="00361FA3">
      <w:pPr>
        <w:rPr>
          <w:lang w:eastAsia="en-AU"/>
        </w:rPr>
      </w:pPr>
      <w:r>
        <w:rPr>
          <w:lang w:eastAsia="en-AU"/>
        </w:rPr>
        <w:t xml:space="preserve">Exotic bees are listed as one of the top 40 plant pests endangering populations of European </w:t>
      </w:r>
      <w:r w:rsidRPr="00914619">
        <w:rPr>
          <w:lang w:eastAsia="en-AU"/>
        </w:rPr>
        <w:t>honey bees (</w:t>
      </w:r>
      <w:proofErr w:type="spellStart"/>
      <w:r>
        <w:rPr>
          <w:bCs/>
          <w:i/>
          <w:iCs/>
          <w:lang w:eastAsia="en-AU"/>
        </w:rPr>
        <w:t>Apis</w:t>
      </w:r>
      <w:proofErr w:type="spellEnd"/>
      <w:r>
        <w:rPr>
          <w:bCs/>
          <w:i/>
          <w:iCs/>
          <w:lang w:eastAsia="en-AU"/>
        </w:rPr>
        <w:t xml:space="preserve"> </w:t>
      </w:r>
      <w:proofErr w:type="spellStart"/>
      <w:r>
        <w:rPr>
          <w:bCs/>
          <w:i/>
          <w:iCs/>
          <w:lang w:eastAsia="en-AU"/>
        </w:rPr>
        <w:t>mellifera</w:t>
      </w:r>
      <w:proofErr w:type="spellEnd"/>
      <w:r>
        <w:rPr>
          <w:lang w:eastAsia="en-AU"/>
        </w:rPr>
        <w:t xml:space="preserve">) and native bees. They </w:t>
      </w:r>
      <w:r w:rsidR="00970634">
        <w:rPr>
          <w:lang w:eastAsia="en-AU"/>
        </w:rPr>
        <w:t xml:space="preserve">may cause significant environmental impacts, </w:t>
      </w:r>
      <w:r>
        <w:rPr>
          <w:lang w:eastAsia="en-AU"/>
        </w:rPr>
        <w:t xml:space="preserve">pose a threat as a pest bee and as a host of bee pests such as the </w:t>
      </w:r>
      <w:proofErr w:type="spellStart"/>
      <w:r>
        <w:rPr>
          <w:lang w:eastAsia="en-AU"/>
        </w:rPr>
        <w:t>Varroa</w:t>
      </w:r>
      <w:proofErr w:type="spellEnd"/>
      <w:r>
        <w:rPr>
          <w:lang w:eastAsia="en-AU"/>
        </w:rPr>
        <w:t xml:space="preserve"> (</w:t>
      </w:r>
      <w:proofErr w:type="spellStart"/>
      <w:r>
        <w:rPr>
          <w:bCs/>
          <w:i/>
          <w:iCs/>
          <w:lang w:eastAsia="en-AU"/>
        </w:rPr>
        <w:t>Varroa</w:t>
      </w:r>
      <w:proofErr w:type="spellEnd"/>
      <w:r>
        <w:rPr>
          <w:bCs/>
          <w:i/>
          <w:iCs/>
          <w:lang w:eastAsia="en-AU"/>
        </w:rPr>
        <w:t xml:space="preserve"> destructor</w:t>
      </w:r>
      <w:r>
        <w:rPr>
          <w:lang w:eastAsia="en-AU"/>
        </w:rPr>
        <w:t xml:space="preserve"> and </w:t>
      </w:r>
      <w:r>
        <w:rPr>
          <w:bCs/>
          <w:i/>
          <w:iCs/>
          <w:lang w:eastAsia="en-AU"/>
        </w:rPr>
        <w:t xml:space="preserve">V. </w:t>
      </w:r>
      <w:proofErr w:type="spellStart"/>
      <w:r>
        <w:rPr>
          <w:bCs/>
          <w:i/>
          <w:iCs/>
          <w:lang w:eastAsia="en-AU"/>
        </w:rPr>
        <w:t>jacobsoni</w:t>
      </w:r>
      <w:proofErr w:type="spellEnd"/>
      <w:r>
        <w:rPr>
          <w:lang w:eastAsia="en-AU"/>
        </w:rPr>
        <w:t xml:space="preserve">), </w:t>
      </w:r>
      <w:proofErr w:type="spellStart"/>
      <w:r>
        <w:rPr>
          <w:lang w:eastAsia="en-AU"/>
        </w:rPr>
        <w:t>Tropilaelaps</w:t>
      </w:r>
      <w:proofErr w:type="spellEnd"/>
      <w:r>
        <w:rPr>
          <w:lang w:eastAsia="en-AU"/>
        </w:rPr>
        <w:t xml:space="preserve"> (</w:t>
      </w:r>
      <w:proofErr w:type="spellStart"/>
      <w:r>
        <w:rPr>
          <w:bCs/>
          <w:i/>
          <w:iCs/>
          <w:lang w:eastAsia="en-AU"/>
        </w:rPr>
        <w:t>Tropilaelaps</w:t>
      </w:r>
      <w:proofErr w:type="spellEnd"/>
      <w:r>
        <w:rPr>
          <w:bCs/>
          <w:i/>
          <w:iCs/>
          <w:lang w:eastAsia="en-AU"/>
        </w:rPr>
        <w:t xml:space="preserve"> </w:t>
      </w:r>
      <w:proofErr w:type="spellStart"/>
      <w:r>
        <w:rPr>
          <w:bCs/>
          <w:i/>
          <w:iCs/>
          <w:lang w:eastAsia="en-AU"/>
        </w:rPr>
        <w:t>clareae</w:t>
      </w:r>
      <w:proofErr w:type="spellEnd"/>
      <w:r>
        <w:rPr>
          <w:b/>
          <w:lang w:eastAsia="en-AU"/>
        </w:rPr>
        <w:t xml:space="preserve"> </w:t>
      </w:r>
      <w:r>
        <w:rPr>
          <w:lang w:eastAsia="en-AU"/>
        </w:rPr>
        <w:t xml:space="preserve">and </w:t>
      </w:r>
      <w:r>
        <w:rPr>
          <w:bCs/>
          <w:i/>
          <w:iCs/>
          <w:lang w:eastAsia="en-AU"/>
        </w:rPr>
        <w:t xml:space="preserve">T. </w:t>
      </w:r>
      <w:proofErr w:type="spellStart"/>
      <w:r>
        <w:rPr>
          <w:bCs/>
          <w:i/>
          <w:iCs/>
          <w:lang w:eastAsia="en-AU"/>
        </w:rPr>
        <w:t>mercedesae</w:t>
      </w:r>
      <w:proofErr w:type="spellEnd"/>
      <w:r>
        <w:rPr>
          <w:lang w:eastAsia="en-AU"/>
        </w:rPr>
        <w:t>) or tracheal (</w:t>
      </w:r>
      <w:proofErr w:type="spellStart"/>
      <w:r>
        <w:rPr>
          <w:bCs/>
          <w:i/>
          <w:iCs/>
          <w:lang w:eastAsia="en-AU"/>
        </w:rPr>
        <w:t>Acarapis</w:t>
      </w:r>
      <w:proofErr w:type="spellEnd"/>
      <w:r>
        <w:rPr>
          <w:bCs/>
          <w:i/>
          <w:iCs/>
          <w:lang w:eastAsia="en-AU"/>
        </w:rPr>
        <w:t xml:space="preserve"> </w:t>
      </w:r>
      <w:proofErr w:type="spellStart"/>
      <w:r>
        <w:rPr>
          <w:bCs/>
          <w:i/>
          <w:iCs/>
          <w:lang w:eastAsia="en-AU"/>
        </w:rPr>
        <w:t>woodi</w:t>
      </w:r>
      <w:proofErr w:type="spellEnd"/>
      <w:r>
        <w:rPr>
          <w:lang w:eastAsia="en-AU"/>
        </w:rPr>
        <w:t>) mites. If a species of exotic bee became established in Australia, numerous pollination-dependent industries, such as fruit and nut</w:t>
      </w:r>
      <w:r w:rsidR="00DA102B">
        <w:rPr>
          <w:lang w:eastAsia="en-AU"/>
        </w:rPr>
        <w:t xml:space="preserve"> industries</w:t>
      </w:r>
      <w:r>
        <w:rPr>
          <w:lang w:eastAsia="en-AU"/>
        </w:rPr>
        <w:t xml:space="preserve">, would be significantly </w:t>
      </w:r>
      <w:r w:rsidR="00914619">
        <w:rPr>
          <w:lang w:eastAsia="en-AU"/>
        </w:rPr>
        <w:t>affected</w:t>
      </w:r>
      <w:r>
        <w:rPr>
          <w:lang w:eastAsia="en-AU"/>
        </w:rPr>
        <w:t>. Threatening species of exotic honey bees include</w:t>
      </w:r>
      <w:r w:rsidR="00DA102B">
        <w:rPr>
          <w:lang w:eastAsia="en-AU"/>
        </w:rPr>
        <w:t xml:space="preserve"> </w:t>
      </w:r>
      <w:r w:rsidR="00AB0EB2">
        <w:t>Asian honey bees (</w:t>
      </w:r>
      <w:proofErr w:type="spellStart"/>
      <w:r w:rsidR="00AB0EB2" w:rsidRPr="0051252F">
        <w:rPr>
          <w:i/>
        </w:rPr>
        <w:t>Apis</w:t>
      </w:r>
      <w:proofErr w:type="spellEnd"/>
      <w:r w:rsidR="00AB0EB2" w:rsidRPr="0051252F">
        <w:rPr>
          <w:i/>
        </w:rPr>
        <w:t xml:space="preserve"> </w:t>
      </w:r>
      <w:proofErr w:type="spellStart"/>
      <w:r w:rsidR="00AB0EB2" w:rsidRPr="0051252F">
        <w:rPr>
          <w:i/>
        </w:rPr>
        <w:t>cerana</w:t>
      </w:r>
      <w:proofErr w:type="spellEnd"/>
      <w:r w:rsidR="00AB0EB2">
        <w:t>), African honey bees (</w:t>
      </w:r>
      <w:proofErr w:type="spellStart"/>
      <w:r w:rsidR="00AB0EB2" w:rsidRPr="0051252F">
        <w:rPr>
          <w:i/>
        </w:rPr>
        <w:t>Apis</w:t>
      </w:r>
      <w:proofErr w:type="spellEnd"/>
      <w:r w:rsidR="00AB0EB2" w:rsidRPr="0051252F">
        <w:rPr>
          <w:i/>
        </w:rPr>
        <w:t xml:space="preserve"> </w:t>
      </w:r>
      <w:proofErr w:type="spellStart"/>
      <w:r w:rsidR="00AB0EB2" w:rsidRPr="0051252F">
        <w:rPr>
          <w:i/>
        </w:rPr>
        <w:t>mellifera</w:t>
      </w:r>
      <w:proofErr w:type="spellEnd"/>
      <w:r w:rsidR="00AB0EB2" w:rsidRPr="0051252F">
        <w:rPr>
          <w:i/>
        </w:rPr>
        <w:t xml:space="preserve"> </w:t>
      </w:r>
      <w:proofErr w:type="spellStart"/>
      <w:r w:rsidR="00AB0EB2" w:rsidRPr="0051252F">
        <w:rPr>
          <w:i/>
        </w:rPr>
        <w:t>scutellata</w:t>
      </w:r>
      <w:proofErr w:type="spellEnd"/>
      <w:r w:rsidR="00AB0EB2">
        <w:t>), Africanised honey bees (</w:t>
      </w:r>
      <w:proofErr w:type="spellStart"/>
      <w:r w:rsidR="00AB0EB2" w:rsidRPr="0051252F">
        <w:rPr>
          <w:i/>
        </w:rPr>
        <w:t>Apis</w:t>
      </w:r>
      <w:proofErr w:type="spellEnd"/>
      <w:r w:rsidR="00AB0EB2" w:rsidRPr="0051252F">
        <w:rPr>
          <w:i/>
        </w:rPr>
        <w:t xml:space="preserve"> </w:t>
      </w:r>
      <w:proofErr w:type="spellStart"/>
      <w:r w:rsidR="00AB0EB2" w:rsidRPr="0051252F">
        <w:rPr>
          <w:i/>
        </w:rPr>
        <w:t>mellifera</w:t>
      </w:r>
      <w:proofErr w:type="spellEnd"/>
      <w:r w:rsidR="00AB0EB2" w:rsidRPr="0051252F">
        <w:rPr>
          <w:i/>
        </w:rPr>
        <w:t xml:space="preserve"> </w:t>
      </w:r>
      <w:proofErr w:type="spellStart"/>
      <w:r w:rsidR="00AB0EB2" w:rsidRPr="0051252F">
        <w:rPr>
          <w:i/>
        </w:rPr>
        <w:t>scutellata</w:t>
      </w:r>
      <w:proofErr w:type="spellEnd"/>
      <w:r w:rsidR="00AB0EB2" w:rsidRPr="0051252F">
        <w:rPr>
          <w:i/>
        </w:rPr>
        <w:t xml:space="preserve"> hybrids</w:t>
      </w:r>
      <w:r w:rsidR="00AB0EB2">
        <w:t>), Giant honey bees (</w:t>
      </w:r>
      <w:proofErr w:type="spellStart"/>
      <w:r w:rsidR="00AB0EB2" w:rsidRPr="0051252F">
        <w:rPr>
          <w:i/>
        </w:rPr>
        <w:t>Apis</w:t>
      </w:r>
      <w:proofErr w:type="spellEnd"/>
      <w:r w:rsidR="00AB0EB2" w:rsidRPr="0051252F">
        <w:rPr>
          <w:i/>
        </w:rPr>
        <w:t xml:space="preserve"> </w:t>
      </w:r>
      <w:proofErr w:type="spellStart"/>
      <w:r w:rsidR="00AB0EB2" w:rsidRPr="0051252F">
        <w:rPr>
          <w:i/>
        </w:rPr>
        <w:t>dorsata</w:t>
      </w:r>
      <w:proofErr w:type="spellEnd"/>
      <w:r w:rsidR="00AB0EB2">
        <w:t>), dwarf honey bees (</w:t>
      </w:r>
      <w:proofErr w:type="spellStart"/>
      <w:r w:rsidR="00AB0EB2" w:rsidRPr="0051252F">
        <w:rPr>
          <w:i/>
        </w:rPr>
        <w:t>Apis</w:t>
      </w:r>
      <w:proofErr w:type="spellEnd"/>
      <w:r w:rsidR="00AB0EB2" w:rsidRPr="0051252F">
        <w:rPr>
          <w:i/>
        </w:rPr>
        <w:t xml:space="preserve"> </w:t>
      </w:r>
      <w:proofErr w:type="spellStart"/>
      <w:r w:rsidR="00AB0EB2" w:rsidRPr="0051252F">
        <w:rPr>
          <w:i/>
        </w:rPr>
        <w:t>florea</w:t>
      </w:r>
      <w:proofErr w:type="spellEnd"/>
      <w:r w:rsidR="00AB0EB2">
        <w:t>) and Cape honey bees (</w:t>
      </w:r>
      <w:proofErr w:type="spellStart"/>
      <w:r w:rsidR="00AB0EB2" w:rsidRPr="0051252F">
        <w:rPr>
          <w:i/>
        </w:rPr>
        <w:t>Apis</w:t>
      </w:r>
      <w:proofErr w:type="spellEnd"/>
      <w:r w:rsidR="00AB0EB2" w:rsidRPr="0051252F">
        <w:rPr>
          <w:i/>
        </w:rPr>
        <w:t xml:space="preserve"> </w:t>
      </w:r>
      <w:proofErr w:type="spellStart"/>
      <w:r w:rsidR="00AB0EB2" w:rsidRPr="0051252F">
        <w:rPr>
          <w:i/>
        </w:rPr>
        <w:t>mellifera</w:t>
      </w:r>
      <w:proofErr w:type="spellEnd"/>
      <w:r w:rsidR="00AB0EB2" w:rsidRPr="0051252F">
        <w:rPr>
          <w:i/>
        </w:rPr>
        <w:t xml:space="preserve"> </w:t>
      </w:r>
      <w:proofErr w:type="spellStart"/>
      <w:r w:rsidR="00AB0EB2" w:rsidRPr="0051252F">
        <w:rPr>
          <w:i/>
        </w:rPr>
        <w:t>capensis</w:t>
      </w:r>
      <w:proofErr w:type="spellEnd"/>
      <w:r w:rsidR="00AB0EB2">
        <w:t>).</w:t>
      </w:r>
    </w:p>
    <w:p w14:paraId="6444658E" w14:textId="77777777" w:rsidR="00AB0E44" w:rsidRDefault="00361FA3">
      <w:pPr>
        <w:pStyle w:val="Heading3"/>
      </w:pPr>
      <w:bookmarkStart w:id="132" w:name="_Toc521069561"/>
      <w:r>
        <w:t>Mosquitoes</w:t>
      </w:r>
      <w:bookmarkEnd w:id="132"/>
    </w:p>
    <w:p w14:paraId="2EF8E29C" w14:textId="340DE11E" w:rsidR="00AB0E44" w:rsidRDefault="00361FA3">
      <w:pPr>
        <w:rPr>
          <w:lang w:eastAsia="en-AU"/>
        </w:rPr>
      </w:pPr>
      <w:r>
        <w:rPr>
          <w:lang w:eastAsia="en-AU"/>
        </w:rPr>
        <w:t>Mosquitoes arguably cause more human suffering than any other organism</w:t>
      </w:r>
      <w:r w:rsidR="00DA102B">
        <w:rPr>
          <w:lang w:eastAsia="en-AU"/>
        </w:rPr>
        <w:t>.</w:t>
      </w:r>
      <w:r>
        <w:rPr>
          <w:lang w:eastAsia="en-AU"/>
        </w:rPr>
        <w:t xml:space="preserve"> </w:t>
      </w:r>
      <w:r w:rsidR="00DA102B">
        <w:rPr>
          <w:lang w:eastAsia="en-AU"/>
        </w:rPr>
        <w:t>O</w:t>
      </w:r>
      <w:r>
        <w:rPr>
          <w:lang w:eastAsia="en-AU"/>
        </w:rPr>
        <w:t xml:space="preserve">ver one million people worldwide </w:t>
      </w:r>
      <w:r w:rsidR="00DA102B">
        <w:rPr>
          <w:lang w:eastAsia="en-AU"/>
        </w:rPr>
        <w:t xml:space="preserve">die </w:t>
      </w:r>
      <w:r>
        <w:rPr>
          <w:lang w:eastAsia="en-AU"/>
        </w:rPr>
        <w:t xml:space="preserve">every year from mosquito-borne diseases such as malaria, yellow fever, dengue, chikungunya and </w:t>
      </w:r>
      <w:proofErr w:type="spellStart"/>
      <w:r>
        <w:rPr>
          <w:lang w:eastAsia="en-AU"/>
        </w:rPr>
        <w:t>Zika</w:t>
      </w:r>
      <w:proofErr w:type="spellEnd"/>
      <w:r>
        <w:rPr>
          <w:lang w:eastAsia="en-AU"/>
        </w:rPr>
        <w:t xml:space="preserve">. In 2017 the Inspector-General </w:t>
      </w:r>
      <w:r w:rsidRPr="00FF637F">
        <w:rPr>
          <w:lang w:eastAsia="en-AU"/>
        </w:rPr>
        <w:t>published a report on</w:t>
      </w:r>
      <w:r>
        <w:rPr>
          <w:lang w:eastAsia="en-AU"/>
        </w:rPr>
        <w:t xml:space="preserve"> the biosecurity risks posed by invasive vector mosquitoes</w:t>
      </w:r>
      <w:r w:rsidR="00FF637F">
        <w:rPr>
          <w:lang w:eastAsia="en-AU"/>
        </w:rPr>
        <w:t xml:space="preserve"> (</w:t>
      </w:r>
      <w:r w:rsidR="00214738" w:rsidRPr="00214738">
        <w:rPr>
          <w:lang w:eastAsia="en-AU"/>
        </w:rPr>
        <w:t>Inspector-General</w:t>
      </w:r>
      <w:r w:rsidR="00214738">
        <w:rPr>
          <w:lang w:eastAsia="en-AU"/>
        </w:rPr>
        <w:t xml:space="preserve"> of Biosecurity</w:t>
      </w:r>
      <w:r w:rsidR="00FF637F">
        <w:rPr>
          <w:lang w:eastAsia="en-AU"/>
        </w:rPr>
        <w:t xml:space="preserve"> 2017)</w:t>
      </w:r>
      <w:r>
        <w:rPr>
          <w:lang w:eastAsia="en-AU"/>
        </w:rPr>
        <w:t>.</w:t>
      </w:r>
    </w:p>
    <w:p w14:paraId="1D1A5556" w14:textId="77777777" w:rsidR="00AB0E44" w:rsidRDefault="00361FA3">
      <w:pPr>
        <w:pStyle w:val="Heading3"/>
      </w:pPr>
      <w:bookmarkStart w:id="133" w:name="_Toc521069562"/>
      <w:r>
        <w:t>Rodents</w:t>
      </w:r>
      <w:bookmarkEnd w:id="133"/>
    </w:p>
    <w:p w14:paraId="79A92B86" w14:textId="46E9F6FF" w:rsidR="00AB0E44" w:rsidRDefault="00361FA3">
      <w:pPr>
        <w:rPr>
          <w:lang w:eastAsia="en-AU"/>
        </w:rPr>
      </w:pPr>
      <w:r>
        <w:rPr>
          <w:lang w:eastAsia="en-AU"/>
        </w:rPr>
        <w:t>Rats and mice are highly adaptable omnivorous rodents of worldwide distribution and major biosecurity concern</w:t>
      </w:r>
      <w:r w:rsidR="0007369F">
        <w:rPr>
          <w:lang w:eastAsia="en-AU"/>
        </w:rPr>
        <w:t>.</w:t>
      </w:r>
      <w:r w:rsidR="00FC545B">
        <w:rPr>
          <w:lang w:eastAsia="en-AU"/>
        </w:rPr>
        <w:t xml:space="preserve"> </w:t>
      </w:r>
      <w:r>
        <w:rPr>
          <w:lang w:eastAsia="en-AU"/>
        </w:rPr>
        <w:t>Transmission of bubonic and pneumonic plague (</w:t>
      </w:r>
      <w:r w:rsidR="00DA102B">
        <w:rPr>
          <w:lang w:eastAsia="en-AU"/>
        </w:rPr>
        <w:t>‘</w:t>
      </w:r>
      <w:r>
        <w:rPr>
          <w:lang w:eastAsia="en-AU"/>
        </w:rPr>
        <w:t>the Black Death</w:t>
      </w:r>
      <w:r w:rsidR="00DA102B">
        <w:rPr>
          <w:lang w:eastAsia="en-AU"/>
        </w:rPr>
        <w:t>’</w:t>
      </w:r>
      <w:r>
        <w:rPr>
          <w:lang w:eastAsia="en-AU"/>
        </w:rPr>
        <w:t xml:space="preserve">) is the most feared impact, but rodents can vector other serious animal and human diseases and contaminate food and the environment with faeces or urine. They can also devastate crops, cause physical damage to materials through gnawing and burrowing, and reduce environmental biodiversity </w:t>
      </w:r>
      <w:r w:rsidR="000C62B1">
        <w:rPr>
          <w:lang w:eastAsia="en-AU"/>
        </w:rPr>
        <w:t>(</w:t>
      </w:r>
      <w:r w:rsidR="000C62B1">
        <w:rPr>
          <w:lang w:eastAsia="en-AU"/>
        </w:rPr>
        <w:fldChar w:fldCharType="begin"/>
      </w:r>
      <w:r w:rsidR="000C62B1">
        <w:rPr>
          <w:lang w:eastAsia="en-AU"/>
        </w:rPr>
        <w:instrText xml:space="preserve"> REF _Ref515874759 \h </w:instrText>
      </w:r>
      <w:r w:rsidR="000C62B1">
        <w:rPr>
          <w:lang w:eastAsia="en-AU"/>
        </w:rPr>
      </w:r>
      <w:r w:rsidR="000C62B1">
        <w:rPr>
          <w:lang w:eastAsia="en-AU"/>
        </w:rPr>
        <w:fldChar w:fldCharType="separate"/>
      </w:r>
      <w:r w:rsidR="000C62B1">
        <w:t xml:space="preserve">Box </w:t>
      </w:r>
      <w:r w:rsidR="000C62B1">
        <w:rPr>
          <w:noProof/>
        </w:rPr>
        <w:t>4</w:t>
      </w:r>
      <w:r w:rsidR="000C62B1">
        <w:rPr>
          <w:lang w:eastAsia="en-AU"/>
        </w:rPr>
        <w:fldChar w:fldCharType="end"/>
      </w:r>
      <w:r w:rsidR="000C62B1">
        <w:rPr>
          <w:lang w:eastAsia="en-AU"/>
        </w:rPr>
        <w:t xml:space="preserve">) </w:t>
      </w:r>
      <w:r>
        <w:rPr>
          <w:lang w:eastAsia="en-AU"/>
        </w:rPr>
        <w:t xml:space="preserve">by competition with marsupials, eating </w:t>
      </w:r>
      <w:r w:rsidR="000C62B1">
        <w:rPr>
          <w:lang w:eastAsia="en-AU"/>
        </w:rPr>
        <w:t xml:space="preserve">birds’ eggs and </w:t>
      </w:r>
      <w:r>
        <w:rPr>
          <w:lang w:eastAsia="en-AU"/>
        </w:rPr>
        <w:t>native plants</w:t>
      </w:r>
      <w:r w:rsidR="000C62B1">
        <w:rPr>
          <w:lang w:eastAsia="en-AU"/>
        </w:rPr>
        <w:t>,</w:t>
      </w:r>
      <w:r>
        <w:rPr>
          <w:lang w:eastAsia="en-AU"/>
        </w:rPr>
        <w:t xml:space="preserve"> and destroying the soil seed bank.</w:t>
      </w:r>
      <w:r w:rsidR="000C62B1">
        <w:rPr>
          <w:lang w:eastAsia="en-AU"/>
        </w:rPr>
        <w:t xml:space="preserve"> Rats have been eradicated from some islands; however, in larger continental areas this is not feasible. It is still important to prevent the arrival of new populations due to their potential impacts</w:t>
      </w:r>
      <w:r w:rsidR="00BB5087">
        <w:rPr>
          <w:lang w:eastAsia="en-AU"/>
        </w:rPr>
        <w:t>.</w:t>
      </w:r>
    </w:p>
    <w:p w14:paraId="69F7AC63" w14:textId="71428152" w:rsidR="00AB0E44" w:rsidRDefault="00361FA3">
      <w:pPr>
        <w:rPr>
          <w:lang w:eastAsia="en-AU"/>
        </w:rPr>
      </w:pPr>
      <w:bookmarkStart w:id="134" w:name="_Ref514246310"/>
      <w:r>
        <w:rPr>
          <w:lang w:eastAsia="en-AU"/>
        </w:rPr>
        <w:t xml:space="preserve">Rodents are a key target of </w:t>
      </w:r>
      <w:r w:rsidRPr="00E460BD">
        <w:rPr>
          <w:lang w:eastAsia="en-AU"/>
        </w:rPr>
        <w:t>the Ship Sanitation Certification Scheme under</w:t>
      </w:r>
      <w:r>
        <w:rPr>
          <w:lang w:eastAsia="en-AU"/>
        </w:rPr>
        <w:t xml:space="preserve"> the International Health Regulations because of the risk of spreading human disease. This has been reflected in the design and implementation of </w:t>
      </w:r>
      <w:r w:rsidRPr="00914619">
        <w:rPr>
          <w:lang w:eastAsia="en-AU"/>
        </w:rPr>
        <w:t>MARS</w:t>
      </w:r>
      <w:r w:rsidR="00DA102B" w:rsidRPr="00914619">
        <w:rPr>
          <w:lang w:eastAsia="en-AU"/>
        </w:rPr>
        <w:t>,</w:t>
      </w:r>
      <w:r w:rsidRPr="00914619">
        <w:rPr>
          <w:lang w:eastAsia="en-AU"/>
        </w:rPr>
        <w:t xml:space="preserve"> which seems to be managing rodent risks effectively.</w:t>
      </w:r>
    </w:p>
    <w:p w14:paraId="5D9D43C8" w14:textId="242906FC" w:rsidR="00AB0E44" w:rsidRDefault="00361FA3">
      <w:pPr>
        <w:pStyle w:val="Caption"/>
        <w:rPr>
          <w:noProof/>
        </w:rPr>
      </w:pPr>
      <w:bookmarkStart w:id="135" w:name="_Ref515874759"/>
      <w:r>
        <w:t xml:space="preserve">Box </w:t>
      </w:r>
      <w:r w:rsidR="00F21B3D">
        <w:rPr>
          <w:noProof/>
        </w:rPr>
        <w:fldChar w:fldCharType="begin"/>
      </w:r>
      <w:r w:rsidR="00F21B3D">
        <w:rPr>
          <w:noProof/>
        </w:rPr>
        <w:instrText xml:space="preserve"> SEQ Box \* ARABIC </w:instrText>
      </w:r>
      <w:r w:rsidR="00F21B3D">
        <w:rPr>
          <w:noProof/>
        </w:rPr>
        <w:fldChar w:fldCharType="separate"/>
      </w:r>
      <w:r w:rsidR="007F78D8">
        <w:rPr>
          <w:noProof/>
        </w:rPr>
        <w:t>4</w:t>
      </w:r>
      <w:r w:rsidR="00F21B3D">
        <w:rPr>
          <w:noProof/>
        </w:rPr>
        <w:fldChar w:fldCharType="end"/>
      </w:r>
      <w:bookmarkEnd w:id="134"/>
      <w:bookmarkEnd w:id="135"/>
      <w:r>
        <w:rPr>
          <w:noProof/>
        </w:rPr>
        <w:t xml:space="preserve"> Impact of rats on species diversity</w:t>
      </w:r>
    </w:p>
    <w:p w14:paraId="753E261F" w14:textId="54FDB3DC" w:rsidR="00AB0E44" w:rsidRPr="0051252F" w:rsidRDefault="00361FA3" w:rsidP="0051252F">
      <w:pPr>
        <w:pStyle w:val="BoxText"/>
      </w:pPr>
      <w:r>
        <w:t>Black rats were introduced to Lord Howe Island</w:t>
      </w:r>
      <w:r w:rsidR="00713620">
        <w:t>, Australia,</w:t>
      </w:r>
      <w:r>
        <w:t xml:space="preserve"> in 1918 following the grounding of a ship on the island. Rats are implicated in the extinction of at least five endemic species of birds and at least 13 invertebrates (Gillespie and Bennett 2017). Internationally, rats and mice have been linked with 75 animal extinctions (52 birds, 21 mammals and </w:t>
      </w:r>
      <w:r w:rsidR="00DA102B">
        <w:t>two</w:t>
      </w:r>
      <w:r>
        <w:t xml:space="preserve"> reptiles) (Doherty et al. 2016).</w:t>
      </w:r>
    </w:p>
    <w:p w14:paraId="441509E7" w14:textId="4CA23660" w:rsidR="00AB0E44" w:rsidRDefault="00361FA3">
      <w:pPr>
        <w:spacing w:before="240" w:after="0"/>
        <w:rPr>
          <w:lang w:eastAsia="en-AU"/>
        </w:rPr>
      </w:pPr>
      <w:r>
        <w:rPr>
          <w:lang w:eastAsia="en-AU"/>
        </w:rPr>
        <w:t xml:space="preserve">Rats and mice have spread throughout the world via human trade and transport. Between 2012 and 2017 the department recorded </w:t>
      </w:r>
      <w:r w:rsidR="00056ED0">
        <w:rPr>
          <w:lang w:eastAsia="en-AU"/>
        </w:rPr>
        <w:t>2</w:t>
      </w:r>
      <w:r>
        <w:rPr>
          <w:lang w:eastAsia="en-AU"/>
        </w:rPr>
        <w:t>1 interceptions of rodents from 15 countries. In many cases a live rodent was not actually seen</w:t>
      </w:r>
      <w:r w:rsidR="00DA102B">
        <w:rPr>
          <w:lang w:eastAsia="en-AU"/>
        </w:rPr>
        <w:t>,</w:t>
      </w:r>
      <w:r>
        <w:rPr>
          <w:lang w:eastAsia="en-AU"/>
        </w:rPr>
        <w:t xml:space="preserve"> but evidence of rodent activity, such as faeces or track marks, was present or a dead rodent </w:t>
      </w:r>
      <w:r w:rsidR="00DA102B">
        <w:rPr>
          <w:lang w:eastAsia="en-AU"/>
        </w:rPr>
        <w:t xml:space="preserve">was </w:t>
      </w:r>
      <w:r>
        <w:rPr>
          <w:lang w:eastAsia="en-AU"/>
        </w:rPr>
        <w:t>found.</w:t>
      </w:r>
    </w:p>
    <w:p w14:paraId="4A0B879B" w14:textId="77777777" w:rsidR="00AB0E44" w:rsidRDefault="00361FA3">
      <w:pPr>
        <w:pStyle w:val="Heading3"/>
        <w:spacing w:before="360"/>
      </w:pPr>
      <w:bookmarkStart w:id="136" w:name="_Toc521069563"/>
      <w:r>
        <w:t>Black-spined toad (</w:t>
      </w:r>
      <w:proofErr w:type="spellStart"/>
      <w:r>
        <w:rPr>
          <w:i/>
        </w:rPr>
        <w:t>Duttaphrynus</w:t>
      </w:r>
      <w:proofErr w:type="spellEnd"/>
      <w:r>
        <w:rPr>
          <w:i/>
        </w:rPr>
        <w:t xml:space="preserve"> </w:t>
      </w:r>
      <w:proofErr w:type="spellStart"/>
      <w:r>
        <w:rPr>
          <w:i/>
        </w:rPr>
        <w:t>melanostictus</w:t>
      </w:r>
      <w:proofErr w:type="spellEnd"/>
      <w:r>
        <w:t>)</w:t>
      </w:r>
      <w:bookmarkEnd w:id="136"/>
    </w:p>
    <w:p w14:paraId="375E1DE0" w14:textId="295B313F" w:rsidR="00AB0E44" w:rsidRDefault="00361FA3">
      <w:pPr>
        <w:rPr>
          <w:lang w:eastAsia="en-AU"/>
        </w:rPr>
      </w:pPr>
      <w:r>
        <w:rPr>
          <w:lang w:eastAsia="en-AU"/>
        </w:rPr>
        <w:t xml:space="preserve">The Asian black-spined toad shares the same family </w:t>
      </w:r>
      <w:proofErr w:type="spellStart"/>
      <w:r>
        <w:rPr>
          <w:i/>
          <w:lang w:eastAsia="en-AU"/>
        </w:rPr>
        <w:t>Bufonidae</w:t>
      </w:r>
      <w:proofErr w:type="spellEnd"/>
      <w:r>
        <w:rPr>
          <w:lang w:eastAsia="en-AU"/>
        </w:rPr>
        <w:t xml:space="preserve"> as cane toads and </w:t>
      </w:r>
      <w:r w:rsidR="00DA102B">
        <w:rPr>
          <w:lang w:eastAsia="en-AU"/>
        </w:rPr>
        <w:t xml:space="preserve">secretes </w:t>
      </w:r>
      <w:r>
        <w:rPr>
          <w:lang w:eastAsia="en-AU"/>
        </w:rPr>
        <w:t>similar lethal toxins from glands on its back</w:t>
      </w:r>
      <w:r w:rsidR="00DA102B">
        <w:rPr>
          <w:lang w:eastAsia="en-AU"/>
        </w:rPr>
        <w:t>.</w:t>
      </w:r>
      <w:r>
        <w:rPr>
          <w:lang w:eastAsia="en-AU"/>
        </w:rPr>
        <w:t xml:space="preserve"> </w:t>
      </w:r>
      <w:r w:rsidR="00DA102B">
        <w:rPr>
          <w:lang w:eastAsia="en-AU"/>
        </w:rPr>
        <w:t xml:space="preserve">It has the </w:t>
      </w:r>
      <w:r>
        <w:rPr>
          <w:lang w:eastAsia="en-AU"/>
        </w:rPr>
        <w:t>potential to compete with native species</w:t>
      </w:r>
      <w:r w:rsidR="00970634">
        <w:rPr>
          <w:lang w:eastAsia="en-AU"/>
        </w:rPr>
        <w:t>, kill predators that encounter its toxins</w:t>
      </w:r>
      <w:r>
        <w:rPr>
          <w:lang w:eastAsia="en-AU"/>
        </w:rPr>
        <w:t xml:space="preserve"> and spread exotic parasites and pathogens. It has no natural predators in Australia.</w:t>
      </w:r>
    </w:p>
    <w:p w14:paraId="30ACE8AD" w14:textId="2CCC1152" w:rsidR="00AB0E44" w:rsidRDefault="00361FA3">
      <w:pPr>
        <w:rPr>
          <w:lang w:eastAsia="en-AU"/>
        </w:rPr>
      </w:pPr>
      <w:r>
        <w:rPr>
          <w:lang w:eastAsia="en-AU"/>
        </w:rPr>
        <w:t>Toads are typically</w:t>
      </w:r>
      <w:r>
        <w:rPr>
          <w:b/>
          <w:lang w:eastAsia="en-AU"/>
        </w:rPr>
        <w:t xml:space="preserve"> </w:t>
      </w:r>
      <w:r w:rsidRPr="0051252F">
        <w:rPr>
          <w:lang w:eastAsia="en-AU"/>
        </w:rPr>
        <w:t>intercepted</w:t>
      </w:r>
      <w:r>
        <w:rPr>
          <w:lang w:eastAsia="en-AU"/>
        </w:rPr>
        <w:t xml:space="preserve"> as hitchhikers on vessels, shipping containers and machinery as well as on personal belongings of travellers from endemic regions. Between 2012 and 2017 the department intercepted 24 black-spined toads from five </w:t>
      </w:r>
      <w:r w:rsidR="00FA4E21">
        <w:rPr>
          <w:lang w:eastAsia="en-AU"/>
        </w:rPr>
        <w:t xml:space="preserve">Asian </w:t>
      </w:r>
      <w:r>
        <w:rPr>
          <w:lang w:eastAsia="en-AU"/>
        </w:rPr>
        <w:t>countries</w:t>
      </w:r>
      <w:r w:rsidR="00373D5E">
        <w:rPr>
          <w:lang w:eastAsia="en-AU"/>
        </w:rPr>
        <w:t xml:space="preserve">, </w:t>
      </w:r>
      <w:r w:rsidR="00FA4E21">
        <w:rPr>
          <w:lang w:eastAsia="en-AU"/>
        </w:rPr>
        <w:t>half in air baggage</w:t>
      </w:r>
      <w:r w:rsidR="00373D5E">
        <w:rPr>
          <w:lang w:eastAsia="en-AU"/>
        </w:rPr>
        <w:t>.</w:t>
      </w:r>
    </w:p>
    <w:p w14:paraId="2C8B9F26" w14:textId="223BACC0" w:rsidR="00AB0E44" w:rsidRDefault="00361FA3" w:rsidP="00E87528">
      <w:pPr>
        <w:rPr>
          <w:lang w:eastAsia="en-AU"/>
        </w:rPr>
      </w:pPr>
      <w:r>
        <w:rPr>
          <w:lang w:eastAsia="en-AU"/>
        </w:rPr>
        <w:t>There have been several</w:t>
      </w:r>
      <w:r>
        <w:rPr>
          <w:b/>
          <w:lang w:eastAsia="en-AU"/>
        </w:rPr>
        <w:t xml:space="preserve"> </w:t>
      </w:r>
      <w:r w:rsidRPr="0051252F">
        <w:rPr>
          <w:lang w:eastAsia="en-AU"/>
        </w:rPr>
        <w:t>incursions</w:t>
      </w:r>
      <w:r>
        <w:rPr>
          <w:lang w:eastAsia="en-AU"/>
        </w:rPr>
        <w:t xml:space="preserve"> of black</w:t>
      </w:r>
      <w:r w:rsidR="00DD7F54">
        <w:rPr>
          <w:lang w:eastAsia="en-AU"/>
        </w:rPr>
        <w:t>-</w:t>
      </w:r>
      <w:r>
        <w:rPr>
          <w:lang w:eastAsia="en-AU"/>
        </w:rPr>
        <w:t>spined toad in Australia</w:t>
      </w:r>
      <w:r w:rsidR="00DD7F54">
        <w:rPr>
          <w:lang w:eastAsia="en-AU"/>
        </w:rPr>
        <w:t>.</w:t>
      </w:r>
      <w:r>
        <w:rPr>
          <w:lang w:eastAsia="en-AU"/>
        </w:rPr>
        <w:t xml:space="preserve"> </w:t>
      </w:r>
      <w:r w:rsidR="00DD7F54">
        <w:rPr>
          <w:lang w:eastAsia="en-AU"/>
        </w:rPr>
        <w:t>T</w:t>
      </w:r>
      <w:r>
        <w:rPr>
          <w:lang w:eastAsia="en-AU"/>
        </w:rPr>
        <w:t xml:space="preserve">he most recent </w:t>
      </w:r>
      <w:r w:rsidR="00DD7F54">
        <w:rPr>
          <w:lang w:eastAsia="en-AU"/>
        </w:rPr>
        <w:t xml:space="preserve">was </w:t>
      </w:r>
      <w:r>
        <w:rPr>
          <w:lang w:eastAsia="en-AU"/>
        </w:rPr>
        <w:t>in Cloverdale, Western Australia</w:t>
      </w:r>
      <w:r w:rsidR="00DD7F54">
        <w:rPr>
          <w:lang w:eastAsia="en-AU"/>
        </w:rPr>
        <w:t>,</w:t>
      </w:r>
      <w:r>
        <w:rPr>
          <w:lang w:eastAsia="en-AU"/>
        </w:rPr>
        <w:t xml:space="preserve"> in November 2017. Previous incursions include Belrose, Sydney in March 2015 and suburban Melbourne in 2014. Each time, only one toad was caught.</w:t>
      </w:r>
    </w:p>
    <w:p w14:paraId="036536AC" w14:textId="77777777" w:rsidR="00AB0E44" w:rsidRDefault="00361FA3">
      <w:pPr>
        <w:pStyle w:val="Heading3"/>
      </w:pPr>
      <w:bookmarkStart w:id="137" w:name="_Toc521069564"/>
      <w:r>
        <w:t>Reptiles</w:t>
      </w:r>
      <w:bookmarkEnd w:id="137"/>
    </w:p>
    <w:p w14:paraId="5CEF0AFF" w14:textId="611D2357" w:rsidR="00AB0E44" w:rsidRDefault="00361FA3">
      <w:pPr>
        <w:rPr>
          <w:lang w:eastAsia="en-AU"/>
        </w:rPr>
      </w:pPr>
      <w:r>
        <w:rPr>
          <w:lang w:eastAsia="en-AU"/>
        </w:rPr>
        <w:t xml:space="preserve">Reptiles present a significant threat to Australia. As yet, no introduced reptiles have been eradicated around the world, despite continued control and management efforts (Reed &amp; </w:t>
      </w:r>
      <w:proofErr w:type="spellStart"/>
      <w:r>
        <w:rPr>
          <w:lang w:eastAsia="en-AU"/>
        </w:rPr>
        <w:t>Rodda</w:t>
      </w:r>
      <w:proofErr w:type="spellEnd"/>
      <w:r>
        <w:rPr>
          <w:lang w:eastAsia="en-AU"/>
        </w:rPr>
        <w:t xml:space="preserve"> 2009). They can easily establish</w:t>
      </w:r>
      <w:r w:rsidR="00DD7F54">
        <w:rPr>
          <w:lang w:eastAsia="en-AU"/>
        </w:rPr>
        <w:t>,</w:t>
      </w:r>
      <w:r>
        <w:rPr>
          <w:lang w:eastAsia="en-AU"/>
        </w:rPr>
        <w:t xml:space="preserve"> as they are hard to find and trap, lack predators and have favourable breeding patterns. </w:t>
      </w:r>
      <w:r w:rsidR="00DD7F54">
        <w:rPr>
          <w:lang w:eastAsia="en-AU"/>
        </w:rPr>
        <w:t>Between 2012 and 2017, t</w:t>
      </w:r>
      <w:r>
        <w:rPr>
          <w:lang w:eastAsia="en-AU"/>
        </w:rPr>
        <w:t>he department recorded 545 interceptions of reptiles from 45 countries as</w:t>
      </w:r>
      <w:r w:rsidR="00BB442A">
        <w:rPr>
          <w:lang w:eastAsia="en-AU"/>
        </w:rPr>
        <w:t xml:space="preserve"> hitchhikers or illegal imports (</w:t>
      </w:r>
      <w:r w:rsidR="00BB442A">
        <w:rPr>
          <w:lang w:eastAsia="en-AU"/>
        </w:rPr>
        <w:fldChar w:fldCharType="begin"/>
      </w:r>
      <w:r w:rsidR="00BB442A">
        <w:rPr>
          <w:lang w:eastAsia="en-AU"/>
        </w:rPr>
        <w:instrText xml:space="preserve"> REF _Ref515646977 \h </w:instrText>
      </w:r>
      <w:r w:rsidR="00BB442A">
        <w:rPr>
          <w:lang w:eastAsia="en-AU"/>
        </w:rPr>
      </w:r>
      <w:r w:rsidR="00BB442A">
        <w:rPr>
          <w:lang w:eastAsia="en-AU"/>
        </w:rPr>
        <w:fldChar w:fldCharType="separate"/>
      </w:r>
      <w:r w:rsidR="007F78D8">
        <w:t xml:space="preserve">Table </w:t>
      </w:r>
      <w:r w:rsidR="007F78D8">
        <w:rPr>
          <w:noProof/>
        </w:rPr>
        <w:t>13</w:t>
      </w:r>
      <w:r w:rsidR="00BB442A">
        <w:rPr>
          <w:lang w:eastAsia="en-AU"/>
        </w:rPr>
        <w:fldChar w:fldCharType="end"/>
      </w:r>
      <w:r w:rsidR="00BB442A">
        <w:rPr>
          <w:lang w:eastAsia="en-AU"/>
        </w:rPr>
        <w:t>).</w:t>
      </w:r>
    </w:p>
    <w:p w14:paraId="5985C069" w14:textId="314ACD51" w:rsidR="00AB0E44" w:rsidRDefault="00FC2C75" w:rsidP="00FC2C75">
      <w:pPr>
        <w:pStyle w:val="Caption"/>
        <w:rPr>
          <w:lang w:eastAsia="en-AU"/>
        </w:rPr>
      </w:pPr>
      <w:bookmarkStart w:id="138" w:name="_Ref515646977"/>
      <w:bookmarkStart w:id="139" w:name="_Toc521069604"/>
      <w:r>
        <w:t xml:space="preserve">Table </w:t>
      </w:r>
      <w:r w:rsidR="000F1D5A">
        <w:rPr>
          <w:noProof/>
        </w:rPr>
        <w:fldChar w:fldCharType="begin"/>
      </w:r>
      <w:r w:rsidR="000F1D5A">
        <w:rPr>
          <w:noProof/>
        </w:rPr>
        <w:instrText xml:space="preserve"> SEQ Table \* ARABIC </w:instrText>
      </w:r>
      <w:r w:rsidR="000F1D5A">
        <w:rPr>
          <w:noProof/>
        </w:rPr>
        <w:fldChar w:fldCharType="separate"/>
      </w:r>
      <w:r w:rsidR="007F78D8">
        <w:rPr>
          <w:noProof/>
        </w:rPr>
        <w:t>13</w:t>
      </w:r>
      <w:r w:rsidR="000F1D5A">
        <w:rPr>
          <w:noProof/>
        </w:rPr>
        <w:fldChar w:fldCharType="end"/>
      </w:r>
      <w:bookmarkEnd w:id="138"/>
      <w:r>
        <w:rPr>
          <w:noProof/>
        </w:rPr>
        <w:t xml:space="preserve"> </w:t>
      </w:r>
      <w:r w:rsidRPr="00126715">
        <w:rPr>
          <w:noProof/>
        </w:rPr>
        <w:t>Reptile interceptions</w:t>
      </w:r>
      <w:r w:rsidR="00E6471A">
        <w:rPr>
          <w:noProof/>
        </w:rPr>
        <w:t>,</w:t>
      </w:r>
      <w:r w:rsidRPr="00126715">
        <w:rPr>
          <w:noProof/>
        </w:rPr>
        <w:t xml:space="preserve"> by country of origin and pathway, 2012–2017</w:t>
      </w:r>
      <w:bookmarkEnd w:id="139"/>
    </w:p>
    <w:tbl>
      <w:tblPr>
        <w:tblStyle w:val="TableGridLight"/>
        <w:tblW w:w="850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709"/>
        <w:gridCol w:w="850"/>
        <w:gridCol w:w="714"/>
        <w:gridCol w:w="1134"/>
        <w:gridCol w:w="567"/>
        <w:gridCol w:w="992"/>
        <w:gridCol w:w="993"/>
        <w:gridCol w:w="708"/>
      </w:tblGrid>
      <w:tr w:rsidR="00AB0E44" w14:paraId="122134B8" w14:textId="77777777" w:rsidTr="0051252F">
        <w:trPr>
          <w:trHeight w:val="312"/>
        </w:trPr>
        <w:tc>
          <w:tcPr>
            <w:tcW w:w="1838" w:type="dxa"/>
            <w:tcBorders>
              <w:top w:val="single" w:sz="4" w:space="0" w:color="auto"/>
              <w:bottom w:val="nil"/>
            </w:tcBorders>
          </w:tcPr>
          <w:p w14:paraId="7B336BEF" w14:textId="77777777" w:rsidR="00AB0E44" w:rsidRDefault="00361FA3">
            <w:pPr>
              <w:pStyle w:val="Tabletext"/>
              <w:rPr>
                <w:b/>
                <w:lang w:eastAsia="en-AU"/>
              </w:rPr>
            </w:pPr>
            <w:r>
              <w:rPr>
                <w:b/>
                <w:lang w:eastAsia="en-AU"/>
              </w:rPr>
              <w:t>Country of origin</w:t>
            </w:r>
          </w:p>
        </w:tc>
        <w:tc>
          <w:tcPr>
            <w:tcW w:w="709" w:type="dxa"/>
            <w:tcBorders>
              <w:top w:val="single" w:sz="4" w:space="0" w:color="auto"/>
              <w:bottom w:val="nil"/>
            </w:tcBorders>
          </w:tcPr>
          <w:p w14:paraId="7EC0B053" w14:textId="77777777" w:rsidR="00AB0E44" w:rsidRDefault="00361FA3" w:rsidP="0051252F">
            <w:pPr>
              <w:pStyle w:val="Tabletext"/>
              <w:jc w:val="right"/>
              <w:rPr>
                <w:b/>
                <w:lang w:eastAsia="en-AU"/>
              </w:rPr>
            </w:pPr>
            <w:r>
              <w:rPr>
                <w:b/>
                <w:lang w:eastAsia="en-AU"/>
              </w:rPr>
              <w:t xml:space="preserve">Air </w:t>
            </w:r>
          </w:p>
          <w:p w14:paraId="41394DC6" w14:textId="77777777" w:rsidR="00AB0E44" w:rsidRDefault="00361FA3" w:rsidP="0051252F">
            <w:pPr>
              <w:pStyle w:val="Tabletext"/>
              <w:jc w:val="right"/>
              <w:rPr>
                <w:b/>
                <w:lang w:eastAsia="en-AU"/>
              </w:rPr>
            </w:pPr>
            <w:r>
              <w:rPr>
                <w:b/>
                <w:lang w:eastAsia="en-AU"/>
              </w:rPr>
              <w:t>cargo</w:t>
            </w:r>
          </w:p>
        </w:tc>
        <w:tc>
          <w:tcPr>
            <w:tcW w:w="850" w:type="dxa"/>
            <w:tcBorders>
              <w:top w:val="single" w:sz="4" w:space="0" w:color="auto"/>
              <w:bottom w:val="nil"/>
            </w:tcBorders>
          </w:tcPr>
          <w:p w14:paraId="4E6974E1" w14:textId="77777777" w:rsidR="00AB0E44" w:rsidRDefault="00361FA3" w:rsidP="0051252F">
            <w:pPr>
              <w:pStyle w:val="Tabletext"/>
              <w:jc w:val="right"/>
              <w:rPr>
                <w:b/>
                <w:lang w:eastAsia="en-AU"/>
              </w:rPr>
            </w:pPr>
            <w:r>
              <w:rPr>
                <w:b/>
                <w:lang w:eastAsia="en-AU"/>
              </w:rPr>
              <w:t>Air baggage</w:t>
            </w:r>
          </w:p>
        </w:tc>
        <w:tc>
          <w:tcPr>
            <w:tcW w:w="714" w:type="dxa"/>
            <w:tcBorders>
              <w:top w:val="single" w:sz="4" w:space="0" w:color="auto"/>
              <w:bottom w:val="nil"/>
            </w:tcBorders>
          </w:tcPr>
          <w:p w14:paraId="3EB5AE4F" w14:textId="77777777" w:rsidR="00AB0E44" w:rsidRDefault="00361FA3" w:rsidP="0051252F">
            <w:pPr>
              <w:pStyle w:val="Tabletext"/>
              <w:jc w:val="right"/>
              <w:rPr>
                <w:b/>
                <w:lang w:eastAsia="en-AU"/>
              </w:rPr>
            </w:pPr>
            <w:r>
              <w:rPr>
                <w:b/>
                <w:lang w:eastAsia="en-AU"/>
              </w:rPr>
              <w:t>Sea cargo</w:t>
            </w:r>
          </w:p>
        </w:tc>
        <w:tc>
          <w:tcPr>
            <w:tcW w:w="1134" w:type="dxa"/>
            <w:tcBorders>
              <w:top w:val="single" w:sz="4" w:space="0" w:color="auto"/>
              <w:bottom w:val="nil"/>
            </w:tcBorders>
          </w:tcPr>
          <w:p w14:paraId="5AECECFB" w14:textId="77777777" w:rsidR="00AB0E44" w:rsidRDefault="00361FA3" w:rsidP="0051252F">
            <w:pPr>
              <w:pStyle w:val="Tabletext"/>
              <w:jc w:val="right"/>
              <w:rPr>
                <w:b/>
                <w:lang w:eastAsia="en-AU"/>
              </w:rPr>
            </w:pPr>
            <w:r>
              <w:rPr>
                <w:b/>
                <w:lang w:eastAsia="en-AU"/>
              </w:rPr>
              <w:t>Commercial vessel</w:t>
            </w:r>
          </w:p>
        </w:tc>
        <w:tc>
          <w:tcPr>
            <w:tcW w:w="567" w:type="dxa"/>
            <w:tcBorders>
              <w:top w:val="single" w:sz="4" w:space="0" w:color="auto"/>
              <w:bottom w:val="nil"/>
            </w:tcBorders>
          </w:tcPr>
          <w:p w14:paraId="4E4C42AF" w14:textId="77777777" w:rsidR="00AB0E44" w:rsidRDefault="00361FA3" w:rsidP="0051252F">
            <w:pPr>
              <w:pStyle w:val="Tabletext"/>
              <w:jc w:val="right"/>
              <w:rPr>
                <w:b/>
                <w:lang w:eastAsia="en-AU"/>
              </w:rPr>
            </w:pPr>
            <w:r>
              <w:rPr>
                <w:b/>
                <w:lang w:eastAsia="en-AU"/>
              </w:rPr>
              <w:t>Mail</w:t>
            </w:r>
          </w:p>
        </w:tc>
        <w:tc>
          <w:tcPr>
            <w:tcW w:w="992" w:type="dxa"/>
            <w:tcBorders>
              <w:top w:val="single" w:sz="4" w:space="0" w:color="auto"/>
              <w:bottom w:val="nil"/>
            </w:tcBorders>
          </w:tcPr>
          <w:p w14:paraId="5EA703D2" w14:textId="77777777" w:rsidR="00AB0E44" w:rsidRDefault="00361FA3" w:rsidP="0051252F">
            <w:pPr>
              <w:pStyle w:val="Tabletext"/>
              <w:jc w:val="right"/>
              <w:rPr>
                <w:b/>
                <w:lang w:eastAsia="en-AU"/>
              </w:rPr>
            </w:pPr>
            <w:r>
              <w:rPr>
                <w:b/>
                <w:lang w:eastAsia="en-AU"/>
              </w:rPr>
              <w:t>Empty container</w:t>
            </w:r>
          </w:p>
        </w:tc>
        <w:tc>
          <w:tcPr>
            <w:tcW w:w="993" w:type="dxa"/>
            <w:tcBorders>
              <w:top w:val="single" w:sz="4" w:space="0" w:color="auto"/>
              <w:bottom w:val="nil"/>
            </w:tcBorders>
          </w:tcPr>
          <w:p w14:paraId="484A7DBC" w14:textId="77777777" w:rsidR="00AB0E44" w:rsidRDefault="00361FA3" w:rsidP="0051252F">
            <w:pPr>
              <w:pStyle w:val="Tabletext"/>
              <w:jc w:val="right"/>
              <w:rPr>
                <w:b/>
                <w:lang w:eastAsia="en-AU"/>
              </w:rPr>
            </w:pPr>
            <w:r>
              <w:rPr>
                <w:b/>
                <w:lang w:eastAsia="en-AU"/>
              </w:rPr>
              <w:t>FCL/LCL container</w:t>
            </w:r>
          </w:p>
        </w:tc>
        <w:tc>
          <w:tcPr>
            <w:tcW w:w="708" w:type="dxa"/>
            <w:tcBorders>
              <w:top w:val="single" w:sz="4" w:space="0" w:color="auto"/>
              <w:bottom w:val="nil"/>
            </w:tcBorders>
          </w:tcPr>
          <w:p w14:paraId="6CC66518" w14:textId="77777777" w:rsidR="00AB0E44" w:rsidRDefault="00361FA3" w:rsidP="0051252F">
            <w:pPr>
              <w:pStyle w:val="Tabletext"/>
              <w:jc w:val="right"/>
              <w:rPr>
                <w:b/>
                <w:lang w:eastAsia="en-AU"/>
              </w:rPr>
            </w:pPr>
            <w:r>
              <w:rPr>
                <w:b/>
                <w:lang w:eastAsia="en-AU"/>
              </w:rPr>
              <w:t>Total</w:t>
            </w:r>
          </w:p>
        </w:tc>
      </w:tr>
      <w:tr w:rsidR="00AB0E44" w14:paraId="1473C5B9" w14:textId="77777777" w:rsidTr="0051252F">
        <w:trPr>
          <w:trHeight w:val="120"/>
        </w:trPr>
        <w:tc>
          <w:tcPr>
            <w:tcW w:w="1838" w:type="dxa"/>
            <w:tcBorders>
              <w:top w:val="nil"/>
            </w:tcBorders>
          </w:tcPr>
          <w:p w14:paraId="1EF03902" w14:textId="77777777" w:rsidR="00AB0E44" w:rsidRDefault="00361FA3">
            <w:pPr>
              <w:pStyle w:val="Tabletext"/>
              <w:rPr>
                <w:lang w:eastAsia="en-AU"/>
              </w:rPr>
            </w:pPr>
            <w:r>
              <w:rPr>
                <w:lang w:eastAsia="en-AU"/>
              </w:rPr>
              <w:t>Indonesia</w:t>
            </w:r>
          </w:p>
        </w:tc>
        <w:tc>
          <w:tcPr>
            <w:tcW w:w="709" w:type="dxa"/>
            <w:tcBorders>
              <w:top w:val="nil"/>
            </w:tcBorders>
          </w:tcPr>
          <w:p w14:paraId="00C7C41E" w14:textId="77777777" w:rsidR="00AB0E44" w:rsidRDefault="00361FA3">
            <w:pPr>
              <w:pStyle w:val="Tabletext"/>
              <w:jc w:val="right"/>
              <w:rPr>
                <w:lang w:eastAsia="en-AU"/>
              </w:rPr>
            </w:pPr>
            <w:r>
              <w:rPr>
                <w:lang w:eastAsia="en-AU"/>
              </w:rPr>
              <w:t>19</w:t>
            </w:r>
          </w:p>
        </w:tc>
        <w:tc>
          <w:tcPr>
            <w:tcW w:w="850" w:type="dxa"/>
            <w:tcBorders>
              <w:top w:val="nil"/>
            </w:tcBorders>
          </w:tcPr>
          <w:p w14:paraId="0ABB63D5" w14:textId="77777777" w:rsidR="00AB0E44" w:rsidRDefault="00361FA3">
            <w:pPr>
              <w:pStyle w:val="Tabletext"/>
              <w:jc w:val="right"/>
              <w:rPr>
                <w:lang w:eastAsia="en-AU"/>
              </w:rPr>
            </w:pPr>
            <w:r>
              <w:rPr>
                <w:lang w:eastAsia="en-AU"/>
              </w:rPr>
              <w:t>33</w:t>
            </w:r>
          </w:p>
        </w:tc>
        <w:tc>
          <w:tcPr>
            <w:tcW w:w="714" w:type="dxa"/>
            <w:tcBorders>
              <w:top w:val="nil"/>
            </w:tcBorders>
          </w:tcPr>
          <w:p w14:paraId="51F186F2" w14:textId="77777777" w:rsidR="00AB0E44" w:rsidRDefault="00361FA3">
            <w:pPr>
              <w:pStyle w:val="Tabletext"/>
              <w:jc w:val="right"/>
              <w:rPr>
                <w:lang w:eastAsia="en-AU"/>
              </w:rPr>
            </w:pPr>
            <w:r>
              <w:rPr>
                <w:lang w:eastAsia="en-AU"/>
              </w:rPr>
              <w:t>3</w:t>
            </w:r>
          </w:p>
        </w:tc>
        <w:tc>
          <w:tcPr>
            <w:tcW w:w="1134" w:type="dxa"/>
            <w:tcBorders>
              <w:top w:val="nil"/>
            </w:tcBorders>
          </w:tcPr>
          <w:p w14:paraId="39D2C978" w14:textId="77777777" w:rsidR="00AB0E44" w:rsidRDefault="00361FA3">
            <w:pPr>
              <w:pStyle w:val="Tabletext"/>
              <w:jc w:val="right"/>
              <w:rPr>
                <w:lang w:eastAsia="en-AU"/>
              </w:rPr>
            </w:pPr>
            <w:r>
              <w:rPr>
                <w:lang w:eastAsia="en-AU"/>
              </w:rPr>
              <w:t>7</w:t>
            </w:r>
          </w:p>
        </w:tc>
        <w:tc>
          <w:tcPr>
            <w:tcW w:w="567" w:type="dxa"/>
            <w:tcBorders>
              <w:top w:val="nil"/>
            </w:tcBorders>
          </w:tcPr>
          <w:p w14:paraId="6687D0C4" w14:textId="77777777" w:rsidR="00AB0E44" w:rsidRDefault="00361FA3">
            <w:pPr>
              <w:pStyle w:val="Tabletext"/>
              <w:jc w:val="right"/>
              <w:rPr>
                <w:lang w:eastAsia="en-AU"/>
              </w:rPr>
            </w:pPr>
            <w:r>
              <w:rPr>
                <w:lang w:eastAsia="en-AU"/>
              </w:rPr>
              <w:t>5</w:t>
            </w:r>
          </w:p>
        </w:tc>
        <w:tc>
          <w:tcPr>
            <w:tcW w:w="992" w:type="dxa"/>
            <w:tcBorders>
              <w:top w:val="nil"/>
            </w:tcBorders>
          </w:tcPr>
          <w:p w14:paraId="0360D6AF" w14:textId="77777777" w:rsidR="00AB0E44" w:rsidRDefault="00361FA3">
            <w:pPr>
              <w:pStyle w:val="Tabletext"/>
              <w:jc w:val="right"/>
              <w:rPr>
                <w:lang w:eastAsia="en-AU"/>
              </w:rPr>
            </w:pPr>
            <w:r>
              <w:rPr>
                <w:lang w:eastAsia="en-AU"/>
              </w:rPr>
              <w:t>4</w:t>
            </w:r>
          </w:p>
        </w:tc>
        <w:tc>
          <w:tcPr>
            <w:tcW w:w="993" w:type="dxa"/>
            <w:tcBorders>
              <w:top w:val="nil"/>
            </w:tcBorders>
          </w:tcPr>
          <w:p w14:paraId="3518A522" w14:textId="77777777" w:rsidR="00AB0E44" w:rsidRDefault="00361FA3">
            <w:pPr>
              <w:pStyle w:val="Tabletext"/>
              <w:jc w:val="right"/>
              <w:rPr>
                <w:lang w:eastAsia="en-AU"/>
              </w:rPr>
            </w:pPr>
            <w:r>
              <w:rPr>
                <w:lang w:eastAsia="en-AU"/>
              </w:rPr>
              <w:t>10</w:t>
            </w:r>
          </w:p>
        </w:tc>
        <w:tc>
          <w:tcPr>
            <w:tcW w:w="708" w:type="dxa"/>
            <w:tcBorders>
              <w:top w:val="nil"/>
            </w:tcBorders>
          </w:tcPr>
          <w:p w14:paraId="0D83CD9D" w14:textId="77777777" w:rsidR="00AB0E44" w:rsidRDefault="00361FA3">
            <w:pPr>
              <w:pStyle w:val="Tabletext"/>
              <w:jc w:val="right"/>
              <w:rPr>
                <w:lang w:eastAsia="en-AU"/>
              </w:rPr>
            </w:pPr>
            <w:r>
              <w:rPr>
                <w:lang w:eastAsia="en-AU"/>
              </w:rPr>
              <w:t>81</w:t>
            </w:r>
          </w:p>
        </w:tc>
      </w:tr>
      <w:tr w:rsidR="00AB0E44" w14:paraId="7F178136" w14:textId="77777777" w:rsidTr="0051252F">
        <w:trPr>
          <w:trHeight w:val="70"/>
        </w:trPr>
        <w:tc>
          <w:tcPr>
            <w:tcW w:w="1838" w:type="dxa"/>
          </w:tcPr>
          <w:p w14:paraId="3874FAD6" w14:textId="77777777" w:rsidR="00AB0E44" w:rsidRDefault="00361FA3">
            <w:pPr>
              <w:pStyle w:val="Tabletext"/>
              <w:rPr>
                <w:lang w:eastAsia="en-AU"/>
              </w:rPr>
            </w:pPr>
            <w:r>
              <w:rPr>
                <w:lang w:eastAsia="en-AU"/>
              </w:rPr>
              <w:t>China</w:t>
            </w:r>
          </w:p>
        </w:tc>
        <w:tc>
          <w:tcPr>
            <w:tcW w:w="709" w:type="dxa"/>
          </w:tcPr>
          <w:p w14:paraId="7AC7B928" w14:textId="77777777" w:rsidR="00AB0E44" w:rsidRDefault="00361FA3">
            <w:pPr>
              <w:pStyle w:val="Tabletext"/>
              <w:jc w:val="right"/>
              <w:rPr>
                <w:lang w:eastAsia="en-AU"/>
              </w:rPr>
            </w:pPr>
            <w:r>
              <w:rPr>
                <w:lang w:eastAsia="en-AU"/>
              </w:rPr>
              <w:t>1</w:t>
            </w:r>
          </w:p>
        </w:tc>
        <w:tc>
          <w:tcPr>
            <w:tcW w:w="850" w:type="dxa"/>
          </w:tcPr>
          <w:p w14:paraId="5B17366E" w14:textId="77777777" w:rsidR="00AB0E44" w:rsidRDefault="00361FA3">
            <w:pPr>
              <w:pStyle w:val="Tabletext"/>
              <w:jc w:val="right"/>
              <w:rPr>
                <w:lang w:eastAsia="en-AU"/>
              </w:rPr>
            </w:pPr>
            <w:r>
              <w:rPr>
                <w:lang w:eastAsia="en-AU"/>
              </w:rPr>
              <w:t>7</w:t>
            </w:r>
          </w:p>
        </w:tc>
        <w:tc>
          <w:tcPr>
            <w:tcW w:w="714" w:type="dxa"/>
          </w:tcPr>
          <w:p w14:paraId="24900064" w14:textId="77777777" w:rsidR="00AB0E44" w:rsidRDefault="00361FA3">
            <w:pPr>
              <w:pStyle w:val="Tabletext"/>
              <w:jc w:val="right"/>
              <w:rPr>
                <w:lang w:eastAsia="en-AU"/>
              </w:rPr>
            </w:pPr>
            <w:r>
              <w:rPr>
                <w:lang w:eastAsia="en-AU"/>
              </w:rPr>
              <w:t>9</w:t>
            </w:r>
          </w:p>
        </w:tc>
        <w:tc>
          <w:tcPr>
            <w:tcW w:w="1134" w:type="dxa"/>
          </w:tcPr>
          <w:p w14:paraId="436BBB6B" w14:textId="77777777" w:rsidR="00AB0E44" w:rsidRDefault="00361FA3">
            <w:pPr>
              <w:pStyle w:val="Tabletext"/>
              <w:jc w:val="right"/>
              <w:rPr>
                <w:lang w:eastAsia="en-AU"/>
              </w:rPr>
            </w:pPr>
            <w:r>
              <w:rPr>
                <w:lang w:eastAsia="en-AU"/>
              </w:rPr>
              <w:t>1</w:t>
            </w:r>
          </w:p>
        </w:tc>
        <w:tc>
          <w:tcPr>
            <w:tcW w:w="567" w:type="dxa"/>
          </w:tcPr>
          <w:p w14:paraId="1701CF77" w14:textId="77777777" w:rsidR="00AB0E44" w:rsidRDefault="00361FA3">
            <w:pPr>
              <w:pStyle w:val="Tabletext"/>
              <w:jc w:val="right"/>
              <w:rPr>
                <w:lang w:eastAsia="en-AU"/>
              </w:rPr>
            </w:pPr>
            <w:r>
              <w:rPr>
                <w:lang w:eastAsia="en-AU"/>
              </w:rPr>
              <w:t>0</w:t>
            </w:r>
          </w:p>
        </w:tc>
        <w:tc>
          <w:tcPr>
            <w:tcW w:w="992" w:type="dxa"/>
          </w:tcPr>
          <w:p w14:paraId="3B80C8AB" w14:textId="77777777" w:rsidR="00AB0E44" w:rsidRDefault="00361FA3">
            <w:pPr>
              <w:pStyle w:val="Tabletext"/>
              <w:jc w:val="right"/>
              <w:rPr>
                <w:lang w:eastAsia="en-AU"/>
              </w:rPr>
            </w:pPr>
            <w:r>
              <w:rPr>
                <w:lang w:eastAsia="en-AU"/>
              </w:rPr>
              <w:t>0</w:t>
            </w:r>
          </w:p>
        </w:tc>
        <w:tc>
          <w:tcPr>
            <w:tcW w:w="993" w:type="dxa"/>
          </w:tcPr>
          <w:p w14:paraId="569F2A0D" w14:textId="77777777" w:rsidR="00AB0E44" w:rsidRDefault="00361FA3">
            <w:pPr>
              <w:pStyle w:val="Tabletext"/>
              <w:jc w:val="right"/>
              <w:rPr>
                <w:lang w:eastAsia="en-AU"/>
              </w:rPr>
            </w:pPr>
            <w:r>
              <w:rPr>
                <w:lang w:eastAsia="en-AU"/>
              </w:rPr>
              <w:t>38</w:t>
            </w:r>
          </w:p>
        </w:tc>
        <w:tc>
          <w:tcPr>
            <w:tcW w:w="708" w:type="dxa"/>
          </w:tcPr>
          <w:p w14:paraId="331D1E13" w14:textId="77777777" w:rsidR="00AB0E44" w:rsidRDefault="00361FA3">
            <w:pPr>
              <w:pStyle w:val="Tabletext"/>
              <w:jc w:val="right"/>
              <w:rPr>
                <w:lang w:eastAsia="en-AU"/>
              </w:rPr>
            </w:pPr>
            <w:r>
              <w:rPr>
                <w:lang w:eastAsia="en-AU"/>
              </w:rPr>
              <w:t>56</w:t>
            </w:r>
          </w:p>
        </w:tc>
      </w:tr>
      <w:tr w:rsidR="00AB0E44" w14:paraId="72A01F96" w14:textId="77777777" w:rsidTr="0051252F">
        <w:trPr>
          <w:trHeight w:val="130"/>
        </w:trPr>
        <w:tc>
          <w:tcPr>
            <w:tcW w:w="1838" w:type="dxa"/>
          </w:tcPr>
          <w:p w14:paraId="43C4EB4E" w14:textId="77777777" w:rsidR="00AB0E44" w:rsidRDefault="00361FA3">
            <w:pPr>
              <w:pStyle w:val="Tabletext"/>
              <w:rPr>
                <w:lang w:eastAsia="en-AU"/>
              </w:rPr>
            </w:pPr>
            <w:r>
              <w:rPr>
                <w:lang w:eastAsia="en-AU"/>
              </w:rPr>
              <w:t>Thailand</w:t>
            </w:r>
          </w:p>
        </w:tc>
        <w:tc>
          <w:tcPr>
            <w:tcW w:w="709" w:type="dxa"/>
          </w:tcPr>
          <w:p w14:paraId="7483DE62" w14:textId="77777777" w:rsidR="00AB0E44" w:rsidRDefault="00361FA3">
            <w:pPr>
              <w:pStyle w:val="Tabletext"/>
              <w:jc w:val="right"/>
              <w:rPr>
                <w:lang w:eastAsia="en-AU"/>
              </w:rPr>
            </w:pPr>
            <w:r>
              <w:rPr>
                <w:lang w:eastAsia="en-AU"/>
              </w:rPr>
              <w:t>2</w:t>
            </w:r>
          </w:p>
        </w:tc>
        <w:tc>
          <w:tcPr>
            <w:tcW w:w="850" w:type="dxa"/>
          </w:tcPr>
          <w:p w14:paraId="01F747A6" w14:textId="77777777" w:rsidR="00AB0E44" w:rsidRDefault="00361FA3">
            <w:pPr>
              <w:pStyle w:val="Tabletext"/>
              <w:jc w:val="right"/>
              <w:rPr>
                <w:lang w:eastAsia="en-AU"/>
              </w:rPr>
            </w:pPr>
            <w:r>
              <w:rPr>
                <w:lang w:eastAsia="en-AU"/>
              </w:rPr>
              <w:t>12</w:t>
            </w:r>
          </w:p>
        </w:tc>
        <w:tc>
          <w:tcPr>
            <w:tcW w:w="714" w:type="dxa"/>
          </w:tcPr>
          <w:p w14:paraId="06844A1B" w14:textId="77777777" w:rsidR="00AB0E44" w:rsidRDefault="00361FA3">
            <w:pPr>
              <w:pStyle w:val="Tabletext"/>
              <w:jc w:val="right"/>
              <w:rPr>
                <w:lang w:eastAsia="en-AU"/>
              </w:rPr>
            </w:pPr>
            <w:r>
              <w:rPr>
                <w:lang w:eastAsia="en-AU"/>
              </w:rPr>
              <w:t>10</w:t>
            </w:r>
          </w:p>
        </w:tc>
        <w:tc>
          <w:tcPr>
            <w:tcW w:w="1134" w:type="dxa"/>
          </w:tcPr>
          <w:p w14:paraId="1C1B9407" w14:textId="77777777" w:rsidR="00AB0E44" w:rsidRDefault="00361FA3">
            <w:pPr>
              <w:pStyle w:val="Tabletext"/>
              <w:jc w:val="right"/>
              <w:rPr>
                <w:lang w:eastAsia="en-AU"/>
              </w:rPr>
            </w:pPr>
            <w:r>
              <w:rPr>
                <w:lang w:eastAsia="en-AU"/>
              </w:rPr>
              <w:t>4</w:t>
            </w:r>
          </w:p>
        </w:tc>
        <w:tc>
          <w:tcPr>
            <w:tcW w:w="567" w:type="dxa"/>
          </w:tcPr>
          <w:p w14:paraId="690A8D13" w14:textId="77777777" w:rsidR="00AB0E44" w:rsidRDefault="00361FA3">
            <w:pPr>
              <w:pStyle w:val="Tabletext"/>
              <w:jc w:val="right"/>
              <w:rPr>
                <w:lang w:eastAsia="en-AU"/>
              </w:rPr>
            </w:pPr>
            <w:r>
              <w:rPr>
                <w:lang w:eastAsia="en-AU"/>
              </w:rPr>
              <w:t>0</w:t>
            </w:r>
          </w:p>
        </w:tc>
        <w:tc>
          <w:tcPr>
            <w:tcW w:w="992" w:type="dxa"/>
          </w:tcPr>
          <w:p w14:paraId="54D2F9DD" w14:textId="77777777" w:rsidR="00AB0E44" w:rsidRDefault="00361FA3">
            <w:pPr>
              <w:pStyle w:val="Tabletext"/>
              <w:jc w:val="right"/>
              <w:rPr>
                <w:lang w:eastAsia="en-AU"/>
              </w:rPr>
            </w:pPr>
            <w:r>
              <w:rPr>
                <w:lang w:eastAsia="en-AU"/>
              </w:rPr>
              <w:t>1</w:t>
            </w:r>
          </w:p>
        </w:tc>
        <w:tc>
          <w:tcPr>
            <w:tcW w:w="993" w:type="dxa"/>
          </w:tcPr>
          <w:p w14:paraId="3CC88148" w14:textId="77777777" w:rsidR="00AB0E44" w:rsidRDefault="00361FA3">
            <w:pPr>
              <w:pStyle w:val="Tabletext"/>
              <w:jc w:val="right"/>
              <w:rPr>
                <w:lang w:eastAsia="en-AU"/>
              </w:rPr>
            </w:pPr>
            <w:r>
              <w:rPr>
                <w:lang w:eastAsia="en-AU"/>
              </w:rPr>
              <w:t>22</w:t>
            </w:r>
          </w:p>
        </w:tc>
        <w:tc>
          <w:tcPr>
            <w:tcW w:w="708" w:type="dxa"/>
          </w:tcPr>
          <w:p w14:paraId="73147381" w14:textId="77777777" w:rsidR="00AB0E44" w:rsidRDefault="00361FA3">
            <w:pPr>
              <w:pStyle w:val="Tabletext"/>
              <w:jc w:val="right"/>
              <w:rPr>
                <w:lang w:eastAsia="en-AU"/>
              </w:rPr>
            </w:pPr>
            <w:r>
              <w:rPr>
                <w:lang w:eastAsia="en-AU"/>
              </w:rPr>
              <w:t>51</w:t>
            </w:r>
          </w:p>
        </w:tc>
      </w:tr>
      <w:tr w:rsidR="00AB0E44" w14:paraId="3E8FA6CB" w14:textId="77777777" w:rsidTr="0051252F">
        <w:trPr>
          <w:trHeight w:val="70"/>
        </w:trPr>
        <w:tc>
          <w:tcPr>
            <w:tcW w:w="1838" w:type="dxa"/>
          </w:tcPr>
          <w:p w14:paraId="03E8A3EC" w14:textId="77777777" w:rsidR="00AB0E44" w:rsidRDefault="00361FA3">
            <w:pPr>
              <w:pStyle w:val="Tabletext"/>
              <w:rPr>
                <w:lang w:eastAsia="en-AU"/>
              </w:rPr>
            </w:pPr>
            <w:r>
              <w:rPr>
                <w:lang w:eastAsia="en-AU"/>
              </w:rPr>
              <w:t>Malaysia</w:t>
            </w:r>
          </w:p>
        </w:tc>
        <w:tc>
          <w:tcPr>
            <w:tcW w:w="709" w:type="dxa"/>
          </w:tcPr>
          <w:p w14:paraId="0EE553E7" w14:textId="77777777" w:rsidR="00AB0E44" w:rsidRDefault="00361FA3">
            <w:pPr>
              <w:pStyle w:val="Tabletext"/>
              <w:jc w:val="right"/>
              <w:rPr>
                <w:lang w:eastAsia="en-AU"/>
              </w:rPr>
            </w:pPr>
            <w:r>
              <w:rPr>
                <w:lang w:eastAsia="en-AU"/>
              </w:rPr>
              <w:t>5</w:t>
            </w:r>
          </w:p>
        </w:tc>
        <w:tc>
          <w:tcPr>
            <w:tcW w:w="850" w:type="dxa"/>
          </w:tcPr>
          <w:p w14:paraId="0ED07D1E" w14:textId="77777777" w:rsidR="00AB0E44" w:rsidRDefault="00361FA3">
            <w:pPr>
              <w:pStyle w:val="Tabletext"/>
              <w:jc w:val="right"/>
              <w:rPr>
                <w:lang w:eastAsia="en-AU"/>
              </w:rPr>
            </w:pPr>
            <w:r>
              <w:rPr>
                <w:lang w:eastAsia="en-AU"/>
              </w:rPr>
              <w:t>4</w:t>
            </w:r>
          </w:p>
        </w:tc>
        <w:tc>
          <w:tcPr>
            <w:tcW w:w="714" w:type="dxa"/>
          </w:tcPr>
          <w:p w14:paraId="6F5CA437" w14:textId="77777777" w:rsidR="00AB0E44" w:rsidRDefault="00361FA3">
            <w:pPr>
              <w:pStyle w:val="Tabletext"/>
              <w:jc w:val="right"/>
              <w:rPr>
                <w:lang w:eastAsia="en-AU"/>
              </w:rPr>
            </w:pPr>
            <w:r>
              <w:rPr>
                <w:lang w:eastAsia="en-AU"/>
              </w:rPr>
              <w:t>3</w:t>
            </w:r>
          </w:p>
        </w:tc>
        <w:tc>
          <w:tcPr>
            <w:tcW w:w="1134" w:type="dxa"/>
          </w:tcPr>
          <w:p w14:paraId="5014B449" w14:textId="77777777" w:rsidR="00AB0E44" w:rsidRDefault="00361FA3">
            <w:pPr>
              <w:pStyle w:val="Tabletext"/>
              <w:jc w:val="right"/>
              <w:rPr>
                <w:lang w:eastAsia="en-AU"/>
              </w:rPr>
            </w:pPr>
            <w:r>
              <w:rPr>
                <w:lang w:eastAsia="en-AU"/>
              </w:rPr>
              <w:t>3</w:t>
            </w:r>
          </w:p>
        </w:tc>
        <w:tc>
          <w:tcPr>
            <w:tcW w:w="567" w:type="dxa"/>
          </w:tcPr>
          <w:p w14:paraId="45553A59" w14:textId="77777777" w:rsidR="00AB0E44" w:rsidRDefault="00361FA3">
            <w:pPr>
              <w:pStyle w:val="Tabletext"/>
              <w:jc w:val="right"/>
              <w:rPr>
                <w:lang w:eastAsia="en-AU"/>
              </w:rPr>
            </w:pPr>
            <w:r>
              <w:rPr>
                <w:lang w:eastAsia="en-AU"/>
              </w:rPr>
              <w:t>0</w:t>
            </w:r>
          </w:p>
        </w:tc>
        <w:tc>
          <w:tcPr>
            <w:tcW w:w="992" w:type="dxa"/>
          </w:tcPr>
          <w:p w14:paraId="71AC3C66" w14:textId="77777777" w:rsidR="00AB0E44" w:rsidRDefault="00361FA3">
            <w:pPr>
              <w:pStyle w:val="Tabletext"/>
              <w:jc w:val="right"/>
              <w:rPr>
                <w:lang w:eastAsia="en-AU"/>
              </w:rPr>
            </w:pPr>
            <w:r>
              <w:rPr>
                <w:lang w:eastAsia="en-AU"/>
              </w:rPr>
              <w:t>1</w:t>
            </w:r>
          </w:p>
        </w:tc>
        <w:tc>
          <w:tcPr>
            <w:tcW w:w="993" w:type="dxa"/>
          </w:tcPr>
          <w:p w14:paraId="77960D9C" w14:textId="77777777" w:rsidR="00AB0E44" w:rsidRDefault="00361FA3">
            <w:pPr>
              <w:pStyle w:val="Tabletext"/>
              <w:jc w:val="right"/>
              <w:rPr>
                <w:lang w:eastAsia="en-AU"/>
              </w:rPr>
            </w:pPr>
            <w:r>
              <w:rPr>
                <w:lang w:eastAsia="en-AU"/>
              </w:rPr>
              <w:t>22</w:t>
            </w:r>
          </w:p>
        </w:tc>
        <w:tc>
          <w:tcPr>
            <w:tcW w:w="708" w:type="dxa"/>
          </w:tcPr>
          <w:p w14:paraId="529523EA" w14:textId="77777777" w:rsidR="00AB0E44" w:rsidRDefault="00361FA3">
            <w:pPr>
              <w:pStyle w:val="Tabletext"/>
              <w:jc w:val="right"/>
              <w:rPr>
                <w:lang w:eastAsia="en-AU"/>
              </w:rPr>
            </w:pPr>
            <w:r>
              <w:rPr>
                <w:lang w:eastAsia="en-AU"/>
              </w:rPr>
              <w:t>38</w:t>
            </w:r>
          </w:p>
        </w:tc>
      </w:tr>
      <w:tr w:rsidR="00AB0E44" w14:paraId="256C1A8F" w14:textId="77777777" w:rsidTr="0051252F">
        <w:trPr>
          <w:trHeight w:val="154"/>
        </w:trPr>
        <w:tc>
          <w:tcPr>
            <w:tcW w:w="1838" w:type="dxa"/>
          </w:tcPr>
          <w:p w14:paraId="27FE8AF8" w14:textId="77777777" w:rsidR="00AB0E44" w:rsidRDefault="00361FA3">
            <w:pPr>
              <w:pStyle w:val="Tabletext"/>
              <w:rPr>
                <w:lang w:eastAsia="en-AU"/>
              </w:rPr>
            </w:pPr>
            <w:r>
              <w:rPr>
                <w:lang w:eastAsia="en-AU"/>
              </w:rPr>
              <w:t>Singapore</w:t>
            </w:r>
          </w:p>
        </w:tc>
        <w:tc>
          <w:tcPr>
            <w:tcW w:w="709" w:type="dxa"/>
          </w:tcPr>
          <w:p w14:paraId="6B262209" w14:textId="77777777" w:rsidR="00AB0E44" w:rsidRDefault="00361FA3">
            <w:pPr>
              <w:pStyle w:val="Tabletext"/>
              <w:jc w:val="right"/>
              <w:rPr>
                <w:lang w:eastAsia="en-AU"/>
              </w:rPr>
            </w:pPr>
            <w:r>
              <w:rPr>
                <w:lang w:eastAsia="en-AU"/>
              </w:rPr>
              <w:t>2</w:t>
            </w:r>
          </w:p>
        </w:tc>
        <w:tc>
          <w:tcPr>
            <w:tcW w:w="850" w:type="dxa"/>
          </w:tcPr>
          <w:p w14:paraId="30F49A39" w14:textId="77777777" w:rsidR="00AB0E44" w:rsidRDefault="00361FA3">
            <w:pPr>
              <w:pStyle w:val="Tabletext"/>
              <w:jc w:val="right"/>
              <w:rPr>
                <w:lang w:eastAsia="en-AU"/>
              </w:rPr>
            </w:pPr>
            <w:r>
              <w:rPr>
                <w:lang w:eastAsia="en-AU"/>
              </w:rPr>
              <w:t>5</w:t>
            </w:r>
          </w:p>
        </w:tc>
        <w:tc>
          <w:tcPr>
            <w:tcW w:w="714" w:type="dxa"/>
          </w:tcPr>
          <w:p w14:paraId="32CD465D" w14:textId="77777777" w:rsidR="00AB0E44" w:rsidRDefault="00361FA3">
            <w:pPr>
              <w:pStyle w:val="Tabletext"/>
              <w:jc w:val="right"/>
              <w:rPr>
                <w:lang w:eastAsia="en-AU"/>
              </w:rPr>
            </w:pPr>
            <w:r>
              <w:rPr>
                <w:lang w:eastAsia="en-AU"/>
              </w:rPr>
              <w:t>5</w:t>
            </w:r>
          </w:p>
        </w:tc>
        <w:tc>
          <w:tcPr>
            <w:tcW w:w="1134" w:type="dxa"/>
          </w:tcPr>
          <w:p w14:paraId="08112678" w14:textId="77777777" w:rsidR="00AB0E44" w:rsidRDefault="00361FA3">
            <w:pPr>
              <w:pStyle w:val="Tabletext"/>
              <w:jc w:val="right"/>
              <w:rPr>
                <w:lang w:eastAsia="en-AU"/>
              </w:rPr>
            </w:pPr>
            <w:r>
              <w:rPr>
                <w:lang w:eastAsia="en-AU"/>
              </w:rPr>
              <w:t>4</w:t>
            </w:r>
          </w:p>
        </w:tc>
        <w:tc>
          <w:tcPr>
            <w:tcW w:w="567" w:type="dxa"/>
          </w:tcPr>
          <w:p w14:paraId="14FD846A" w14:textId="77777777" w:rsidR="00AB0E44" w:rsidRDefault="00361FA3">
            <w:pPr>
              <w:pStyle w:val="Tabletext"/>
              <w:jc w:val="right"/>
              <w:rPr>
                <w:lang w:eastAsia="en-AU"/>
              </w:rPr>
            </w:pPr>
            <w:r>
              <w:rPr>
                <w:lang w:eastAsia="en-AU"/>
              </w:rPr>
              <w:t>0</w:t>
            </w:r>
          </w:p>
        </w:tc>
        <w:tc>
          <w:tcPr>
            <w:tcW w:w="992" w:type="dxa"/>
          </w:tcPr>
          <w:p w14:paraId="5CCDA089" w14:textId="77777777" w:rsidR="00AB0E44" w:rsidRDefault="00361FA3">
            <w:pPr>
              <w:pStyle w:val="Tabletext"/>
              <w:jc w:val="right"/>
              <w:rPr>
                <w:lang w:eastAsia="en-AU"/>
              </w:rPr>
            </w:pPr>
            <w:r>
              <w:rPr>
                <w:lang w:eastAsia="en-AU"/>
              </w:rPr>
              <w:t>0</w:t>
            </w:r>
          </w:p>
        </w:tc>
        <w:tc>
          <w:tcPr>
            <w:tcW w:w="993" w:type="dxa"/>
          </w:tcPr>
          <w:p w14:paraId="5794934A" w14:textId="77777777" w:rsidR="00AB0E44" w:rsidRDefault="00361FA3">
            <w:pPr>
              <w:pStyle w:val="Tabletext"/>
              <w:jc w:val="right"/>
              <w:rPr>
                <w:lang w:eastAsia="en-AU"/>
              </w:rPr>
            </w:pPr>
            <w:r>
              <w:rPr>
                <w:lang w:eastAsia="en-AU"/>
              </w:rPr>
              <w:t>21</w:t>
            </w:r>
          </w:p>
        </w:tc>
        <w:tc>
          <w:tcPr>
            <w:tcW w:w="708" w:type="dxa"/>
          </w:tcPr>
          <w:p w14:paraId="79E370D2" w14:textId="77777777" w:rsidR="00AB0E44" w:rsidRDefault="00361FA3">
            <w:pPr>
              <w:pStyle w:val="Tabletext"/>
              <w:jc w:val="right"/>
              <w:rPr>
                <w:lang w:eastAsia="en-AU"/>
              </w:rPr>
            </w:pPr>
            <w:r>
              <w:rPr>
                <w:lang w:eastAsia="en-AU"/>
              </w:rPr>
              <w:t>37</w:t>
            </w:r>
          </w:p>
        </w:tc>
      </w:tr>
      <w:tr w:rsidR="00AB0E44" w14:paraId="1C0A0C40" w14:textId="77777777" w:rsidTr="0051252F">
        <w:trPr>
          <w:trHeight w:val="70"/>
        </w:trPr>
        <w:tc>
          <w:tcPr>
            <w:tcW w:w="1838" w:type="dxa"/>
          </w:tcPr>
          <w:p w14:paraId="3F439393" w14:textId="0B1A9D73" w:rsidR="00AB0E44" w:rsidRDefault="00361FA3">
            <w:pPr>
              <w:pStyle w:val="Tabletext"/>
              <w:rPr>
                <w:lang w:eastAsia="en-AU"/>
              </w:rPr>
            </w:pPr>
            <w:r>
              <w:rPr>
                <w:lang w:eastAsia="en-AU"/>
              </w:rPr>
              <w:t>Papua New Guinea</w:t>
            </w:r>
            <w:r w:rsidR="00713620">
              <w:rPr>
                <w:vertAlign w:val="superscript"/>
                <w:lang w:eastAsia="en-AU"/>
              </w:rPr>
              <w:t xml:space="preserve"> </w:t>
            </w:r>
            <w:r w:rsidR="00713620" w:rsidRPr="0051252F">
              <w:rPr>
                <w:b/>
                <w:lang w:eastAsia="en-AU"/>
              </w:rPr>
              <w:t>a</w:t>
            </w:r>
          </w:p>
        </w:tc>
        <w:tc>
          <w:tcPr>
            <w:tcW w:w="709" w:type="dxa"/>
          </w:tcPr>
          <w:p w14:paraId="1E814E03" w14:textId="77777777" w:rsidR="00AB0E44" w:rsidRDefault="00361FA3">
            <w:pPr>
              <w:pStyle w:val="Tabletext"/>
              <w:jc w:val="right"/>
              <w:rPr>
                <w:lang w:eastAsia="en-AU"/>
              </w:rPr>
            </w:pPr>
            <w:r>
              <w:rPr>
                <w:lang w:eastAsia="en-AU"/>
              </w:rPr>
              <w:t>1</w:t>
            </w:r>
          </w:p>
        </w:tc>
        <w:tc>
          <w:tcPr>
            <w:tcW w:w="850" w:type="dxa"/>
          </w:tcPr>
          <w:p w14:paraId="619A9A3C" w14:textId="77777777" w:rsidR="00AB0E44" w:rsidRDefault="00361FA3">
            <w:pPr>
              <w:pStyle w:val="Tabletext"/>
              <w:jc w:val="right"/>
              <w:rPr>
                <w:lang w:eastAsia="en-AU"/>
              </w:rPr>
            </w:pPr>
            <w:r>
              <w:rPr>
                <w:lang w:eastAsia="en-AU"/>
              </w:rPr>
              <w:t>2</w:t>
            </w:r>
          </w:p>
        </w:tc>
        <w:tc>
          <w:tcPr>
            <w:tcW w:w="714" w:type="dxa"/>
          </w:tcPr>
          <w:p w14:paraId="031BE523" w14:textId="77777777" w:rsidR="00AB0E44" w:rsidRDefault="00361FA3">
            <w:pPr>
              <w:pStyle w:val="Tabletext"/>
              <w:jc w:val="right"/>
              <w:rPr>
                <w:lang w:eastAsia="en-AU"/>
              </w:rPr>
            </w:pPr>
            <w:r>
              <w:rPr>
                <w:lang w:eastAsia="en-AU"/>
              </w:rPr>
              <w:t>10</w:t>
            </w:r>
          </w:p>
        </w:tc>
        <w:tc>
          <w:tcPr>
            <w:tcW w:w="1134" w:type="dxa"/>
          </w:tcPr>
          <w:p w14:paraId="6032346C" w14:textId="77777777" w:rsidR="00AB0E44" w:rsidRDefault="00361FA3">
            <w:pPr>
              <w:pStyle w:val="Tabletext"/>
              <w:jc w:val="right"/>
              <w:rPr>
                <w:lang w:eastAsia="en-AU"/>
              </w:rPr>
            </w:pPr>
            <w:r>
              <w:rPr>
                <w:lang w:eastAsia="en-AU"/>
              </w:rPr>
              <w:t>1</w:t>
            </w:r>
          </w:p>
        </w:tc>
        <w:tc>
          <w:tcPr>
            <w:tcW w:w="567" w:type="dxa"/>
          </w:tcPr>
          <w:p w14:paraId="011202BC" w14:textId="77777777" w:rsidR="00AB0E44" w:rsidRDefault="00361FA3">
            <w:pPr>
              <w:pStyle w:val="Tabletext"/>
              <w:jc w:val="right"/>
              <w:rPr>
                <w:lang w:eastAsia="en-AU"/>
              </w:rPr>
            </w:pPr>
            <w:r>
              <w:rPr>
                <w:lang w:eastAsia="en-AU"/>
              </w:rPr>
              <w:t>0</w:t>
            </w:r>
          </w:p>
        </w:tc>
        <w:tc>
          <w:tcPr>
            <w:tcW w:w="992" w:type="dxa"/>
          </w:tcPr>
          <w:p w14:paraId="2AFF9534" w14:textId="77777777" w:rsidR="00AB0E44" w:rsidRDefault="00361FA3">
            <w:pPr>
              <w:pStyle w:val="Tabletext"/>
              <w:jc w:val="right"/>
              <w:rPr>
                <w:lang w:eastAsia="en-AU"/>
              </w:rPr>
            </w:pPr>
            <w:r>
              <w:rPr>
                <w:lang w:eastAsia="en-AU"/>
              </w:rPr>
              <w:t>8</w:t>
            </w:r>
          </w:p>
        </w:tc>
        <w:tc>
          <w:tcPr>
            <w:tcW w:w="993" w:type="dxa"/>
          </w:tcPr>
          <w:p w14:paraId="2A0BBA7E" w14:textId="77777777" w:rsidR="00AB0E44" w:rsidRDefault="00361FA3">
            <w:pPr>
              <w:pStyle w:val="Tabletext"/>
              <w:jc w:val="right"/>
              <w:rPr>
                <w:lang w:eastAsia="en-AU"/>
              </w:rPr>
            </w:pPr>
            <w:r>
              <w:rPr>
                <w:lang w:eastAsia="en-AU"/>
              </w:rPr>
              <w:t>10</w:t>
            </w:r>
          </w:p>
        </w:tc>
        <w:tc>
          <w:tcPr>
            <w:tcW w:w="708" w:type="dxa"/>
          </w:tcPr>
          <w:p w14:paraId="1EFE4782" w14:textId="77777777" w:rsidR="00AB0E44" w:rsidRDefault="00361FA3">
            <w:pPr>
              <w:pStyle w:val="Tabletext"/>
              <w:jc w:val="right"/>
              <w:rPr>
                <w:lang w:eastAsia="en-AU"/>
              </w:rPr>
            </w:pPr>
            <w:r>
              <w:rPr>
                <w:lang w:eastAsia="en-AU"/>
              </w:rPr>
              <w:t>32</w:t>
            </w:r>
          </w:p>
        </w:tc>
      </w:tr>
      <w:tr w:rsidR="00AB0E44" w14:paraId="6BD9C8ED" w14:textId="77777777" w:rsidTr="0051252F">
        <w:trPr>
          <w:trHeight w:val="351"/>
        </w:trPr>
        <w:tc>
          <w:tcPr>
            <w:tcW w:w="1838" w:type="dxa"/>
          </w:tcPr>
          <w:p w14:paraId="4884B00E" w14:textId="77777777" w:rsidR="00AB0E44" w:rsidRDefault="00361FA3">
            <w:pPr>
              <w:pStyle w:val="Tabletext"/>
              <w:rPr>
                <w:lang w:eastAsia="en-AU"/>
              </w:rPr>
            </w:pPr>
            <w:r>
              <w:rPr>
                <w:lang w:eastAsia="en-AU"/>
              </w:rPr>
              <w:t>United States</w:t>
            </w:r>
          </w:p>
        </w:tc>
        <w:tc>
          <w:tcPr>
            <w:tcW w:w="709" w:type="dxa"/>
          </w:tcPr>
          <w:p w14:paraId="2562DF25" w14:textId="77777777" w:rsidR="00AB0E44" w:rsidRDefault="00361FA3">
            <w:pPr>
              <w:pStyle w:val="Tabletext"/>
              <w:jc w:val="right"/>
              <w:rPr>
                <w:lang w:eastAsia="en-AU"/>
              </w:rPr>
            </w:pPr>
            <w:r>
              <w:rPr>
                <w:lang w:eastAsia="en-AU"/>
              </w:rPr>
              <w:t>2</w:t>
            </w:r>
          </w:p>
        </w:tc>
        <w:tc>
          <w:tcPr>
            <w:tcW w:w="850" w:type="dxa"/>
          </w:tcPr>
          <w:p w14:paraId="5D174656" w14:textId="77777777" w:rsidR="00AB0E44" w:rsidRDefault="00361FA3">
            <w:pPr>
              <w:pStyle w:val="Tabletext"/>
              <w:jc w:val="right"/>
              <w:rPr>
                <w:lang w:eastAsia="en-AU"/>
              </w:rPr>
            </w:pPr>
            <w:r>
              <w:rPr>
                <w:lang w:eastAsia="en-AU"/>
              </w:rPr>
              <w:t>2</w:t>
            </w:r>
          </w:p>
        </w:tc>
        <w:tc>
          <w:tcPr>
            <w:tcW w:w="714" w:type="dxa"/>
          </w:tcPr>
          <w:p w14:paraId="60F23E69" w14:textId="77777777" w:rsidR="00AB0E44" w:rsidRDefault="00361FA3">
            <w:pPr>
              <w:pStyle w:val="Tabletext"/>
              <w:jc w:val="right"/>
              <w:rPr>
                <w:lang w:eastAsia="en-AU"/>
              </w:rPr>
            </w:pPr>
            <w:r>
              <w:rPr>
                <w:lang w:eastAsia="en-AU"/>
              </w:rPr>
              <w:t>3</w:t>
            </w:r>
          </w:p>
        </w:tc>
        <w:tc>
          <w:tcPr>
            <w:tcW w:w="1134" w:type="dxa"/>
          </w:tcPr>
          <w:p w14:paraId="485134EF" w14:textId="77777777" w:rsidR="00AB0E44" w:rsidRDefault="00361FA3">
            <w:pPr>
              <w:pStyle w:val="Tabletext"/>
              <w:jc w:val="right"/>
              <w:rPr>
                <w:lang w:eastAsia="en-AU"/>
              </w:rPr>
            </w:pPr>
            <w:r>
              <w:rPr>
                <w:lang w:eastAsia="en-AU"/>
              </w:rPr>
              <w:t>2</w:t>
            </w:r>
          </w:p>
        </w:tc>
        <w:tc>
          <w:tcPr>
            <w:tcW w:w="567" w:type="dxa"/>
          </w:tcPr>
          <w:p w14:paraId="6E689927" w14:textId="77777777" w:rsidR="00AB0E44" w:rsidRDefault="00361FA3">
            <w:pPr>
              <w:pStyle w:val="Tabletext"/>
              <w:jc w:val="right"/>
              <w:rPr>
                <w:lang w:eastAsia="en-AU"/>
              </w:rPr>
            </w:pPr>
            <w:r>
              <w:rPr>
                <w:lang w:eastAsia="en-AU"/>
              </w:rPr>
              <w:t>3</w:t>
            </w:r>
          </w:p>
        </w:tc>
        <w:tc>
          <w:tcPr>
            <w:tcW w:w="992" w:type="dxa"/>
          </w:tcPr>
          <w:p w14:paraId="3DC84F53" w14:textId="77777777" w:rsidR="00AB0E44" w:rsidRDefault="00361FA3">
            <w:pPr>
              <w:pStyle w:val="Tabletext"/>
              <w:jc w:val="right"/>
              <w:rPr>
                <w:lang w:eastAsia="en-AU"/>
              </w:rPr>
            </w:pPr>
            <w:r>
              <w:rPr>
                <w:lang w:eastAsia="en-AU"/>
              </w:rPr>
              <w:t>0</w:t>
            </w:r>
          </w:p>
        </w:tc>
        <w:tc>
          <w:tcPr>
            <w:tcW w:w="993" w:type="dxa"/>
          </w:tcPr>
          <w:p w14:paraId="4897FB31" w14:textId="77777777" w:rsidR="00AB0E44" w:rsidRDefault="00361FA3">
            <w:pPr>
              <w:pStyle w:val="Tabletext"/>
              <w:jc w:val="right"/>
              <w:rPr>
                <w:lang w:eastAsia="en-AU"/>
              </w:rPr>
            </w:pPr>
            <w:r>
              <w:rPr>
                <w:lang w:eastAsia="en-AU"/>
              </w:rPr>
              <w:t>9</w:t>
            </w:r>
          </w:p>
        </w:tc>
        <w:tc>
          <w:tcPr>
            <w:tcW w:w="708" w:type="dxa"/>
          </w:tcPr>
          <w:p w14:paraId="098C710E" w14:textId="77777777" w:rsidR="00AB0E44" w:rsidRDefault="00361FA3">
            <w:pPr>
              <w:pStyle w:val="Tabletext"/>
              <w:jc w:val="right"/>
              <w:rPr>
                <w:lang w:eastAsia="en-AU"/>
              </w:rPr>
            </w:pPr>
            <w:r>
              <w:rPr>
                <w:lang w:eastAsia="en-AU"/>
              </w:rPr>
              <w:t>21</w:t>
            </w:r>
          </w:p>
        </w:tc>
      </w:tr>
      <w:tr w:rsidR="00AB0E44" w14:paraId="017A078A" w14:textId="77777777" w:rsidTr="0051252F">
        <w:trPr>
          <w:trHeight w:val="70"/>
        </w:trPr>
        <w:tc>
          <w:tcPr>
            <w:tcW w:w="1838" w:type="dxa"/>
          </w:tcPr>
          <w:p w14:paraId="1CFE17B2" w14:textId="77777777" w:rsidR="00AB0E44" w:rsidRDefault="00361FA3">
            <w:pPr>
              <w:pStyle w:val="Tabletext"/>
              <w:rPr>
                <w:lang w:eastAsia="en-AU"/>
              </w:rPr>
            </w:pPr>
            <w:r>
              <w:rPr>
                <w:lang w:eastAsia="en-AU"/>
              </w:rPr>
              <w:t>Vietnam</w:t>
            </w:r>
          </w:p>
        </w:tc>
        <w:tc>
          <w:tcPr>
            <w:tcW w:w="709" w:type="dxa"/>
          </w:tcPr>
          <w:p w14:paraId="5ADFDB35" w14:textId="77777777" w:rsidR="00AB0E44" w:rsidRDefault="00361FA3">
            <w:pPr>
              <w:pStyle w:val="Tabletext"/>
              <w:jc w:val="right"/>
              <w:rPr>
                <w:lang w:eastAsia="en-AU"/>
              </w:rPr>
            </w:pPr>
            <w:r>
              <w:rPr>
                <w:lang w:eastAsia="en-AU"/>
              </w:rPr>
              <w:t>0</w:t>
            </w:r>
          </w:p>
        </w:tc>
        <w:tc>
          <w:tcPr>
            <w:tcW w:w="850" w:type="dxa"/>
          </w:tcPr>
          <w:p w14:paraId="58E96E66" w14:textId="77777777" w:rsidR="00AB0E44" w:rsidRDefault="00361FA3">
            <w:pPr>
              <w:pStyle w:val="Tabletext"/>
              <w:jc w:val="right"/>
              <w:rPr>
                <w:lang w:eastAsia="en-AU"/>
              </w:rPr>
            </w:pPr>
            <w:r>
              <w:rPr>
                <w:lang w:eastAsia="en-AU"/>
              </w:rPr>
              <w:t>8</w:t>
            </w:r>
          </w:p>
        </w:tc>
        <w:tc>
          <w:tcPr>
            <w:tcW w:w="714" w:type="dxa"/>
          </w:tcPr>
          <w:p w14:paraId="0E3D1959" w14:textId="77777777" w:rsidR="00AB0E44" w:rsidRDefault="00361FA3">
            <w:pPr>
              <w:pStyle w:val="Tabletext"/>
              <w:jc w:val="right"/>
              <w:rPr>
                <w:lang w:eastAsia="en-AU"/>
              </w:rPr>
            </w:pPr>
            <w:r>
              <w:rPr>
                <w:lang w:eastAsia="en-AU"/>
              </w:rPr>
              <w:t>5</w:t>
            </w:r>
          </w:p>
        </w:tc>
        <w:tc>
          <w:tcPr>
            <w:tcW w:w="1134" w:type="dxa"/>
          </w:tcPr>
          <w:p w14:paraId="59021A16" w14:textId="77777777" w:rsidR="00AB0E44" w:rsidRDefault="00361FA3">
            <w:pPr>
              <w:pStyle w:val="Tabletext"/>
              <w:jc w:val="right"/>
              <w:rPr>
                <w:lang w:eastAsia="en-AU"/>
              </w:rPr>
            </w:pPr>
            <w:r>
              <w:rPr>
                <w:lang w:eastAsia="en-AU"/>
              </w:rPr>
              <w:t>1</w:t>
            </w:r>
          </w:p>
        </w:tc>
        <w:tc>
          <w:tcPr>
            <w:tcW w:w="567" w:type="dxa"/>
          </w:tcPr>
          <w:p w14:paraId="40AFA505" w14:textId="77777777" w:rsidR="00AB0E44" w:rsidRDefault="00361FA3">
            <w:pPr>
              <w:pStyle w:val="Tabletext"/>
              <w:jc w:val="right"/>
              <w:rPr>
                <w:lang w:eastAsia="en-AU"/>
              </w:rPr>
            </w:pPr>
            <w:r>
              <w:rPr>
                <w:lang w:eastAsia="en-AU"/>
              </w:rPr>
              <w:t>0</w:t>
            </w:r>
          </w:p>
        </w:tc>
        <w:tc>
          <w:tcPr>
            <w:tcW w:w="992" w:type="dxa"/>
          </w:tcPr>
          <w:p w14:paraId="2D5A814A" w14:textId="77777777" w:rsidR="00AB0E44" w:rsidRDefault="00361FA3">
            <w:pPr>
              <w:pStyle w:val="Tabletext"/>
              <w:jc w:val="right"/>
              <w:rPr>
                <w:lang w:eastAsia="en-AU"/>
              </w:rPr>
            </w:pPr>
            <w:r>
              <w:rPr>
                <w:lang w:eastAsia="en-AU"/>
              </w:rPr>
              <w:t>0</w:t>
            </w:r>
          </w:p>
        </w:tc>
        <w:tc>
          <w:tcPr>
            <w:tcW w:w="993" w:type="dxa"/>
          </w:tcPr>
          <w:p w14:paraId="041ED0DF" w14:textId="77777777" w:rsidR="00AB0E44" w:rsidRDefault="00361FA3">
            <w:pPr>
              <w:pStyle w:val="Tabletext"/>
              <w:jc w:val="right"/>
              <w:rPr>
                <w:lang w:eastAsia="en-AU"/>
              </w:rPr>
            </w:pPr>
            <w:r>
              <w:rPr>
                <w:lang w:eastAsia="en-AU"/>
              </w:rPr>
              <w:t>5</w:t>
            </w:r>
          </w:p>
        </w:tc>
        <w:tc>
          <w:tcPr>
            <w:tcW w:w="708" w:type="dxa"/>
          </w:tcPr>
          <w:p w14:paraId="2D3FBE73" w14:textId="77777777" w:rsidR="00AB0E44" w:rsidRDefault="00361FA3">
            <w:pPr>
              <w:pStyle w:val="Tabletext"/>
              <w:jc w:val="right"/>
              <w:rPr>
                <w:lang w:eastAsia="en-AU"/>
              </w:rPr>
            </w:pPr>
            <w:r>
              <w:rPr>
                <w:lang w:eastAsia="en-AU"/>
              </w:rPr>
              <w:t>19</w:t>
            </w:r>
          </w:p>
        </w:tc>
      </w:tr>
      <w:tr w:rsidR="00AB0E44" w14:paraId="0A5CC43C" w14:textId="77777777" w:rsidTr="0051252F">
        <w:trPr>
          <w:trHeight w:val="79"/>
        </w:trPr>
        <w:tc>
          <w:tcPr>
            <w:tcW w:w="1838" w:type="dxa"/>
          </w:tcPr>
          <w:p w14:paraId="417FF0BB" w14:textId="1716FFC0" w:rsidR="00AB0E44" w:rsidRDefault="00361FA3">
            <w:pPr>
              <w:pStyle w:val="Tabletext"/>
              <w:rPr>
                <w:lang w:eastAsia="en-AU"/>
              </w:rPr>
            </w:pPr>
            <w:r>
              <w:rPr>
                <w:lang w:eastAsia="en-AU"/>
              </w:rPr>
              <w:t>Solomon Islands</w:t>
            </w:r>
            <w:r w:rsidR="00713620">
              <w:rPr>
                <w:vertAlign w:val="superscript"/>
                <w:lang w:eastAsia="en-AU"/>
              </w:rPr>
              <w:t xml:space="preserve"> </w:t>
            </w:r>
            <w:r w:rsidR="00713620" w:rsidRPr="0051252F">
              <w:rPr>
                <w:b/>
                <w:lang w:eastAsia="en-AU"/>
              </w:rPr>
              <w:t>a</w:t>
            </w:r>
          </w:p>
        </w:tc>
        <w:tc>
          <w:tcPr>
            <w:tcW w:w="709" w:type="dxa"/>
          </w:tcPr>
          <w:p w14:paraId="6443073B" w14:textId="77777777" w:rsidR="00AB0E44" w:rsidRDefault="00361FA3">
            <w:pPr>
              <w:pStyle w:val="Tabletext"/>
              <w:jc w:val="right"/>
              <w:rPr>
                <w:lang w:eastAsia="en-AU"/>
              </w:rPr>
            </w:pPr>
            <w:r>
              <w:rPr>
                <w:lang w:eastAsia="en-AU"/>
              </w:rPr>
              <w:t>0</w:t>
            </w:r>
          </w:p>
        </w:tc>
        <w:tc>
          <w:tcPr>
            <w:tcW w:w="850" w:type="dxa"/>
          </w:tcPr>
          <w:p w14:paraId="7A794ACE" w14:textId="77777777" w:rsidR="00AB0E44" w:rsidRDefault="00361FA3">
            <w:pPr>
              <w:pStyle w:val="Tabletext"/>
              <w:jc w:val="right"/>
              <w:rPr>
                <w:lang w:eastAsia="en-AU"/>
              </w:rPr>
            </w:pPr>
            <w:r>
              <w:rPr>
                <w:lang w:eastAsia="en-AU"/>
              </w:rPr>
              <w:t>4</w:t>
            </w:r>
          </w:p>
        </w:tc>
        <w:tc>
          <w:tcPr>
            <w:tcW w:w="714" w:type="dxa"/>
          </w:tcPr>
          <w:p w14:paraId="1A37C204" w14:textId="77777777" w:rsidR="00AB0E44" w:rsidRDefault="00361FA3">
            <w:pPr>
              <w:pStyle w:val="Tabletext"/>
              <w:jc w:val="right"/>
              <w:rPr>
                <w:lang w:eastAsia="en-AU"/>
              </w:rPr>
            </w:pPr>
            <w:r>
              <w:rPr>
                <w:lang w:eastAsia="en-AU"/>
              </w:rPr>
              <w:t>3</w:t>
            </w:r>
          </w:p>
        </w:tc>
        <w:tc>
          <w:tcPr>
            <w:tcW w:w="1134" w:type="dxa"/>
          </w:tcPr>
          <w:p w14:paraId="681ACC9F" w14:textId="77777777" w:rsidR="00AB0E44" w:rsidRDefault="00361FA3">
            <w:pPr>
              <w:pStyle w:val="Tabletext"/>
              <w:jc w:val="right"/>
              <w:rPr>
                <w:lang w:eastAsia="en-AU"/>
              </w:rPr>
            </w:pPr>
            <w:r>
              <w:rPr>
                <w:lang w:eastAsia="en-AU"/>
              </w:rPr>
              <w:t>0</w:t>
            </w:r>
          </w:p>
        </w:tc>
        <w:tc>
          <w:tcPr>
            <w:tcW w:w="567" w:type="dxa"/>
          </w:tcPr>
          <w:p w14:paraId="6728E04D" w14:textId="77777777" w:rsidR="00AB0E44" w:rsidRDefault="00361FA3">
            <w:pPr>
              <w:pStyle w:val="Tabletext"/>
              <w:jc w:val="right"/>
              <w:rPr>
                <w:lang w:eastAsia="en-AU"/>
              </w:rPr>
            </w:pPr>
            <w:r>
              <w:rPr>
                <w:lang w:eastAsia="en-AU"/>
              </w:rPr>
              <w:t>0</w:t>
            </w:r>
          </w:p>
        </w:tc>
        <w:tc>
          <w:tcPr>
            <w:tcW w:w="992" w:type="dxa"/>
          </w:tcPr>
          <w:p w14:paraId="2631E36F" w14:textId="77777777" w:rsidR="00AB0E44" w:rsidRDefault="00361FA3">
            <w:pPr>
              <w:pStyle w:val="Tabletext"/>
              <w:jc w:val="right"/>
              <w:rPr>
                <w:lang w:eastAsia="en-AU"/>
              </w:rPr>
            </w:pPr>
            <w:r>
              <w:rPr>
                <w:lang w:eastAsia="en-AU"/>
              </w:rPr>
              <w:t>6</w:t>
            </w:r>
          </w:p>
        </w:tc>
        <w:tc>
          <w:tcPr>
            <w:tcW w:w="993" w:type="dxa"/>
          </w:tcPr>
          <w:p w14:paraId="62EEDDA8" w14:textId="77777777" w:rsidR="00AB0E44" w:rsidRDefault="00361FA3">
            <w:pPr>
              <w:pStyle w:val="Tabletext"/>
              <w:jc w:val="right"/>
              <w:rPr>
                <w:lang w:eastAsia="en-AU"/>
              </w:rPr>
            </w:pPr>
            <w:r>
              <w:rPr>
                <w:lang w:eastAsia="en-AU"/>
              </w:rPr>
              <w:t>5</w:t>
            </w:r>
          </w:p>
        </w:tc>
        <w:tc>
          <w:tcPr>
            <w:tcW w:w="708" w:type="dxa"/>
          </w:tcPr>
          <w:p w14:paraId="00BA690D" w14:textId="77777777" w:rsidR="00AB0E44" w:rsidRDefault="00361FA3">
            <w:pPr>
              <w:pStyle w:val="Tabletext"/>
              <w:jc w:val="right"/>
              <w:rPr>
                <w:lang w:eastAsia="en-AU"/>
              </w:rPr>
            </w:pPr>
            <w:r>
              <w:rPr>
                <w:lang w:eastAsia="en-AU"/>
              </w:rPr>
              <w:t>18</w:t>
            </w:r>
          </w:p>
        </w:tc>
      </w:tr>
      <w:tr w:rsidR="00AB0E44" w14:paraId="06B55EB3" w14:textId="77777777" w:rsidTr="0051252F">
        <w:trPr>
          <w:trHeight w:val="70"/>
        </w:trPr>
        <w:tc>
          <w:tcPr>
            <w:tcW w:w="1838" w:type="dxa"/>
          </w:tcPr>
          <w:p w14:paraId="23E0E13B" w14:textId="685E25DA" w:rsidR="00AB0E44" w:rsidRDefault="00361FA3">
            <w:pPr>
              <w:pStyle w:val="Tabletext"/>
              <w:rPr>
                <w:lang w:eastAsia="en-AU"/>
              </w:rPr>
            </w:pPr>
            <w:r>
              <w:rPr>
                <w:lang w:eastAsia="en-AU"/>
              </w:rPr>
              <w:t>Fiji</w:t>
            </w:r>
            <w:r w:rsidR="00713620">
              <w:rPr>
                <w:vertAlign w:val="superscript"/>
                <w:lang w:eastAsia="en-AU"/>
              </w:rPr>
              <w:t xml:space="preserve"> </w:t>
            </w:r>
            <w:r w:rsidR="00713620" w:rsidRPr="0051252F">
              <w:rPr>
                <w:b/>
                <w:lang w:eastAsia="en-AU"/>
              </w:rPr>
              <w:t>a</w:t>
            </w:r>
          </w:p>
        </w:tc>
        <w:tc>
          <w:tcPr>
            <w:tcW w:w="709" w:type="dxa"/>
          </w:tcPr>
          <w:p w14:paraId="052D5297" w14:textId="77777777" w:rsidR="00AB0E44" w:rsidRDefault="00361FA3">
            <w:pPr>
              <w:pStyle w:val="Tabletext"/>
              <w:jc w:val="right"/>
              <w:rPr>
                <w:lang w:eastAsia="en-AU"/>
              </w:rPr>
            </w:pPr>
            <w:r>
              <w:rPr>
                <w:lang w:eastAsia="en-AU"/>
              </w:rPr>
              <w:t>1</w:t>
            </w:r>
          </w:p>
        </w:tc>
        <w:tc>
          <w:tcPr>
            <w:tcW w:w="850" w:type="dxa"/>
          </w:tcPr>
          <w:p w14:paraId="36C624E3" w14:textId="77777777" w:rsidR="00AB0E44" w:rsidRDefault="00361FA3">
            <w:pPr>
              <w:pStyle w:val="Tabletext"/>
              <w:jc w:val="right"/>
              <w:rPr>
                <w:lang w:eastAsia="en-AU"/>
              </w:rPr>
            </w:pPr>
            <w:r>
              <w:rPr>
                <w:lang w:eastAsia="en-AU"/>
              </w:rPr>
              <w:t>11</w:t>
            </w:r>
          </w:p>
        </w:tc>
        <w:tc>
          <w:tcPr>
            <w:tcW w:w="714" w:type="dxa"/>
          </w:tcPr>
          <w:p w14:paraId="6A81F93C" w14:textId="77777777" w:rsidR="00AB0E44" w:rsidRDefault="00361FA3">
            <w:pPr>
              <w:pStyle w:val="Tabletext"/>
              <w:jc w:val="right"/>
              <w:rPr>
                <w:lang w:eastAsia="en-AU"/>
              </w:rPr>
            </w:pPr>
            <w:r>
              <w:rPr>
                <w:lang w:eastAsia="en-AU"/>
              </w:rPr>
              <w:t>1</w:t>
            </w:r>
          </w:p>
        </w:tc>
        <w:tc>
          <w:tcPr>
            <w:tcW w:w="1134" w:type="dxa"/>
          </w:tcPr>
          <w:p w14:paraId="17435003" w14:textId="77777777" w:rsidR="00AB0E44" w:rsidRDefault="00361FA3">
            <w:pPr>
              <w:pStyle w:val="Tabletext"/>
              <w:jc w:val="right"/>
              <w:rPr>
                <w:lang w:eastAsia="en-AU"/>
              </w:rPr>
            </w:pPr>
            <w:r>
              <w:rPr>
                <w:lang w:eastAsia="en-AU"/>
              </w:rPr>
              <w:t>0</w:t>
            </w:r>
          </w:p>
        </w:tc>
        <w:tc>
          <w:tcPr>
            <w:tcW w:w="567" w:type="dxa"/>
          </w:tcPr>
          <w:p w14:paraId="0C613512" w14:textId="77777777" w:rsidR="00AB0E44" w:rsidRDefault="00361FA3">
            <w:pPr>
              <w:pStyle w:val="Tabletext"/>
              <w:jc w:val="right"/>
              <w:rPr>
                <w:lang w:eastAsia="en-AU"/>
              </w:rPr>
            </w:pPr>
            <w:r>
              <w:rPr>
                <w:lang w:eastAsia="en-AU"/>
              </w:rPr>
              <w:t>0</w:t>
            </w:r>
          </w:p>
        </w:tc>
        <w:tc>
          <w:tcPr>
            <w:tcW w:w="992" w:type="dxa"/>
          </w:tcPr>
          <w:p w14:paraId="083DACF0" w14:textId="77777777" w:rsidR="00AB0E44" w:rsidRDefault="00361FA3">
            <w:pPr>
              <w:pStyle w:val="Tabletext"/>
              <w:jc w:val="right"/>
              <w:rPr>
                <w:lang w:eastAsia="en-AU"/>
              </w:rPr>
            </w:pPr>
            <w:r>
              <w:rPr>
                <w:lang w:eastAsia="en-AU"/>
              </w:rPr>
              <w:t>1</w:t>
            </w:r>
          </w:p>
        </w:tc>
        <w:tc>
          <w:tcPr>
            <w:tcW w:w="993" w:type="dxa"/>
          </w:tcPr>
          <w:p w14:paraId="41202BE9" w14:textId="77777777" w:rsidR="00AB0E44" w:rsidRDefault="00361FA3">
            <w:pPr>
              <w:pStyle w:val="Tabletext"/>
              <w:jc w:val="right"/>
              <w:rPr>
                <w:lang w:eastAsia="en-AU"/>
              </w:rPr>
            </w:pPr>
            <w:r>
              <w:rPr>
                <w:lang w:eastAsia="en-AU"/>
              </w:rPr>
              <w:t>3</w:t>
            </w:r>
          </w:p>
        </w:tc>
        <w:tc>
          <w:tcPr>
            <w:tcW w:w="708" w:type="dxa"/>
          </w:tcPr>
          <w:p w14:paraId="0A415061" w14:textId="77777777" w:rsidR="00AB0E44" w:rsidRDefault="00361FA3">
            <w:pPr>
              <w:pStyle w:val="Tabletext"/>
              <w:jc w:val="right"/>
              <w:rPr>
                <w:lang w:eastAsia="en-AU"/>
              </w:rPr>
            </w:pPr>
            <w:r>
              <w:rPr>
                <w:lang w:eastAsia="en-AU"/>
              </w:rPr>
              <w:t>17</w:t>
            </w:r>
          </w:p>
        </w:tc>
      </w:tr>
      <w:tr w:rsidR="00AB0E44" w14:paraId="1091BB73" w14:textId="77777777" w:rsidTr="0051252F">
        <w:trPr>
          <w:trHeight w:val="156"/>
        </w:trPr>
        <w:tc>
          <w:tcPr>
            <w:tcW w:w="1838" w:type="dxa"/>
          </w:tcPr>
          <w:p w14:paraId="76FEBB1C" w14:textId="77777777" w:rsidR="00AB0E44" w:rsidRDefault="00361FA3">
            <w:pPr>
              <w:pStyle w:val="Tabletext"/>
              <w:rPr>
                <w:lang w:eastAsia="en-AU"/>
              </w:rPr>
            </w:pPr>
            <w:r>
              <w:rPr>
                <w:lang w:eastAsia="en-AU"/>
              </w:rPr>
              <w:t>Other (37 countries)</w:t>
            </w:r>
          </w:p>
        </w:tc>
        <w:tc>
          <w:tcPr>
            <w:tcW w:w="709" w:type="dxa"/>
          </w:tcPr>
          <w:p w14:paraId="255D2952" w14:textId="77777777" w:rsidR="00AB0E44" w:rsidRDefault="00361FA3">
            <w:pPr>
              <w:pStyle w:val="Tabletext"/>
              <w:jc w:val="right"/>
              <w:rPr>
                <w:lang w:eastAsia="en-AU"/>
              </w:rPr>
            </w:pPr>
            <w:r>
              <w:rPr>
                <w:lang w:eastAsia="en-AU"/>
              </w:rPr>
              <w:t>11</w:t>
            </w:r>
          </w:p>
        </w:tc>
        <w:tc>
          <w:tcPr>
            <w:tcW w:w="850" w:type="dxa"/>
          </w:tcPr>
          <w:p w14:paraId="0206E3EB" w14:textId="77777777" w:rsidR="00AB0E44" w:rsidRDefault="00361FA3">
            <w:pPr>
              <w:pStyle w:val="Tabletext"/>
              <w:jc w:val="right"/>
              <w:rPr>
                <w:lang w:eastAsia="en-AU"/>
              </w:rPr>
            </w:pPr>
            <w:r>
              <w:rPr>
                <w:lang w:eastAsia="en-AU"/>
              </w:rPr>
              <w:t>18</w:t>
            </w:r>
          </w:p>
        </w:tc>
        <w:tc>
          <w:tcPr>
            <w:tcW w:w="714" w:type="dxa"/>
          </w:tcPr>
          <w:p w14:paraId="5D625987" w14:textId="77777777" w:rsidR="00AB0E44" w:rsidRDefault="00361FA3">
            <w:pPr>
              <w:pStyle w:val="Tabletext"/>
              <w:jc w:val="right"/>
              <w:rPr>
                <w:lang w:eastAsia="en-AU"/>
              </w:rPr>
            </w:pPr>
            <w:r>
              <w:rPr>
                <w:lang w:eastAsia="en-AU"/>
              </w:rPr>
              <w:t>15</w:t>
            </w:r>
          </w:p>
        </w:tc>
        <w:tc>
          <w:tcPr>
            <w:tcW w:w="1134" w:type="dxa"/>
          </w:tcPr>
          <w:p w14:paraId="211181DD" w14:textId="77777777" w:rsidR="00AB0E44" w:rsidRDefault="00361FA3">
            <w:pPr>
              <w:pStyle w:val="Tabletext"/>
              <w:jc w:val="right"/>
              <w:rPr>
                <w:lang w:eastAsia="en-AU"/>
              </w:rPr>
            </w:pPr>
            <w:r>
              <w:rPr>
                <w:lang w:eastAsia="en-AU"/>
              </w:rPr>
              <w:t>11</w:t>
            </w:r>
          </w:p>
        </w:tc>
        <w:tc>
          <w:tcPr>
            <w:tcW w:w="567" w:type="dxa"/>
          </w:tcPr>
          <w:p w14:paraId="37AFC265" w14:textId="77777777" w:rsidR="00AB0E44" w:rsidRDefault="00361FA3">
            <w:pPr>
              <w:pStyle w:val="Tabletext"/>
              <w:jc w:val="right"/>
              <w:rPr>
                <w:lang w:eastAsia="en-AU"/>
              </w:rPr>
            </w:pPr>
            <w:r>
              <w:rPr>
                <w:lang w:eastAsia="en-AU"/>
              </w:rPr>
              <w:t>9</w:t>
            </w:r>
          </w:p>
        </w:tc>
        <w:tc>
          <w:tcPr>
            <w:tcW w:w="992" w:type="dxa"/>
          </w:tcPr>
          <w:p w14:paraId="6CC15EA0" w14:textId="77777777" w:rsidR="00AB0E44" w:rsidRDefault="00361FA3">
            <w:pPr>
              <w:pStyle w:val="Tabletext"/>
              <w:jc w:val="right"/>
              <w:rPr>
                <w:lang w:eastAsia="en-AU"/>
              </w:rPr>
            </w:pPr>
            <w:r>
              <w:rPr>
                <w:lang w:eastAsia="en-AU"/>
              </w:rPr>
              <w:t>9</w:t>
            </w:r>
          </w:p>
        </w:tc>
        <w:tc>
          <w:tcPr>
            <w:tcW w:w="993" w:type="dxa"/>
          </w:tcPr>
          <w:p w14:paraId="51581A55" w14:textId="77777777" w:rsidR="00AB0E44" w:rsidRDefault="00361FA3">
            <w:pPr>
              <w:pStyle w:val="Tabletext"/>
              <w:jc w:val="right"/>
              <w:rPr>
                <w:lang w:eastAsia="en-AU"/>
              </w:rPr>
            </w:pPr>
            <w:r>
              <w:rPr>
                <w:lang w:eastAsia="en-AU"/>
              </w:rPr>
              <w:t>40</w:t>
            </w:r>
          </w:p>
        </w:tc>
        <w:tc>
          <w:tcPr>
            <w:tcW w:w="708" w:type="dxa"/>
          </w:tcPr>
          <w:p w14:paraId="3BF7129C" w14:textId="77777777" w:rsidR="00AB0E44" w:rsidRDefault="00361FA3">
            <w:pPr>
              <w:pStyle w:val="Tabletext"/>
              <w:jc w:val="right"/>
              <w:rPr>
                <w:lang w:eastAsia="en-AU"/>
              </w:rPr>
            </w:pPr>
            <w:r>
              <w:rPr>
                <w:lang w:eastAsia="en-AU"/>
              </w:rPr>
              <w:t>113</w:t>
            </w:r>
          </w:p>
        </w:tc>
      </w:tr>
      <w:tr w:rsidR="00AB0E44" w14:paraId="517DEB91" w14:textId="77777777" w:rsidTr="0051252F">
        <w:trPr>
          <w:trHeight w:val="70"/>
        </w:trPr>
        <w:tc>
          <w:tcPr>
            <w:tcW w:w="1838" w:type="dxa"/>
          </w:tcPr>
          <w:p w14:paraId="41D0D6E9" w14:textId="77777777" w:rsidR="00AB0E44" w:rsidRDefault="00361FA3">
            <w:pPr>
              <w:pStyle w:val="Tabletext"/>
              <w:rPr>
                <w:lang w:eastAsia="en-AU"/>
              </w:rPr>
            </w:pPr>
            <w:r>
              <w:rPr>
                <w:lang w:eastAsia="en-AU"/>
              </w:rPr>
              <w:t>Unknown</w:t>
            </w:r>
          </w:p>
        </w:tc>
        <w:tc>
          <w:tcPr>
            <w:tcW w:w="709" w:type="dxa"/>
          </w:tcPr>
          <w:p w14:paraId="03D181F7" w14:textId="77777777" w:rsidR="00AB0E44" w:rsidRDefault="00361FA3">
            <w:pPr>
              <w:pStyle w:val="Tabletext"/>
              <w:jc w:val="right"/>
              <w:rPr>
                <w:lang w:eastAsia="en-AU"/>
              </w:rPr>
            </w:pPr>
            <w:r>
              <w:rPr>
                <w:lang w:eastAsia="en-AU"/>
              </w:rPr>
              <w:t>8</w:t>
            </w:r>
          </w:p>
        </w:tc>
        <w:tc>
          <w:tcPr>
            <w:tcW w:w="850" w:type="dxa"/>
          </w:tcPr>
          <w:p w14:paraId="177381A0" w14:textId="77777777" w:rsidR="00AB0E44" w:rsidRDefault="00361FA3">
            <w:pPr>
              <w:pStyle w:val="Tabletext"/>
              <w:jc w:val="right"/>
              <w:rPr>
                <w:lang w:eastAsia="en-AU"/>
              </w:rPr>
            </w:pPr>
            <w:r>
              <w:rPr>
                <w:lang w:eastAsia="en-AU"/>
              </w:rPr>
              <w:t>20</w:t>
            </w:r>
          </w:p>
        </w:tc>
        <w:tc>
          <w:tcPr>
            <w:tcW w:w="714" w:type="dxa"/>
          </w:tcPr>
          <w:p w14:paraId="4540A700" w14:textId="77777777" w:rsidR="00AB0E44" w:rsidRDefault="00361FA3">
            <w:pPr>
              <w:pStyle w:val="Tabletext"/>
              <w:jc w:val="right"/>
              <w:rPr>
                <w:lang w:eastAsia="en-AU"/>
              </w:rPr>
            </w:pPr>
            <w:r>
              <w:rPr>
                <w:lang w:eastAsia="en-AU"/>
              </w:rPr>
              <w:t>12</w:t>
            </w:r>
          </w:p>
        </w:tc>
        <w:tc>
          <w:tcPr>
            <w:tcW w:w="1134" w:type="dxa"/>
          </w:tcPr>
          <w:p w14:paraId="5C53769A" w14:textId="77777777" w:rsidR="00AB0E44" w:rsidRDefault="00361FA3">
            <w:pPr>
              <w:pStyle w:val="Tabletext"/>
              <w:jc w:val="right"/>
              <w:rPr>
                <w:lang w:eastAsia="en-AU"/>
              </w:rPr>
            </w:pPr>
            <w:r>
              <w:rPr>
                <w:lang w:eastAsia="en-AU"/>
              </w:rPr>
              <w:t>8</w:t>
            </w:r>
          </w:p>
        </w:tc>
        <w:tc>
          <w:tcPr>
            <w:tcW w:w="567" w:type="dxa"/>
          </w:tcPr>
          <w:p w14:paraId="08F9D65A" w14:textId="77777777" w:rsidR="00AB0E44" w:rsidRDefault="00AB0E44">
            <w:pPr>
              <w:pStyle w:val="Tabletext"/>
              <w:jc w:val="right"/>
              <w:rPr>
                <w:lang w:eastAsia="en-AU"/>
              </w:rPr>
            </w:pPr>
          </w:p>
        </w:tc>
        <w:tc>
          <w:tcPr>
            <w:tcW w:w="992" w:type="dxa"/>
          </w:tcPr>
          <w:p w14:paraId="73A0FD74" w14:textId="77777777" w:rsidR="00AB0E44" w:rsidRDefault="00361FA3">
            <w:pPr>
              <w:pStyle w:val="Tabletext"/>
              <w:jc w:val="right"/>
              <w:rPr>
                <w:lang w:eastAsia="en-AU"/>
              </w:rPr>
            </w:pPr>
            <w:r>
              <w:rPr>
                <w:lang w:eastAsia="en-AU"/>
              </w:rPr>
              <w:t>1</w:t>
            </w:r>
          </w:p>
        </w:tc>
        <w:tc>
          <w:tcPr>
            <w:tcW w:w="993" w:type="dxa"/>
          </w:tcPr>
          <w:p w14:paraId="02284547" w14:textId="77777777" w:rsidR="00AB0E44" w:rsidRDefault="00361FA3">
            <w:pPr>
              <w:pStyle w:val="Tabletext"/>
              <w:jc w:val="right"/>
              <w:rPr>
                <w:lang w:eastAsia="en-AU"/>
              </w:rPr>
            </w:pPr>
            <w:r>
              <w:rPr>
                <w:lang w:eastAsia="en-AU"/>
              </w:rPr>
              <w:t>13</w:t>
            </w:r>
          </w:p>
        </w:tc>
        <w:tc>
          <w:tcPr>
            <w:tcW w:w="708" w:type="dxa"/>
          </w:tcPr>
          <w:p w14:paraId="5DF66B44" w14:textId="77777777" w:rsidR="00AB0E44" w:rsidRDefault="00361FA3">
            <w:pPr>
              <w:pStyle w:val="Tabletext"/>
              <w:jc w:val="right"/>
              <w:rPr>
                <w:lang w:eastAsia="en-AU"/>
              </w:rPr>
            </w:pPr>
            <w:r>
              <w:rPr>
                <w:bCs/>
                <w:lang w:eastAsia="en-AU"/>
              </w:rPr>
              <w:t>62</w:t>
            </w:r>
          </w:p>
        </w:tc>
      </w:tr>
      <w:tr w:rsidR="00AB0E44" w14:paraId="78827ED5" w14:textId="77777777" w:rsidTr="0051252F">
        <w:trPr>
          <w:trHeight w:val="70"/>
        </w:trPr>
        <w:tc>
          <w:tcPr>
            <w:tcW w:w="1838" w:type="dxa"/>
          </w:tcPr>
          <w:p w14:paraId="66C2FEAD" w14:textId="77777777" w:rsidR="00AB0E44" w:rsidRDefault="00361FA3">
            <w:pPr>
              <w:pStyle w:val="Tabletext"/>
              <w:rPr>
                <w:lang w:eastAsia="en-AU"/>
              </w:rPr>
            </w:pPr>
            <w:r>
              <w:rPr>
                <w:lang w:eastAsia="en-AU"/>
              </w:rPr>
              <w:t>Total</w:t>
            </w:r>
          </w:p>
        </w:tc>
        <w:tc>
          <w:tcPr>
            <w:tcW w:w="709" w:type="dxa"/>
          </w:tcPr>
          <w:p w14:paraId="61B12D5B" w14:textId="77777777" w:rsidR="00AB0E44" w:rsidRDefault="00361FA3">
            <w:pPr>
              <w:pStyle w:val="Tabletext"/>
              <w:jc w:val="right"/>
              <w:rPr>
                <w:lang w:eastAsia="en-AU"/>
              </w:rPr>
            </w:pPr>
            <w:r>
              <w:rPr>
                <w:lang w:eastAsia="en-AU"/>
              </w:rPr>
              <w:t>52</w:t>
            </w:r>
          </w:p>
        </w:tc>
        <w:tc>
          <w:tcPr>
            <w:tcW w:w="850" w:type="dxa"/>
          </w:tcPr>
          <w:p w14:paraId="6525D539" w14:textId="77777777" w:rsidR="00AB0E44" w:rsidRDefault="00361FA3">
            <w:pPr>
              <w:pStyle w:val="Tabletext"/>
              <w:jc w:val="right"/>
              <w:rPr>
                <w:lang w:eastAsia="en-AU"/>
              </w:rPr>
            </w:pPr>
            <w:r>
              <w:rPr>
                <w:lang w:eastAsia="en-AU"/>
              </w:rPr>
              <w:t>126</w:t>
            </w:r>
          </w:p>
        </w:tc>
        <w:tc>
          <w:tcPr>
            <w:tcW w:w="714" w:type="dxa"/>
          </w:tcPr>
          <w:p w14:paraId="7771CB63" w14:textId="77777777" w:rsidR="00AB0E44" w:rsidRDefault="00361FA3">
            <w:pPr>
              <w:pStyle w:val="Tabletext"/>
              <w:jc w:val="right"/>
              <w:rPr>
                <w:lang w:eastAsia="en-AU"/>
              </w:rPr>
            </w:pPr>
            <w:r>
              <w:rPr>
                <w:lang w:eastAsia="en-AU"/>
              </w:rPr>
              <w:t>79</w:t>
            </w:r>
          </w:p>
        </w:tc>
        <w:tc>
          <w:tcPr>
            <w:tcW w:w="1134" w:type="dxa"/>
          </w:tcPr>
          <w:p w14:paraId="63949371" w14:textId="77777777" w:rsidR="00AB0E44" w:rsidRDefault="00361FA3">
            <w:pPr>
              <w:pStyle w:val="Tabletext"/>
              <w:jc w:val="right"/>
              <w:rPr>
                <w:lang w:eastAsia="en-AU"/>
              </w:rPr>
            </w:pPr>
            <w:r>
              <w:rPr>
                <w:lang w:eastAsia="en-AU"/>
              </w:rPr>
              <w:t>42</w:t>
            </w:r>
          </w:p>
        </w:tc>
        <w:tc>
          <w:tcPr>
            <w:tcW w:w="567" w:type="dxa"/>
          </w:tcPr>
          <w:p w14:paraId="55E94744" w14:textId="77777777" w:rsidR="00AB0E44" w:rsidRDefault="00361FA3">
            <w:pPr>
              <w:pStyle w:val="Tabletext"/>
              <w:jc w:val="right"/>
              <w:rPr>
                <w:lang w:eastAsia="en-AU"/>
              </w:rPr>
            </w:pPr>
            <w:r>
              <w:rPr>
                <w:lang w:eastAsia="en-AU"/>
              </w:rPr>
              <w:t>17</w:t>
            </w:r>
          </w:p>
        </w:tc>
        <w:tc>
          <w:tcPr>
            <w:tcW w:w="992" w:type="dxa"/>
          </w:tcPr>
          <w:p w14:paraId="715FE726" w14:textId="77777777" w:rsidR="00AB0E44" w:rsidRDefault="00361FA3">
            <w:pPr>
              <w:pStyle w:val="Tabletext"/>
              <w:jc w:val="right"/>
              <w:rPr>
                <w:lang w:eastAsia="en-AU"/>
              </w:rPr>
            </w:pPr>
            <w:r>
              <w:rPr>
                <w:lang w:eastAsia="en-AU"/>
              </w:rPr>
              <w:t>31</w:t>
            </w:r>
          </w:p>
        </w:tc>
        <w:tc>
          <w:tcPr>
            <w:tcW w:w="993" w:type="dxa"/>
          </w:tcPr>
          <w:p w14:paraId="073388C8" w14:textId="77777777" w:rsidR="00AB0E44" w:rsidRDefault="00361FA3">
            <w:pPr>
              <w:pStyle w:val="Tabletext"/>
              <w:jc w:val="right"/>
              <w:rPr>
                <w:lang w:eastAsia="en-AU"/>
              </w:rPr>
            </w:pPr>
            <w:r>
              <w:rPr>
                <w:lang w:eastAsia="en-AU"/>
              </w:rPr>
              <w:t>198</w:t>
            </w:r>
          </w:p>
        </w:tc>
        <w:tc>
          <w:tcPr>
            <w:tcW w:w="708" w:type="dxa"/>
          </w:tcPr>
          <w:p w14:paraId="5F130A64" w14:textId="77777777" w:rsidR="00AB0E44" w:rsidRDefault="00361FA3">
            <w:pPr>
              <w:pStyle w:val="Tabletext"/>
              <w:jc w:val="right"/>
              <w:rPr>
                <w:bCs/>
                <w:lang w:eastAsia="en-AU"/>
              </w:rPr>
            </w:pPr>
            <w:r>
              <w:rPr>
                <w:bCs/>
                <w:lang w:eastAsia="en-AU"/>
              </w:rPr>
              <w:t>545</w:t>
            </w:r>
          </w:p>
        </w:tc>
      </w:tr>
    </w:tbl>
    <w:p w14:paraId="4148AFC8" w14:textId="49AECAE0" w:rsidR="00AB0E44" w:rsidRDefault="00713620">
      <w:pPr>
        <w:pStyle w:val="FigureTableNoteSource"/>
        <w:rPr>
          <w:lang w:eastAsia="en-AU"/>
        </w:rPr>
      </w:pPr>
      <w:proofErr w:type="gramStart"/>
      <w:r w:rsidRPr="0051252F">
        <w:rPr>
          <w:b/>
          <w:lang w:eastAsia="en-AU"/>
        </w:rPr>
        <w:t>a</w:t>
      </w:r>
      <w:proofErr w:type="gramEnd"/>
      <w:r>
        <w:rPr>
          <w:lang w:eastAsia="en-AU"/>
        </w:rPr>
        <w:t xml:space="preserve"> </w:t>
      </w:r>
      <w:r w:rsidR="00361FA3">
        <w:rPr>
          <w:lang w:eastAsia="en-AU"/>
        </w:rPr>
        <w:t xml:space="preserve">Country action list. </w:t>
      </w:r>
      <w:r w:rsidR="00361FA3" w:rsidRPr="0051252F">
        <w:rPr>
          <w:rStyle w:val="Strong"/>
        </w:rPr>
        <w:t>FCL</w:t>
      </w:r>
      <w:r w:rsidR="00361FA3">
        <w:rPr>
          <w:lang w:eastAsia="en-AU"/>
        </w:rPr>
        <w:t xml:space="preserve"> Full container load. </w:t>
      </w:r>
      <w:r w:rsidR="00361FA3" w:rsidRPr="0051252F">
        <w:rPr>
          <w:rStyle w:val="Strong"/>
        </w:rPr>
        <w:t>LCL</w:t>
      </w:r>
      <w:r w:rsidR="00361FA3">
        <w:rPr>
          <w:lang w:eastAsia="en-AU"/>
        </w:rPr>
        <w:t xml:space="preserve"> Less than full container load.</w:t>
      </w:r>
    </w:p>
    <w:p w14:paraId="1C8C75FB" w14:textId="77777777" w:rsidR="00AB0E44" w:rsidRDefault="00361FA3">
      <w:pPr>
        <w:pStyle w:val="FigureTableNoteSource"/>
        <w:rPr>
          <w:lang w:eastAsia="en-AU"/>
        </w:rPr>
      </w:pPr>
      <w:r>
        <w:rPr>
          <w:lang w:eastAsia="en-AU"/>
        </w:rPr>
        <w:t>Source: Department of Agriculture and Water Resources</w:t>
      </w:r>
    </w:p>
    <w:p w14:paraId="5396EE5B" w14:textId="77777777" w:rsidR="00AB0E44" w:rsidRDefault="00361FA3">
      <w:pPr>
        <w:pStyle w:val="Heading2"/>
      </w:pPr>
      <w:bookmarkStart w:id="140" w:name="_Toc521069565"/>
      <w:r>
        <w:t>Conclusion</w:t>
      </w:r>
      <w:bookmarkEnd w:id="140"/>
    </w:p>
    <w:p w14:paraId="60430088" w14:textId="77777777" w:rsidR="00AB0E44" w:rsidRDefault="00361FA3">
      <w:pPr>
        <w:tabs>
          <w:tab w:val="clear" w:pos="567"/>
        </w:tabs>
        <w:spacing w:after="0"/>
        <w:rPr>
          <w:lang w:eastAsia="ja-JP"/>
        </w:rPr>
      </w:pPr>
      <w:r>
        <w:rPr>
          <w:lang w:eastAsia="ja-JP"/>
        </w:rPr>
        <w:t>The challenges posed to Australia by hitchhiker pests and contaminants are likely to increase, due to increased global trade and movement of people, pests and diseases around the world. Other countries may not prioritise preventive measures as much as Australia (and New Zealand) since certain pests may be endemic there or not pose as much biosecurity risk.</w:t>
      </w:r>
    </w:p>
    <w:p w14:paraId="05785BB1" w14:textId="5D7FA094" w:rsidR="00AB0E44" w:rsidRDefault="00361FA3">
      <w:pPr>
        <w:tabs>
          <w:tab w:val="clear" w:pos="567"/>
        </w:tabs>
        <w:spacing w:after="0"/>
      </w:pPr>
      <w:r>
        <w:t>Departmental efforts to manage the risks of hitchhiker and contaminant entry by different pathways are impressive. The risk management regimes for ships, aircraft and air cargo seem well</w:t>
      </w:r>
      <w:r w:rsidR="00DD7F54">
        <w:t xml:space="preserve"> </w:t>
      </w:r>
      <w:r>
        <w:t xml:space="preserve">targeted, effective and efficient. The more difficult and complex tasks of preventing hitchhikers and contaminants </w:t>
      </w:r>
      <w:r w:rsidR="00DD7F54">
        <w:t xml:space="preserve">from </w:t>
      </w:r>
      <w:r>
        <w:t>entering on or in sea cargo, both containerised and break</w:t>
      </w:r>
      <w:r w:rsidR="00DD7F54">
        <w:t>-</w:t>
      </w:r>
      <w:r>
        <w:t>bulk, are being tackled with effectiveness and efficiency</w:t>
      </w:r>
      <w:r w:rsidR="00DD7F54">
        <w:t>,</w:t>
      </w:r>
      <w:r>
        <w:t xml:space="preserve"> but </w:t>
      </w:r>
      <w:r w:rsidR="00DD7F54">
        <w:t xml:space="preserve">they </w:t>
      </w:r>
      <w:r>
        <w:t>are not easy to manage.</w:t>
      </w:r>
    </w:p>
    <w:p w14:paraId="7562598F" w14:textId="09AAFE8C" w:rsidR="00AB0E44" w:rsidRDefault="00361FA3">
      <w:pPr>
        <w:tabs>
          <w:tab w:val="clear" w:pos="567"/>
        </w:tabs>
        <w:spacing w:after="0"/>
        <w:rPr>
          <w:lang w:eastAsia="ja-JP"/>
        </w:rPr>
      </w:pPr>
      <w:r>
        <w:rPr>
          <w:lang w:eastAsia="ja-JP"/>
        </w:rPr>
        <w:t>Continued development of the offshore risk management programs already being implemented by the department, and improved external and internal contamination risk profiling and management, will be necessary but not sufficient to manage future challenges. They will be particularly useful for break</w:t>
      </w:r>
      <w:r w:rsidR="00DD7F54">
        <w:rPr>
          <w:lang w:eastAsia="ja-JP"/>
        </w:rPr>
        <w:t>-</w:t>
      </w:r>
      <w:r>
        <w:rPr>
          <w:lang w:eastAsia="ja-JP"/>
        </w:rPr>
        <w:t xml:space="preserve">bulk cargo. </w:t>
      </w:r>
      <w:r w:rsidR="00DD7F54">
        <w:rPr>
          <w:lang w:eastAsia="ja-JP"/>
        </w:rPr>
        <w:t>It will be essential to r</w:t>
      </w:r>
      <w:r>
        <w:rPr>
          <w:lang w:eastAsia="ja-JP"/>
        </w:rPr>
        <w:t xml:space="preserve">etain and develop skilled staff and </w:t>
      </w:r>
      <w:r w:rsidR="00DD7F54">
        <w:rPr>
          <w:lang w:eastAsia="ja-JP"/>
        </w:rPr>
        <w:t xml:space="preserve">ensure </w:t>
      </w:r>
      <w:r>
        <w:rPr>
          <w:lang w:eastAsia="ja-JP"/>
        </w:rPr>
        <w:t xml:space="preserve">adequate resourcing </w:t>
      </w:r>
      <w:r w:rsidR="00DD7F54">
        <w:rPr>
          <w:lang w:eastAsia="ja-JP"/>
        </w:rPr>
        <w:t xml:space="preserve">in order </w:t>
      </w:r>
      <w:r>
        <w:rPr>
          <w:lang w:eastAsia="ja-JP"/>
        </w:rPr>
        <w:t>to apply these programs comprehensively.</w:t>
      </w:r>
    </w:p>
    <w:p w14:paraId="5912AEFF" w14:textId="73875B8C" w:rsidR="00AB0E44" w:rsidRDefault="00361FA3">
      <w:pPr>
        <w:tabs>
          <w:tab w:val="clear" w:pos="567"/>
        </w:tabs>
        <w:spacing w:after="0"/>
      </w:pPr>
      <w:r>
        <w:t xml:space="preserve">Offshore measures may </w:t>
      </w:r>
      <w:r w:rsidR="00DD7F54">
        <w:t xml:space="preserve">result in </w:t>
      </w:r>
      <w:r>
        <w:t xml:space="preserve">the biggest reduction of hitchhiker and contaminant risks. </w:t>
      </w:r>
      <w:r w:rsidRPr="00E460BD">
        <w:t>They need to be inclusive of shipping lines’ responsibility in creating risks (by carrying containers and break</w:t>
      </w:r>
      <w:r w:rsidR="00DD7F54" w:rsidRPr="00E460BD">
        <w:t>-</w:t>
      </w:r>
      <w:r w:rsidRPr="00E460BD">
        <w:t>bulk cargo to Australia) and exploring incentive-based compliance systems for ships transporting biosecurity-compliant containers and break</w:t>
      </w:r>
      <w:r w:rsidR="00DD7F54" w:rsidRPr="00E460BD">
        <w:t>-</w:t>
      </w:r>
      <w:r w:rsidRPr="00E460BD">
        <w:t>bulk cargo. Such systems need robust onshore verification</w:t>
      </w:r>
      <w:r w:rsidR="000D0761" w:rsidRPr="00E460BD">
        <w:t>,</w:t>
      </w:r>
      <w:r w:rsidRPr="00E460BD">
        <w:t xml:space="preserve"> with risk-based profiling and inspection regimes on</w:t>
      </w:r>
      <w:r>
        <w:t xml:space="preserve"> arrival in Australia. However, these onshore regimes are resource-intensive and the biosecurity system is under great pressure from many directions.</w:t>
      </w:r>
    </w:p>
    <w:p w14:paraId="3CD043C7" w14:textId="1A168B66" w:rsidR="00AB0E44" w:rsidRDefault="00361FA3">
      <w:pPr>
        <w:tabs>
          <w:tab w:val="clear" w:pos="567"/>
        </w:tabs>
        <w:spacing w:after="0"/>
        <w:rPr>
          <w:lang w:eastAsia="ja-JP"/>
        </w:rPr>
      </w:pPr>
      <w:r>
        <w:rPr>
          <w:lang w:eastAsia="ja-JP"/>
        </w:rPr>
        <w:t>Over three million sea containers now enter Australia each year</w:t>
      </w:r>
      <w:r w:rsidR="000D0761">
        <w:rPr>
          <w:lang w:eastAsia="ja-JP"/>
        </w:rPr>
        <w:t>,</w:t>
      </w:r>
      <w:r>
        <w:rPr>
          <w:lang w:eastAsia="ja-JP"/>
        </w:rPr>
        <w:t xml:space="preserve"> and volumes are projected to continue to rise. The cumbersome current container inspection and cleaning regimes will not cope with these expected volumes or with development of ever-faster cargo transport systems. New automated methods of container inspection and washing could improve the efficiency and effectiveness of the whole system for external sea container risk management, by targeting high and medium biosecurity risk containers</w:t>
      </w:r>
      <w:r w:rsidR="000D0761">
        <w:rPr>
          <w:lang w:eastAsia="ja-JP"/>
        </w:rPr>
        <w:t>.</w:t>
      </w:r>
      <w:r>
        <w:rPr>
          <w:lang w:eastAsia="ja-JP"/>
        </w:rPr>
        <w:t xml:space="preserve"> </w:t>
      </w:r>
      <w:r w:rsidR="000D0761">
        <w:rPr>
          <w:lang w:eastAsia="ja-JP"/>
        </w:rPr>
        <w:t xml:space="preserve">Industry and government </w:t>
      </w:r>
      <w:r>
        <w:rPr>
          <w:lang w:eastAsia="ja-JP"/>
        </w:rPr>
        <w:t xml:space="preserve">should pursue </w:t>
      </w:r>
      <w:r w:rsidR="000D0761">
        <w:rPr>
          <w:lang w:eastAsia="ja-JP"/>
        </w:rPr>
        <w:t xml:space="preserve">these </w:t>
      </w:r>
      <w:r>
        <w:rPr>
          <w:lang w:eastAsia="ja-JP"/>
        </w:rPr>
        <w:t>as a priority. More automated container washing may give the biggest short-term return in external biosecurity risk reduction.</w:t>
      </w:r>
    </w:p>
    <w:p w14:paraId="1CC50CA6" w14:textId="77777777" w:rsidR="00AB0E44" w:rsidRDefault="00361FA3">
      <w:pPr>
        <w:tabs>
          <w:tab w:val="clear" w:pos="567"/>
        </w:tabs>
        <w:spacing w:after="0"/>
        <w:rPr>
          <w:lang w:eastAsia="ja-JP"/>
        </w:rPr>
      </w:pPr>
      <w:r>
        <w:rPr>
          <w:lang w:eastAsia="ja-JP"/>
        </w:rPr>
        <w:t xml:space="preserve">The adaptive management of new pest threats requires close cooperation with a very broad range of stakeholders. Some seasonal pest risks (Asian gypsy moth and burnt pine longicorn) are being managed effectively, while the expanding global range of brown marmorated stink bugs is still challenging both the Australian and New Zealand biosecurity systems. The department’s </w:t>
      </w:r>
      <w:r w:rsidRPr="00E460BD">
        <w:rPr>
          <w:lang w:eastAsia="ja-JP"/>
        </w:rPr>
        <w:t>National Border Surveillance program</w:t>
      </w:r>
      <w:r>
        <w:rPr>
          <w:lang w:eastAsia="ja-JP"/>
        </w:rPr>
        <w:t xml:space="preserve"> and stronger links to state and territory governments and industry are both critical in managing known and emerging pest threats.</w:t>
      </w:r>
    </w:p>
    <w:p w14:paraId="4E831099" w14:textId="71451F3B" w:rsidR="00AB0E44" w:rsidRDefault="00361FA3">
      <w:pPr>
        <w:rPr>
          <w:lang w:eastAsia="en-AU"/>
        </w:rPr>
      </w:pPr>
      <w:r>
        <w:rPr>
          <w:lang w:eastAsia="ja-JP"/>
        </w:rPr>
        <w:t xml:space="preserve">The department’s efforts in dealing with hitchhikers and contaminants are undoubtedly preventing a great deal of biosecurity risk material, pests and diseases </w:t>
      </w:r>
      <w:r w:rsidR="000D0761">
        <w:rPr>
          <w:lang w:eastAsia="ja-JP"/>
        </w:rPr>
        <w:t xml:space="preserve">from </w:t>
      </w:r>
      <w:r>
        <w:rPr>
          <w:lang w:eastAsia="ja-JP"/>
        </w:rPr>
        <w:t>entering Australia. This is of great value not just to agriculture and human health but also to the environment and community amenity. Adequate long</w:t>
      </w:r>
      <w:r w:rsidR="000D0761">
        <w:rPr>
          <w:lang w:eastAsia="ja-JP"/>
        </w:rPr>
        <w:t>-</w:t>
      </w:r>
      <w:r>
        <w:rPr>
          <w:lang w:eastAsia="ja-JP"/>
        </w:rPr>
        <w:t>term resourcing of the current complex programs and ongoing development of improved systems will be essential to prevent these efforts being overwhelmed by increasing trade volumes and changing global pest and disease threats.</w:t>
      </w:r>
    </w:p>
    <w:p w14:paraId="1520A4B0" w14:textId="77777777" w:rsidR="00AB0E44" w:rsidRDefault="00361FA3">
      <w:pPr>
        <w:pStyle w:val="Heading2"/>
        <w:numPr>
          <w:ilvl w:val="0"/>
          <w:numId w:val="0"/>
        </w:numPr>
      </w:pPr>
      <w:bookmarkStart w:id="141" w:name="_Appendix_A:_Agency"/>
      <w:bookmarkStart w:id="142" w:name="_Toc449433577"/>
      <w:bookmarkStart w:id="143" w:name="_Toc521069566"/>
      <w:bookmarkEnd w:id="25"/>
      <w:bookmarkEnd w:id="26"/>
      <w:bookmarkEnd w:id="27"/>
      <w:bookmarkEnd w:id="28"/>
      <w:bookmarkEnd w:id="29"/>
      <w:bookmarkEnd w:id="30"/>
      <w:bookmarkEnd w:id="141"/>
      <w:r>
        <w:t>Appendix A: Agency response</w:t>
      </w:r>
      <w:bookmarkEnd w:id="142"/>
      <w:bookmarkEnd w:id="143"/>
    </w:p>
    <w:p w14:paraId="205AA505" w14:textId="2472B301" w:rsidR="00FD1CB3" w:rsidRDefault="00FD1CB3">
      <w:r w:rsidRPr="00FD1CB3">
        <w:rPr>
          <w:noProof/>
          <w:lang w:eastAsia="en-AU"/>
        </w:rPr>
        <w:drawing>
          <wp:inline distT="0" distB="0" distL="0" distR="0" wp14:anchorId="6CC42ACF" wp14:editId="5706784A">
            <wp:extent cx="5142015" cy="8348657"/>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47163" cy="8357016"/>
                    </a:xfrm>
                    <a:prstGeom prst="rect">
                      <a:avLst/>
                    </a:prstGeom>
                    <a:noFill/>
                    <a:ln>
                      <a:noFill/>
                    </a:ln>
                  </pic:spPr>
                </pic:pic>
              </a:graphicData>
            </a:graphic>
          </wp:inline>
        </w:drawing>
      </w:r>
    </w:p>
    <w:p w14:paraId="5F49E09D" w14:textId="6374E668" w:rsidR="00FD1CB3" w:rsidRDefault="00FD1CB3">
      <w:pPr>
        <w:tabs>
          <w:tab w:val="clear" w:pos="567"/>
        </w:tabs>
        <w:spacing w:before="0" w:after="0"/>
      </w:pPr>
      <w:r w:rsidRPr="00FD1CB3">
        <w:rPr>
          <w:noProof/>
          <w:lang w:eastAsia="en-AU"/>
        </w:rPr>
        <w:drawing>
          <wp:inline distT="0" distB="0" distL="0" distR="0" wp14:anchorId="70B2F145" wp14:editId="3C5181BC">
            <wp:extent cx="5868035" cy="87906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68035" cy="8790687"/>
                    </a:xfrm>
                    <a:prstGeom prst="rect">
                      <a:avLst/>
                    </a:prstGeom>
                    <a:noFill/>
                    <a:ln>
                      <a:noFill/>
                    </a:ln>
                  </pic:spPr>
                </pic:pic>
              </a:graphicData>
            </a:graphic>
          </wp:inline>
        </w:drawing>
      </w:r>
      <w:r>
        <w:br w:type="page"/>
      </w:r>
    </w:p>
    <w:p w14:paraId="2257FC31" w14:textId="1F8A67B4" w:rsidR="00FD1CB3" w:rsidRDefault="00FD1CB3">
      <w:r w:rsidRPr="00FD1CB3">
        <w:rPr>
          <w:noProof/>
          <w:lang w:eastAsia="en-AU"/>
        </w:rPr>
        <w:drawing>
          <wp:inline distT="0" distB="0" distL="0" distR="0" wp14:anchorId="73FBF64E" wp14:editId="6248DBEC">
            <wp:extent cx="5868035" cy="66330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68035" cy="6633016"/>
                    </a:xfrm>
                    <a:prstGeom prst="rect">
                      <a:avLst/>
                    </a:prstGeom>
                    <a:noFill/>
                    <a:ln>
                      <a:noFill/>
                    </a:ln>
                  </pic:spPr>
                </pic:pic>
              </a:graphicData>
            </a:graphic>
          </wp:inline>
        </w:drawing>
      </w:r>
    </w:p>
    <w:p w14:paraId="1BB92D99" w14:textId="77777777" w:rsidR="00FD1CB3" w:rsidRDefault="00FD1CB3">
      <w:pPr>
        <w:tabs>
          <w:tab w:val="clear" w:pos="567"/>
        </w:tabs>
        <w:spacing w:before="0" w:after="0"/>
      </w:pPr>
      <w:r>
        <w:br w:type="page"/>
      </w:r>
    </w:p>
    <w:p w14:paraId="005A3406" w14:textId="57FFF0FC" w:rsidR="00AB0E44" w:rsidRDefault="00FD1CB3">
      <w:r w:rsidRPr="00FD1CB3">
        <w:rPr>
          <w:noProof/>
          <w:lang w:eastAsia="en-AU"/>
        </w:rPr>
        <w:drawing>
          <wp:inline distT="0" distB="0" distL="0" distR="0" wp14:anchorId="1489520F" wp14:editId="68E3FB08">
            <wp:extent cx="5868035" cy="87835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68035" cy="8783524"/>
                    </a:xfrm>
                    <a:prstGeom prst="rect">
                      <a:avLst/>
                    </a:prstGeom>
                    <a:noFill/>
                    <a:ln>
                      <a:noFill/>
                    </a:ln>
                  </pic:spPr>
                </pic:pic>
              </a:graphicData>
            </a:graphic>
          </wp:inline>
        </w:drawing>
      </w:r>
    </w:p>
    <w:p w14:paraId="50796351" w14:textId="77777777" w:rsidR="00AB0E44" w:rsidRDefault="00361FA3">
      <w:pPr>
        <w:pStyle w:val="Heading2"/>
        <w:numPr>
          <w:ilvl w:val="0"/>
          <w:numId w:val="0"/>
        </w:numPr>
        <w:rPr>
          <w:szCs w:val="24"/>
        </w:rPr>
      </w:pPr>
      <w:bookmarkStart w:id="144" w:name="_Appendix_B:_Summary"/>
      <w:bookmarkStart w:id="145" w:name="_Appendix_B:_Submissions"/>
      <w:bookmarkStart w:id="146" w:name="_Appendix_C:_Summary"/>
      <w:bookmarkStart w:id="147" w:name="_Toc521069567"/>
      <w:bookmarkEnd w:id="144"/>
      <w:bookmarkEnd w:id="145"/>
      <w:bookmarkEnd w:id="146"/>
      <w:r>
        <w:t>Glossary</w:t>
      </w:r>
      <w:bookmarkEnd w:id="147"/>
    </w:p>
    <w:tbl>
      <w:tblPr>
        <w:tblW w:w="9226" w:type="dxa"/>
        <w:tblBorders>
          <w:top w:val="single" w:sz="4" w:space="0" w:color="auto"/>
          <w:bottom w:val="single" w:sz="4" w:space="0" w:color="auto"/>
        </w:tblBorders>
        <w:tblLayout w:type="fixed"/>
        <w:tblLook w:val="0000" w:firstRow="0" w:lastRow="0" w:firstColumn="0" w:lastColumn="0" w:noHBand="0" w:noVBand="0"/>
      </w:tblPr>
      <w:tblGrid>
        <w:gridCol w:w="3261"/>
        <w:gridCol w:w="5965"/>
      </w:tblGrid>
      <w:tr w:rsidR="00AB0E44" w14:paraId="41D7B66E" w14:textId="77777777" w:rsidTr="00796C68">
        <w:trPr>
          <w:cantSplit/>
          <w:trHeight w:val="379"/>
          <w:tblHeader/>
        </w:trPr>
        <w:tc>
          <w:tcPr>
            <w:tcW w:w="3261" w:type="dxa"/>
          </w:tcPr>
          <w:p w14:paraId="5BE40499" w14:textId="77777777" w:rsidR="00AB0E44" w:rsidRPr="0051252F" w:rsidRDefault="00361FA3">
            <w:pPr>
              <w:pStyle w:val="Glossary"/>
              <w:rPr>
                <w:rStyle w:val="Strong"/>
              </w:rPr>
            </w:pPr>
            <w:r w:rsidRPr="0051252F">
              <w:rPr>
                <w:rStyle w:val="Strong"/>
              </w:rPr>
              <w:t>Term</w:t>
            </w:r>
          </w:p>
        </w:tc>
        <w:tc>
          <w:tcPr>
            <w:tcW w:w="5965" w:type="dxa"/>
          </w:tcPr>
          <w:p w14:paraId="55914A2E" w14:textId="77777777" w:rsidR="00AB0E44" w:rsidRPr="0051252F" w:rsidRDefault="00361FA3">
            <w:pPr>
              <w:pStyle w:val="Glossary"/>
              <w:rPr>
                <w:rStyle w:val="Strong"/>
              </w:rPr>
            </w:pPr>
            <w:r w:rsidRPr="0051252F">
              <w:rPr>
                <w:rStyle w:val="Strong"/>
              </w:rPr>
              <w:t>Definition</w:t>
            </w:r>
          </w:p>
        </w:tc>
      </w:tr>
      <w:tr w:rsidR="00AB0E44" w14:paraId="48140190" w14:textId="77777777" w:rsidTr="00796C68">
        <w:trPr>
          <w:cantSplit/>
          <w:trHeight w:val="379"/>
        </w:trPr>
        <w:tc>
          <w:tcPr>
            <w:tcW w:w="3261" w:type="dxa"/>
          </w:tcPr>
          <w:p w14:paraId="0B7E6D23" w14:textId="03CC0C41" w:rsidR="00AB0E44" w:rsidRDefault="00361FA3">
            <w:pPr>
              <w:pStyle w:val="Glossary"/>
            </w:pPr>
            <w:r>
              <w:t>Break</w:t>
            </w:r>
            <w:r w:rsidR="000D0761">
              <w:t>-</w:t>
            </w:r>
            <w:r>
              <w:t>bulk cargo</w:t>
            </w:r>
          </w:p>
        </w:tc>
        <w:tc>
          <w:tcPr>
            <w:tcW w:w="5965" w:type="dxa"/>
          </w:tcPr>
          <w:p w14:paraId="0C2D7CA8" w14:textId="77777777" w:rsidR="00AB0E44" w:rsidRDefault="00361FA3">
            <w:pPr>
              <w:pStyle w:val="Glossary"/>
            </w:pPr>
            <w:r>
              <w:t>Non-containerised cargo</w:t>
            </w:r>
          </w:p>
        </w:tc>
      </w:tr>
      <w:tr w:rsidR="00AB0E44" w14:paraId="7540731D" w14:textId="77777777" w:rsidTr="00796C68">
        <w:trPr>
          <w:cantSplit/>
          <w:trHeight w:val="379"/>
        </w:trPr>
        <w:tc>
          <w:tcPr>
            <w:tcW w:w="3261" w:type="dxa"/>
          </w:tcPr>
          <w:p w14:paraId="428CC48F" w14:textId="5A9042B7" w:rsidR="00AB0E44" w:rsidRDefault="00361FA3">
            <w:pPr>
              <w:pStyle w:val="Glossary"/>
            </w:pPr>
            <w:r>
              <w:t xml:space="preserve">Country </w:t>
            </w:r>
            <w:r>
              <w:rPr>
                <w:lang w:val="en-AU"/>
              </w:rPr>
              <w:t>a</w:t>
            </w:r>
            <w:proofErr w:type="spellStart"/>
            <w:r>
              <w:t>ction</w:t>
            </w:r>
            <w:proofErr w:type="spellEnd"/>
            <w:r>
              <w:t xml:space="preserve"> </w:t>
            </w:r>
            <w:r>
              <w:rPr>
                <w:lang w:val="en-AU"/>
              </w:rPr>
              <w:t>l</w:t>
            </w:r>
            <w:proofErr w:type="spellStart"/>
            <w:r>
              <w:t>ist</w:t>
            </w:r>
            <w:proofErr w:type="spellEnd"/>
            <w:r>
              <w:t xml:space="preserve"> (CAL)</w:t>
            </w:r>
          </w:p>
        </w:tc>
        <w:tc>
          <w:tcPr>
            <w:tcW w:w="5965" w:type="dxa"/>
          </w:tcPr>
          <w:p w14:paraId="2D5D7439" w14:textId="6B5C5BBE" w:rsidR="00AB0E44" w:rsidRPr="0051252F" w:rsidRDefault="00361FA3">
            <w:pPr>
              <w:pStyle w:val="Glossary"/>
              <w:tabs>
                <w:tab w:val="clear" w:pos="567"/>
                <w:tab w:val="clear" w:pos="1701"/>
              </w:tabs>
              <w:ind w:left="0" w:firstLine="0"/>
              <w:rPr>
                <w:lang w:val="en-AU"/>
              </w:rPr>
            </w:pPr>
            <w:r>
              <w:t>A list of countries from which risk of pests and other biosecurity risks entering Australia on containers or break bulk cargo</w:t>
            </w:r>
            <w:r>
              <w:rPr>
                <w:lang w:val="en-AU"/>
              </w:rPr>
              <w:t xml:space="preserve"> is high</w:t>
            </w:r>
          </w:p>
        </w:tc>
      </w:tr>
      <w:tr w:rsidR="00AB0E44" w14:paraId="773FAC57" w14:textId="77777777" w:rsidTr="00796C68">
        <w:trPr>
          <w:cantSplit/>
          <w:trHeight w:val="379"/>
        </w:trPr>
        <w:tc>
          <w:tcPr>
            <w:tcW w:w="3261" w:type="dxa"/>
          </w:tcPr>
          <w:p w14:paraId="448D1985" w14:textId="77777777" w:rsidR="00AB0E44" w:rsidRDefault="00361FA3">
            <w:pPr>
              <w:pStyle w:val="Glossary"/>
            </w:pPr>
            <w:r>
              <w:t>CAL inspection</w:t>
            </w:r>
          </w:p>
        </w:tc>
        <w:tc>
          <w:tcPr>
            <w:tcW w:w="5965" w:type="dxa"/>
          </w:tcPr>
          <w:p w14:paraId="7418D210" w14:textId="7C98FB3C" w:rsidR="00AB0E44" w:rsidRDefault="00361FA3">
            <w:pPr>
              <w:pStyle w:val="Glossary"/>
              <w:tabs>
                <w:tab w:val="clear" w:pos="567"/>
                <w:tab w:val="clear" w:pos="1701"/>
              </w:tabs>
              <w:ind w:left="0" w:firstLine="0"/>
            </w:pPr>
            <w:r>
              <w:t>A six-sided inspection of a container or break</w:t>
            </w:r>
            <w:r>
              <w:rPr>
                <w:lang w:val="en-AU"/>
              </w:rPr>
              <w:t>-</w:t>
            </w:r>
            <w:r>
              <w:t xml:space="preserve">bulk cargo from a </w:t>
            </w:r>
            <w:r>
              <w:rPr>
                <w:lang w:val="en-AU"/>
              </w:rPr>
              <w:t xml:space="preserve">CAL </w:t>
            </w:r>
            <w:r>
              <w:t>country</w:t>
            </w:r>
          </w:p>
        </w:tc>
      </w:tr>
      <w:tr w:rsidR="00AB0E44" w14:paraId="6A2F2564" w14:textId="77777777" w:rsidTr="00796C68">
        <w:trPr>
          <w:cantSplit/>
          <w:trHeight w:val="379"/>
        </w:trPr>
        <w:tc>
          <w:tcPr>
            <w:tcW w:w="3261" w:type="dxa"/>
          </w:tcPr>
          <w:p w14:paraId="60C3819C" w14:textId="77777777" w:rsidR="00AB0E44" w:rsidRDefault="00361FA3">
            <w:pPr>
              <w:pStyle w:val="Glossary"/>
            </w:pPr>
            <w:r>
              <w:t>Integrated Cargo System (ICS)</w:t>
            </w:r>
          </w:p>
        </w:tc>
        <w:tc>
          <w:tcPr>
            <w:tcW w:w="5965" w:type="dxa"/>
          </w:tcPr>
          <w:p w14:paraId="47502F30" w14:textId="6C10BB14" w:rsidR="00AB0E44" w:rsidRDefault="00361FA3" w:rsidP="00250207">
            <w:pPr>
              <w:pStyle w:val="Glossary"/>
              <w:tabs>
                <w:tab w:val="clear" w:pos="567"/>
                <w:tab w:val="clear" w:pos="1701"/>
              </w:tabs>
              <w:ind w:left="0" w:firstLine="0"/>
            </w:pPr>
            <w:r>
              <w:t xml:space="preserve">A </w:t>
            </w:r>
            <w:r w:rsidR="00796C68">
              <w:rPr>
                <w:lang w:val="en-AU"/>
              </w:rPr>
              <w:t xml:space="preserve">Department of Home Affairs </w:t>
            </w:r>
            <w:r>
              <w:t>owned software system. All sea cargo, import and export, is reported into the ICS</w:t>
            </w:r>
          </w:p>
        </w:tc>
      </w:tr>
      <w:tr w:rsidR="00AB0E44" w14:paraId="3A970E40" w14:textId="77777777" w:rsidTr="00796C68">
        <w:trPr>
          <w:cantSplit/>
          <w:trHeight w:val="379"/>
        </w:trPr>
        <w:tc>
          <w:tcPr>
            <w:tcW w:w="3261" w:type="dxa"/>
          </w:tcPr>
          <w:p w14:paraId="2DBA6F2E" w14:textId="77777777" w:rsidR="00AB0E44" w:rsidRDefault="00361FA3">
            <w:pPr>
              <w:pStyle w:val="Glossary"/>
            </w:pPr>
            <w:r>
              <w:t>Low-level contamination (LLC)</w:t>
            </w:r>
          </w:p>
        </w:tc>
        <w:tc>
          <w:tcPr>
            <w:tcW w:w="5965" w:type="dxa"/>
          </w:tcPr>
          <w:p w14:paraId="6448093B" w14:textId="77777777" w:rsidR="00AB0E44" w:rsidRDefault="00361FA3">
            <w:pPr>
              <w:pStyle w:val="Glossary"/>
              <w:tabs>
                <w:tab w:val="clear" w:pos="567"/>
                <w:tab w:val="clear" w:pos="1701"/>
              </w:tabs>
              <w:ind w:left="0" w:firstLine="0"/>
            </w:pPr>
            <w:r>
              <w:t>Includes low levels of soil, plant or animal-based contamination that can be removed immediately on site in less than five minutes</w:t>
            </w:r>
          </w:p>
        </w:tc>
      </w:tr>
      <w:tr w:rsidR="00AB0E44" w14:paraId="20F826A9" w14:textId="77777777" w:rsidTr="00796C68">
        <w:trPr>
          <w:cantSplit/>
          <w:trHeight w:val="379"/>
        </w:trPr>
        <w:tc>
          <w:tcPr>
            <w:tcW w:w="3261" w:type="dxa"/>
          </w:tcPr>
          <w:p w14:paraId="500A83B7" w14:textId="77777777" w:rsidR="00AB0E44" w:rsidRDefault="00361FA3">
            <w:pPr>
              <w:pStyle w:val="Glossary"/>
            </w:pPr>
            <w:r>
              <w:t>High-level contamination (HCL)</w:t>
            </w:r>
          </w:p>
        </w:tc>
        <w:tc>
          <w:tcPr>
            <w:tcW w:w="5965" w:type="dxa"/>
          </w:tcPr>
          <w:p w14:paraId="3E6BF4D9" w14:textId="77777777" w:rsidR="00AB0E44" w:rsidRDefault="00361FA3">
            <w:pPr>
              <w:pStyle w:val="Glossary"/>
              <w:tabs>
                <w:tab w:val="clear" w:pos="567"/>
                <w:tab w:val="clear" w:pos="1701"/>
              </w:tabs>
              <w:ind w:left="0" w:firstLine="0"/>
            </w:pPr>
            <w:r>
              <w:t>Includes:</w:t>
            </w:r>
          </w:p>
          <w:p w14:paraId="4E9CFBDA" w14:textId="77777777" w:rsidR="00AB0E44" w:rsidRDefault="00361FA3" w:rsidP="0051252F">
            <w:pPr>
              <w:pStyle w:val="Tabletextbullet"/>
            </w:pPr>
            <w:r>
              <w:t>all live pests</w:t>
            </w:r>
          </w:p>
          <w:p w14:paraId="7776BDEC" w14:textId="41B9B8D8" w:rsidR="00AB0E44" w:rsidRDefault="00361FA3" w:rsidP="0051252F">
            <w:pPr>
              <w:pStyle w:val="Tabletextbullet"/>
            </w:pPr>
            <w:r>
              <w:t xml:space="preserve">quantities of soil, plant or animal material that cannot be removed on site in less than </w:t>
            </w:r>
            <w:r w:rsidR="000D0761">
              <w:t>five</w:t>
            </w:r>
            <w:r>
              <w:t xml:space="preserve"> minutes</w:t>
            </w:r>
          </w:p>
          <w:p w14:paraId="2160FDDF" w14:textId="77777777" w:rsidR="00AB0E44" w:rsidRDefault="00361FA3" w:rsidP="0051252F">
            <w:pPr>
              <w:pStyle w:val="Tabletextbullet"/>
            </w:pPr>
            <w:r>
              <w:t>contamination that cannot be accessed for cleaning or where mechanical means are required for removal</w:t>
            </w:r>
          </w:p>
        </w:tc>
      </w:tr>
      <w:tr w:rsidR="00AB0E44" w14:paraId="24E85D78" w14:textId="77777777" w:rsidTr="00796C68">
        <w:trPr>
          <w:cantSplit/>
          <w:trHeight w:val="666"/>
        </w:trPr>
        <w:tc>
          <w:tcPr>
            <w:tcW w:w="3261" w:type="dxa"/>
          </w:tcPr>
          <w:p w14:paraId="6AEFE248" w14:textId="2F4A6F4A" w:rsidR="00AB0E44" w:rsidRDefault="00361FA3" w:rsidP="00796C68">
            <w:pPr>
              <w:pStyle w:val="Glossary"/>
            </w:pPr>
            <w:r>
              <w:t xml:space="preserve">Maritime Arrivals </w:t>
            </w:r>
            <w:r>
              <w:rPr>
                <w:lang w:val="en-AU"/>
              </w:rPr>
              <w:t>Reporting</w:t>
            </w:r>
            <w:r w:rsidR="00796C68">
              <w:rPr>
                <w:lang w:val="en-AU"/>
              </w:rPr>
              <w:t xml:space="preserve"> (MA</w:t>
            </w:r>
            <w:r>
              <w:t>RS)</w:t>
            </w:r>
          </w:p>
        </w:tc>
        <w:tc>
          <w:tcPr>
            <w:tcW w:w="5965" w:type="dxa"/>
          </w:tcPr>
          <w:p w14:paraId="0FC8C98A" w14:textId="77777777" w:rsidR="00AB0E44" w:rsidRDefault="00361FA3">
            <w:pPr>
              <w:pStyle w:val="Glossary"/>
              <w:tabs>
                <w:tab w:val="clear" w:pos="567"/>
                <w:tab w:val="clear" w:pos="1701"/>
              </w:tabs>
              <w:ind w:left="0" w:firstLine="0"/>
            </w:pPr>
            <w:r>
              <w:t>Online system for reporting biosecurity arrival requirements and findings for all international vessels coming to Australia</w:t>
            </w:r>
          </w:p>
        </w:tc>
      </w:tr>
      <w:tr w:rsidR="00AB0E44" w14:paraId="0EE44D01" w14:textId="77777777" w:rsidTr="00796C68">
        <w:trPr>
          <w:cantSplit/>
          <w:trHeight w:val="68"/>
        </w:trPr>
        <w:tc>
          <w:tcPr>
            <w:tcW w:w="3261" w:type="dxa"/>
          </w:tcPr>
          <w:p w14:paraId="01569020" w14:textId="77777777" w:rsidR="00AB0E44" w:rsidRDefault="00361FA3">
            <w:pPr>
              <w:pStyle w:val="Glossary"/>
            </w:pPr>
            <w:r>
              <w:t>S-Cargo</w:t>
            </w:r>
          </w:p>
        </w:tc>
        <w:tc>
          <w:tcPr>
            <w:tcW w:w="5965" w:type="dxa"/>
          </w:tcPr>
          <w:p w14:paraId="70E3D2B2" w14:textId="0CF5206C" w:rsidR="00AB0E44" w:rsidRDefault="00361FA3">
            <w:pPr>
              <w:pStyle w:val="Glossary"/>
              <w:tabs>
                <w:tab w:val="clear" w:pos="567"/>
                <w:tab w:val="clear" w:pos="1701"/>
              </w:tabs>
              <w:ind w:left="0" w:firstLine="0"/>
              <w:rPr>
                <w:lang w:val="en-AU"/>
              </w:rPr>
            </w:pPr>
            <w:r>
              <w:t>Department application that allows biosecurity officers to</w:t>
            </w:r>
            <w:r>
              <w:rPr>
                <w:lang w:val="en-AU"/>
              </w:rPr>
              <w:t>:</w:t>
            </w:r>
          </w:p>
          <w:p w14:paraId="6F16E3E8" w14:textId="32E97C91" w:rsidR="00AB0E44" w:rsidRDefault="00361FA3" w:rsidP="0051252F">
            <w:pPr>
              <w:pStyle w:val="Tabletextbullet"/>
            </w:pPr>
            <w:r>
              <w:t>electronically manage holds and releases on cargo subject to CAL inspection</w:t>
            </w:r>
          </w:p>
          <w:p w14:paraId="5C324094" w14:textId="786B4886" w:rsidR="00AB0E44" w:rsidRDefault="00361FA3" w:rsidP="0051252F">
            <w:pPr>
              <w:pStyle w:val="Tabletextbullet"/>
            </w:pPr>
            <w:r>
              <w:t>update cargo status in the ICS</w:t>
            </w:r>
          </w:p>
        </w:tc>
      </w:tr>
      <w:tr w:rsidR="00AB0E44" w14:paraId="2ECB483A" w14:textId="77777777" w:rsidTr="00796C68">
        <w:trPr>
          <w:cantSplit/>
          <w:trHeight w:val="379"/>
        </w:trPr>
        <w:tc>
          <w:tcPr>
            <w:tcW w:w="3261" w:type="dxa"/>
            <w:tcBorders>
              <w:bottom w:val="nil"/>
            </w:tcBorders>
          </w:tcPr>
          <w:p w14:paraId="676ACDAB" w14:textId="77777777" w:rsidR="00AB0E44" w:rsidRDefault="00361FA3">
            <w:pPr>
              <w:pStyle w:val="Glossary"/>
            </w:pPr>
            <w:r>
              <w:t xml:space="preserve">Sea Container Hygiene System </w:t>
            </w:r>
          </w:p>
        </w:tc>
        <w:tc>
          <w:tcPr>
            <w:tcW w:w="5965" w:type="dxa"/>
            <w:tcBorders>
              <w:bottom w:val="nil"/>
            </w:tcBorders>
          </w:tcPr>
          <w:p w14:paraId="0760FCB4" w14:textId="524559C9" w:rsidR="00AB0E44" w:rsidRDefault="00361FA3">
            <w:pPr>
              <w:pStyle w:val="Glossary"/>
              <w:tabs>
                <w:tab w:val="clear" w:pos="567"/>
                <w:tab w:val="clear" w:pos="1701"/>
              </w:tabs>
              <w:ind w:left="0" w:firstLine="0"/>
            </w:pPr>
            <w:r>
              <w:t>An Australian, N</w:t>
            </w:r>
            <w:r w:rsidR="006C3DB6">
              <w:rPr>
                <w:lang w:val="en-AU"/>
              </w:rPr>
              <w:t xml:space="preserve">ew </w:t>
            </w:r>
            <w:r>
              <w:t>Z</w:t>
            </w:r>
            <w:r w:rsidR="006C3DB6">
              <w:rPr>
                <w:lang w:val="en-AU"/>
              </w:rPr>
              <w:t>ealand</w:t>
            </w:r>
            <w:r>
              <w:t xml:space="preserve"> and industry initiative to manage biosecurity risks associated with sea containers at the port of loading</w:t>
            </w:r>
          </w:p>
        </w:tc>
      </w:tr>
      <w:tr w:rsidR="00AB0E44" w14:paraId="6FA90180" w14:textId="77777777" w:rsidTr="00796C68">
        <w:trPr>
          <w:cantSplit/>
          <w:trHeight w:val="379"/>
        </w:trPr>
        <w:tc>
          <w:tcPr>
            <w:tcW w:w="3261" w:type="dxa"/>
            <w:tcBorders>
              <w:top w:val="nil"/>
              <w:bottom w:val="single" w:sz="4" w:space="0" w:color="auto"/>
            </w:tcBorders>
          </w:tcPr>
          <w:p w14:paraId="479EB3CF" w14:textId="77777777" w:rsidR="00AB0E44" w:rsidRDefault="00361FA3">
            <w:pPr>
              <w:pStyle w:val="Glossary"/>
            </w:pPr>
            <w:r>
              <w:t>Vessel Compliance System (VCS)</w:t>
            </w:r>
          </w:p>
        </w:tc>
        <w:tc>
          <w:tcPr>
            <w:tcW w:w="5965" w:type="dxa"/>
            <w:tcBorders>
              <w:top w:val="nil"/>
              <w:bottom w:val="single" w:sz="4" w:space="0" w:color="auto"/>
            </w:tcBorders>
          </w:tcPr>
          <w:p w14:paraId="2E64E4C4" w14:textId="77777777" w:rsidR="00AB0E44" w:rsidRDefault="00361FA3">
            <w:pPr>
              <w:pStyle w:val="Glossary"/>
              <w:tabs>
                <w:tab w:val="clear" w:pos="567"/>
                <w:tab w:val="clear" w:pos="1701"/>
              </w:tabs>
              <w:ind w:left="0" w:firstLine="0"/>
            </w:pPr>
            <w:r>
              <w:t>Online system for recording vessels’ compliance with biosecurity requirements and resultant level of inspection</w:t>
            </w:r>
          </w:p>
        </w:tc>
      </w:tr>
    </w:tbl>
    <w:p w14:paraId="41AB8496" w14:textId="77777777" w:rsidR="00AB0E44" w:rsidRDefault="00AB0E44">
      <w:pPr>
        <w:tabs>
          <w:tab w:val="clear" w:pos="567"/>
        </w:tabs>
        <w:spacing w:before="0" w:after="0"/>
      </w:pPr>
    </w:p>
    <w:p w14:paraId="6C0A3659" w14:textId="77777777" w:rsidR="00AB0E44" w:rsidRDefault="00361FA3">
      <w:pPr>
        <w:pStyle w:val="Heading2"/>
        <w:numPr>
          <w:ilvl w:val="0"/>
          <w:numId w:val="0"/>
        </w:numPr>
        <w:ind w:left="907" w:hanging="907"/>
      </w:pPr>
      <w:bookmarkStart w:id="148" w:name="_Toc521069568"/>
      <w:r w:rsidRPr="0051252F">
        <w:t>References</w:t>
      </w:r>
      <w:bookmarkEnd w:id="148"/>
    </w:p>
    <w:p w14:paraId="5ED3D596" w14:textId="14B7EBB1" w:rsidR="00AB0E44" w:rsidRDefault="00361FA3">
      <w:pPr>
        <w:spacing w:after="0"/>
        <w:ind w:left="720" w:hanging="720"/>
        <w:rPr>
          <w:rFonts w:ascii="Calibri" w:hAnsi="Calibri"/>
          <w:i/>
          <w:noProof/>
          <w:lang w:val="en-US"/>
        </w:rPr>
      </w:pPr>
      <w:r>
        <w:rPr>
          <w:rFonts w:ascii="Calibri" w:hAnsi="Calibri"/>
          <w:noProof/>
          <w:lang w:val="en-US"/>
        </w:rPr>
        <w:t>AWH 2009</w:t>
      </w:r>
      <w:r w:rsidR="000B2C77">
        <w:rPr>
          <w:rFonts w:ascii="Calibri" w:hAnsi="Calibri"/>
          <w:noProof/>
          <w:lang w:val="en-US"/>
        </w:rPr>
        <w:t>,</w:t>
      </w:r>
      <w:r>
        <w:rPr>
          <w:rFonts w:ascii="Calibri" w:hAnsi="Calibri"/>
          <w:i/>
          <w:noProof/>
          <w:lang w:val="en-US"/>
        </w:rPr>
        <w:t xml:space="preserve"> </w:t>
      </w:r>
      <w:hyperlink r:id="rId50" w:history="1">
        <w:r w:rsidRPr="0051252F">
          <w:rPr>
            <w:rStyle w:val="Hyperlink"/>
          </w:rPr>
          <w:t>Sea container washing system sets a benchmark</w:t>
        </w:r>
      </w:hyperlink>
      <w:r w:rsidR="000B2C77">
        <w:rPr>
          <w:rFonts w:ascii="Calibri" w:hAnsi="Calibri"/>
          <w:noProof/>
          <w:lang w:val="en-US"/>
        </w:rPr>
        <w:t>,</w:t>
      </w:r>
      <w:r>
        <w:rPr>
          <w:rFonts w:ascii="Calibri" w:hAnsi="Calibri"/>
          <w:i/>
          <w:noProof/>
          <w:lang w:val="en-US"/>
        </w:rPr>
        <w:t xml:space="preserve"> </w:t>
      </w:r>
      <w:r w:rsidR="000B2C77">
        <w:rPr>
          <w:rFonts w:ascii="Calibri" w:hAnsi="Calibri"/>
          <w:noProof/>
          <w:lang w:val="en-US"/>
        </w:rPr>
        <w:t>Logistics &amp; Materials Handling, 10 November 2009, a</w:t>
      </w:r>
      <w:r w:rsidRPr="0051252F">
        <w:rPr>
          <w:rFonts w:ascii="Calibri" w:hAnsi="Calibri"/>
          <w:noProof/>
          <w:lang w:val="en-US"/>
        </w:rPr>
        <w:t>ccessed 30 January 2018</w:t>
      </w:r>
      <w:r>
        <w:rPr>
          <w:rFonts w:ascii="Calibri" w:hAnsi="Calibri"/>
          <w:i/>
          <w:noProof/>
          <w:lang w:val="en-US"/>
        </w:rPr>
        <w:t>.</w:t>
      </w:r>
    </w:p>
    <w:p w14:paraId="7FB5D300" w14:textId="22434B99" w:rsidR="00AB0E44" w:rsidRDefault="00361FA3">
      <w:pPr>
        <w:spacing w:after="0"/>
        <w:ind w:left="720" w:hanging="720"/>
        <w:rPr>
          <w:rFonts w:ascii="Calibri" w:hAnsi="Calibri"/>
          <w:noProof/>
          <w:szCs w:val="24"/>
          <w:lang w:val="en-US"/>
        </w:rPr>
      </w:pPr>
      <w:r>
        <w:rPr>
          <w:rFonts w:ascii="Calibri" w:hAnsi="Calibri"/>
          <w:noProof/>
          <w:szCs w:val="24"/>
          <w:lang w:val="en-US"/>
        </w:rPr>
        <w:t>Beale, R, Fairbrother, J, Inglis, A &amp; Trebeck, D 2008</w:t>
      </w:r>
      <w:r w:rsidR="000B2C77">
        <w:rPr>
          <w:rFonts w:ascii="Calibri" w:hAnsi="Calibri"/>
          <w:noProof/>
          <w:szCs w:val="24"/>
          <w:lang w:val="en-US"/>
        </w:rPr>
        <w:t>,</w:t>
      </w:r>
      <w:r>
        <w:rPr>
          <w:rFonts w:ascii="Calibri" w:hAnsi="Calibri"/>
          <w:noProof/>
          <w:szCs w:val="24"/>
          <w:lang w:val="en-US"/>
        </w:rPr>
        <w:t xml:space="preserve"> </w:t>
      </w:r>
      <w:r w:rsidRPr="0051252F">
        <w:rPr>
          <w:rFonts w:ascii="Calibri" w:hAnsi="Calibri"/>
          <w:i/>
          <w:noProof/>
          <w:szCs w:val="24"/>
          <w:lang w:val="en-US"/>
        </w:rPr>
        <w:t xml:space="preserve">One </w:t>
      </w:r>
      <w:r w:rsidR="000B2C77" w:rsidRPr="0051252F">
        <w:rPr>
          <w:rFonts w:ascii="Calibri" w:hAnsi="Calibri"/>
          <w:i/>
          <w:noProof/>
          <w:szCs w:val="24"/>
          <w:lang w:val="en-US"/>
        </w:rPr>
        <w:t>b</w:t>
      </w:r>
      <w:r w:rsidRPr="0051252F">
        <w:rPr>
          <w:rFonts w:ascii="Calibri" w:hAnsi="Calibri"/>
          <w:i/>
          <w:noProof/>
          <w:szCs w:val="24"/>
          <w:lang w:val="en-US"/>
        </w:rPr>
        <w:t>iosecurity: a working pertnership</w:t>
      </w:r>
      <w:r w:rsidR="000B2C77">
        <w:rPr>
          <w:rFonts w:ascii="Calibri" w:hAnsi="Calibri"/>
          <w:noProof/>
          <w:szCs w:val="24"/>
          <w:lang w:val="en-US"/>
        </w:rPr>
        <w:t>,</w:t>
      </w:r>
      <w:r>
        <w:rPr>
          <w:rFonts w:ascii="Calibri" w:hAnsi="Calibri"/>
          <w:noProof/>
          <w:szCs w:val="24"/>
          <w:lang w:val="en-US"/>
        </w:rPr>
        <w:t xml:space="preserve"> The independent review of Australia’s quarantine and biosecurity arrangements, </w:t>
      </w:r>
      <w:r>
        <w:rPr>
          <w:rFonts w:ascii="Calibri" w:hAnsi="Calibri"/>
          <w:noProof/>
          <w:szCs w:val="24"/>
        </w:rPr>
        <w:t>Quarantine and Biosecurity review panel report to the Australian Government, Department of Agriculture Fisheries and Forestry, Canberra, 30 September.</w:t>
      </w:r>
    </w:p>
    <w:p w14:paraId="7D6C9C56" w14:textId="4F17E336" w:rsidR="00AB0E44" w:rsidRDefault="00361FA3">
      <w:pPr>
        <w:spacing w:after="0"/>
        <w:ind w:left="720" w:hanging="720"/>
        <w:rPr>
          <w:rFonts w:ascii="Calibri" w:hAnsi="Calibri"/>
          <w:noProof/>
          <w:szCs w:val="24"/>
          <w:lang w:val="en-US"/>
        </w:rPr>
      </w:pPr>
      <w:r>
        <w:rPr>
          <w:rFonts w:ascii="Calibri" w:hAnsi="Calibri"/>
          <w:noProof/>
          <w:szCs w:val="24"/>
          <w:lang w:val="en-US"/>
        </w:rPr>
        <w:t>BITRE 2014</w:t>
      </w:r>
      <w:r w:rsidR="000B2C77">
        <w:rPr>
          <w:rFonts w:ascii="Calibri" w:hAnsi="Calibri"/>
          <w:noProof/>
          <w:szCs w:val="24"/>
          <w:lang w:val="en-US"/>
        </w:rPr>
        <w:t>,</w:t>
      </w:r>
      <w:r>
        <w:rPr>
          <w:rFonts w:ascii="Calibri" w:hAnsi="Calibri"/>
          <w:noProof/>
          <w:szCs w:val="24"/>
          <w:lang w:val="en-US"/>
        </w:rPr>
        <w:t xml:space="preserve"> </w:t>
      </w:r>
      <w:r>
        <w:rPr>
          <w:rFonts w:ascii="Calibri" w:hAnsi="Calibri"/>
          <w:i/>
          <w:noProof/>
          <w:szCs w:val="24"/>
          <w:lang w:val="en-US"/>
        </w:rPr>
        <w:t>Containerised and non-containerised trade through Australian ports to 2032–33</w:t>
      </w:r>
      <w:r w:rsidR="000B2C77">
        <w:rPr>
          <w:rFonts w:ascii="Calibri" w:hAnsi="Calibri"/>
          <w:noProof/>
          <w:szCs w:val="24"/>
          <w:lang w:val="en-US"/>
        </w:rPr>
        <w:t>,</w:t>
      </w:r>
      <w:r>
        <w:rPr>
          <w:rFonts w:ascii="Calibri" w:hAnsi="Calibri"/>
          <w:noProof/>
          <w:szCs w:val="24"/>
          <w:lang w:val="en-US"/>
        </w:rPr>
        <w:t xml:space="preserve"> Research report 138, Bureau of Infrastructure, Transport and Regional Economics, Canberra.</w:t>
      </w:r>
    </w:p>
    <w:p w14:paraId="4AB67A77" w14:textId="26008BE1" w:rsidR="00AB0E44" w:rsidRDefault="00361FA3">
      <w:pPr>
        <w:spacing w:after="0"/>
        <w:ind w:left="720" w:hanging="720"/>
        <w:rPr>
          <w:rFonts w:ascii="Calibri" w:hAnsi="Calibri"/>
          <w:noProof/>
          <w:szCs w:val="24"/>
          <w:lang w:val="en-US"/>
        </w:rPr>
      </w:pPr>
      <w:r>
        <w:rPr>
          <w:rFonts w:ascii="Calibri" w:hAnsi="Calibri"/>
          <w:noProof/>
          <w:szCs w:val="24"/>
          <w:lang w:val="en-US"/>
        </w:rPr>
        <w:t xml:space="preserve">Brockerhoff, EG, Bulman, LS, Liebhold, AM &amp; Monge, JJ 2016, </w:t>
      </w:r>
      <w:r>
        <w:rPr>
          <w:rFonts w:ascii="Calibri" w:hAnsi="Calibri"/>
          <w:i/>
          <w:noProof/>
          <w:szCs w:val="24"/>
          <w:lang w:val="en-US"/>
        </w:rPr>
        <w:t xml:space="preserve">Role of sea containers in unintentional movement of invasive contaminating pests (so-called </w:t>
      </w:r>
      <w:r w:rsidR="000B2C77">
        <w:rPr>
          <w:rFonts w:ascii="Calibri" w:hAnsi="Calibri"/>
          <w:i/>
          <w:noProof/>
          <w:szCs w:val="24"/>
          <w:lang w:val="en-US"/>
        </w:rPr>
        <w:t>‘</w:t>
      </w:r>
      <w:r>
        <w:rPr>
          <w:rFonts w:ascii="Calibri" w:hAnsi="Calibri"/>
          <w:i/>
          <w:noProof/>
          <w:szCs w:val="24"/>
          <w:lang w:val="en-US"/>
        </w:rPr>
        <w:t>hitchhikers</w:t>
      </w:r>
      <w:r w:rsidR="000B2C77">
        <w:rPr>
          <w:rFonts w:ascii="Calibri" w:hAnsi="Calibri"/>
          <w:i/>
          <w:noProof/>
          <w:szCs w:val="24"/>
          <w:lang w:val="en-US"/>
        </w:rPr>
        <w:t>’</w:t>
      </w:r>
      <w:r>
        <w:rPr>
          <w:rFonts w:ascii="Calibri" w:hAnsi="Calibri"/>
          <w:i/>
          <w:noProof/>
          <w:szCs w:val="24"/>
          <w:lang w:val="en-US"/>
        </w:rPr>
        <w:t>), and opportunities for mitigation measures</w:t>
      </w:r>
      <w:r>
        <w:rPr>
          <w:rFonts w:ascii="Calibri" w:hAnsi="Calibri"/>
          <w:noProof/>
          <w:szCs w:val="24"/>
          <w:lang w:val="en-US"/>
        </w:rPr>
        <w:t>, Commission on Phytosanitary Measures, Eleventh session, Rome, 4</w:t>
      </w:r>
      <w:r w:rsidR="000B2C77">
        <w:rPr>
          <w:rFonts w:ascii="Calibri" w:hAnsi="Calibri"/>
          <w:noProof/>
          <w:szCs w:val="24"/>
          <w:lang w:val="en-US"/>
        </w:rPr>
        <w:t>–</w:t>
      </w:r>
      <w:r>
        <w:rPr>
          <w:rFonts w:ascii="Calibri" w:hAnsi="Calibri"/>
          <w:noProof/>
          <w:szCs w:val="24"/>
          <w:lang w:val="en-US"/>
        </w:rPr>
        <w:t>8 April 2016.</w:t>
      </w:r>
    </w:p>
    <w:p w14:paraId="5584FE5F" w14:textId="7E02EBEF" w:rsidR="00AB0E44" w:rsidRDefault="00361FA3">
      <w:pPr>
        <w:spacing w:after="0"/>
        <w:ind w:left="720" w:hanging="720"/>
        <w:rPr>
          <w:rFonts w:ascii="Calibri" w:hAnsi="Calibri"/>
          <w:noProof/>
          <w:szCs w:val="24"/>
          <w:lang w:val="en-US"/>
        </w:rPr>
      </w:pPr>
      <w:r>
        <w:rPr>
          <w:rFonts w:ascii="Calibri" w:hAnsi="Calibri"/>
          <w:noProof/>
          <w:szCs w:val="24"/>
          <w:lang w:val="en-US"/>
        </w:rPr>
        <w:t>CABI 2013</w:t>
      </w:r>
      <w:r>
        <w:rPr>
          <w:rFonts w:ascii="Calibri" w:hAnsi="Calibri"/>
          <w:i/>
          <w:noProof/>
          <w:szCs w:val="24"/>
          <w:lang w:val="en-US"/>
        </w:rPr>
        <w:t>, Biological control of brown marmorated stink bug</w:t>
      </w:r>
      <w:r>
        <w:rPr>
          <w:rFonts w:ascii="Calibri" w:hAnsi="Calibri"/>
          <w:noProof/>
          <w:szCs w:val="24"/>
          <w:lang w:val="en-US"/>
        </w:rPr>
        <w:t>, 2013–2019, Centre for Agriculture and Biosciences International.</w:t>
      </w:r>
    </w:p>
    <w:p w14:paraId="6A1F65DD" w14:textId="77777777" w:rsidR="00AB0E44" w:rsidRDefault="00361FA3">
      <w:pPr>
        <w:spacing w:after="0"/>
        <w:ind w:left="720" w:hanging="720"/>
        <w:rPr>
          <w:rFonts w:ascii="Calibri" w:hAnsi="Calibri"/>
          <w:noProof/>
          <w:szCs w:val="24"/>
          <w:lang w:val="en-US"/>
        </w:rPr>
      </w:pPr>
      <w:r>
        <w:rPr>
          <w:rFonts w:ascii="Calibri" w:hAnsi="Calibri"/>
          <w:noProof/>
          <w:szCs w:val="24"/>
          <w:lang w:val="en-US"/>
        </w:rPr>
        <w:t xml:space="preserve">Capinera, JL 2011, </w:t>
      </w:r>
      <w:r>
        <w:rPr>
          <w:rFonts w:ascii="Calibri" w:hAnsi="Calibri"/>
          <w:i/>
          <w:noProof/>
          <w:szCs w:val="24"/>
          <w:lang w:val="en-US"/>
        </w:rPr>
        <w:t>Giant African land snail in Florida</w:t>
      </w:r>
      <w:r>
        <w:rPr>
          <w:rFonts w:ascii="Calibri" w:hAnsi="Calibri"/>
          <w:noProof/>
          <w:szCs w:val="24"/>
          <w:lang w:val="en-US"/>
        </w:rPr>
        <w:t>, UF/IFAS Extension ENY-512, Department of Entomology and Nematology, University of Florida.</w:t>
      </w:r>
    </w:p>
    <w:p w14:paraId="5193C9F1" w14:textId="51222EAD" w:rsidR="00AB0E44" w:rsidRDefault="00361FA3">
      <w:pPr>
        <w:spacing w:after="0"/>
        <w:ind w:left="720" w:hanging="720"/>
        <w:rPr>
          <w:rFonts w:ascii="Calibri" w:hAnsi="Calibri"/>
          <w:noProof/>
          <w:szCs w:val="24"/>
          <w:lang w:val="en-US"/>
        </w:rPr>
      </w:pPr>
      <w:r>
        <w:rPr>
          <w:rFonts w:ascii="Calibri" w:hAnsi="Calibri"/>
          <w:noProof/>
          <w:szCs w:val="24"/>
          <w:lang w:val="en-US"/>
        </w:rPr>
        <w:t xml:space="preserve">Day, C, &amp; White, B 2016, </w:t>
      </w:r>
      <w:r>
        <w:rPr>
          <w:rFonts w:ascii="Calibri" w:hAnsi="Calibri"/>
          <w:i/>
          <w:noProof/>
          <w:szCs w:val="24"/>
          <w:lang w:val="en-US"/>
        </w:rPr>
        <w:t>Khapra beetle, Trogoderma granarium interceptions and eradications in Australia and around the world</w:t>
      </w:r>
      <w:r w:rsidR="000B2C77">
        <w:rPr>
          <w:rFonts w:ascii="Calibri" w:hAnsi="Calibri"/>
          <w:noProof/>
          <w:szCs w:val="24"/>
          <w:lang w:val="en-US"/>
        </w:rPr>
        <w:t>,</w:t>
      </w:r>
      <w:r>
        <w:rPr>
          <w:rFonts w:ascii="Calibri" w:hAnsi="Calibri"/>
          <w:noProof/>
          <w:szCs w:val="24"/>
          <w:lang w:val="en-US"/>
        </w:rPr>
        <w:t xml:space="preserve"> SARE Working paper 1609, School of Agriculture and Resource Economics, University of Western Australia, Crawley, Australia. doi: 10.13140/RG.2.2.23786.31682.</w:t>
      </w:r>
    </w:p>
    <w:p w14:paraId="2DB709A7" w14:textId="7E69DB35" w:rsidR="00AB0E44" w:rsidRDefault="00361FA3">
      <w:pPr>
        <w:spacing w:after="0"/>
        <w:ind w:left="720" w:hanging="720"/>
        <w:rPr>
          <w:rFonts w:ascii="Calibri" w:hAnsi="Calibri"/>
          <w:noProof/>
          <w:szCs w:val="24"/>
          <w:lang w:val="en-US"/>
        </w:rPr>
      </w:pPr>
      <w:r>
        <w:rPr>
          <w:rFonts w:ascii="Calibri" w:hAnsi="Calibri"/>
          <w:noProof/>
          <w:szCs w:val="24"/>
          <w:lang w:val="en-US"/>
        </w:rPr>
        <w:t xml:space="preserve">DEH 2000, </w:t>
      </w:r>
      <w:r>
        <w:rPr>
          <w:rFonts w:ascii="Calibri" w:hAnsi="Calibri"/>
          <w:i/>
          <w:noProof/>
          <w:szCs w:val="24"/>
          <w:lang w:val="en-US"/>
        </w:rPr>
        <w:t xml:space="preserve">The </w:t>
      </w:r>
      <w:r w:rsidR="000B2C77">
        <w:rPr>
          <w:rFonts w:ascii="Calibri" w:hAnsi="Calibri"/>
          <w:i/>
          <w:noProof/>
          <w:szCs w:val="24"/>
          <w:lang w:val="en-US"/>
        </w:rPr>
        <w:t>e</w:t>
      </w:r>
      <w:r>
        <w:rPr>
          <w:rFonts w:ascii="Calibri" w:hAnsi="Calibri"/>
          <w:i/>
          <w:noProof/>
          <w:szCs w:val="24"/>
          <w:lang w:val="en-US"/>
        </w:rPr>
        <w:t>ffectiveness of Australia’s response to the black striped mussel incursion in Darwin, Australia</w:t>
      </w:r>
      <w:r>
        <w:rPr>
          <w:rFonts w:ascii="Calibri" w:hAnsi="Calibri"/>
          <w:noProof/>
          <w:szCs w:val="24"/>
          <w:lang w:val="en-US"/>
        </w:rPr>
        <w:t>, A report of the Marine Pest Incursion Management Workshop 27–28 August 1999, Department of Environment and Heritage, Canberra.</w:t>
      </w:r>
    </w:p>
    <w:p w14:paraId="61FA231C" w14:textId="3E0B69FA" w:rsidR="00AB0E44" w:rsidRDefault="00361FA3">
      <w:pPr>
        <w:spacing w:after="0"/>
        <w:ind w:left="720" w:hanging="720"/>
        <w:rPr>
          <w:rFonts w:ascii="Calibri" w:hAnsi="Calibri"/>
          <w:noProof/>
          <w:szCs w:val="24"/>
          <w:lang w:val="en-US"/>
        </w:rPr>
      </w:pPr>
      <w:r>
        <w:rPr>
          <w:rFonts w:ascii="Calibri" w:hAnsi="Calibri"/>
          <w:noProof/>
          <w:szCs w:val="24"/>
          <w:lang w:val="en-US"/>
        </w:rPr>
        <w:t xml:space="preserve">Doherty, TS, Glen, AS, Nimmo, DG, Ritchie, EG &amp; Dickman, CR 2016, </w:t>
      </w:r>
      <w:r w:rsidR="000B2C77">
        <w:rPr>
          <w:rFonts w:ascii="Calibri" w:hAnsi="Calibri"/>
          <w:noProof/>
          <w:szCs w:val="24"/>
          <w:lang w:val="en-US"/>
        </w:rPr>
        <w:t>‘</w:t>
      </w:r>
      <w:r>
        <w:rPr>
          <w:rFonts w:ascii="Calibri" w:hAnsi="Calibri"/>
          <w:noProof/>
          <w:szCs w:val="24"/>
          <w:lang w:val="en-US"/>
        </w:rPr>
        <w:t>Invasive predators and global diversity loss</w:t>
      </w:r>
      <w:r w:rsidR="000B2C77">
        <w:rPr>
          <w:rFonts w:ascii="Calibri" w:hAnsi="Calibri"/>
          <w:noProof/>
          <w:szCs w:val="24"/>
          <w:lang w:val="en-US"/>
        </w:rPr>
        <w:t>’</w:t>
      </w:r>
      <w:r>
        <w:rPr>
          <w:rFonts w:ascii="Calibri" w:hAnsi="Calibri"/>
          <w:noProof/>
          <w:szCs w:val="24"/>
          <w:lang w:val="en-US"/>
        </w:rPr>
        <w:t xml:space="preserve">, </w:t>
      </w:r>
      <w:r w:rsidRPr="0051252F">
        <w:rPr>
          <w:rFonts w:ascii="Calibri" w:hAnsi="Calibri"/>
          <w:i/>
          <w:noProof/>
          <w:szCs w:val="24"/>
          <w:lang w:val="en-US"/>
        </w:rPr>
        <w:t>Proceedings of the National Academy of Sciences of the United States of America</w:t>
      </w:r>
      <w:r>
        <w:rPr>
          <w:rFonts w:ascii="Calibri" w:hAnsi="Calibri"/>
          <w:noProof/>
          <w:szCs w:val="24"/>
          <w:lang w:val="en-US"/>
        </w:rPr>
        <w:t>, vol. 113, no. 40, pp. 11261–11265.</w:t>
      </w:r>
    </w:p>
    <w:p w14:paraId="5421C209" w14:textId="56ED810C" w:rsidR="00AB0E44" w:rsidRDefault="00361FA3">
      <w:pPr>
        <w:spacing w:after="0"/>
        <w:ind w:left="720" w:hanging="720"/>
        <w:rPr>
          <w:rFonts w:ascii="Calibri" w:hAnsi="Calibri"/>
          <w:noProof/>
          <w:szCs w:val="24"/>
          <w:lang w:val="en-US"/>
        </w:rPr>
      </w:pPr>
      <w:r>
        <w:rPr>
          <w:rFonts w:ascii="Calibri" w:hAnsi="Calibri"/>
          <w:noProof/>
          <w:szCs w:val="24"/>
          <w:lang w:val="en-US"/>
        </w:rPr>
        <w:t xml:space="preserve">Gillespie, R, &amp; Bennett, J 2017, </w:t>
      </w:r>
      <w:r w:rsidR="000B2C77">
        <w:rPr>
          <w:rFonts w:ascii="Calibri" w:hAnsi="Calibri"/>
          <w:noProof/>
          <w:szCs w:val="24"/>
          <w:lang w:val="en-US"/>
        </w:rPr>
        <w:t>‘</w:t>
      </w:r>
      <w:r>
        <w:rPr>
          <w:rFonts w:ascii="Calibri" w:hAnsi="Calibri"/>
          <w:noProof/>
          <w:szCs w:val="24"/>
          <w:lang w:val="en-US"/>
        </w:rPr>
        <w:t>Costs and benefits of rodent eradication on Lord Howe Island, Australia</w:t>
      </w:r>
      <w:r w:rsidR="000B2C77">
        <w:rPr>
          <w:rFonts w:ascii="Calibri" w:hAnsi="Calibri"/>
          <w:noProof/>
          <w:szCs w:val="24"/>
          <w:lang w:val="en-US"/>
        </w:rPr>
        <w:t>’</w:t>
      </w:r>
      <w:r>
        <w:rPr>
          <w:rFonts w:ascii="Calibri" w:hAnsi="Calibri"/>
          <w:noProof/>
          <w:szCs w:val="24"/>
          <w:lang w:val="en-US"/>
        </w:rPr>
        <w:t xml:space="preserve">, </w:t>
      </w:r>
      <w:r>
        <w:rPr>
          <w:rFonts w:ascii="Calibri" w:hAnsi="Calibri"/>
          <w:i/>
          <w:noProof/>
          <w:szCs w:val="24"/>
          <w:lang w:val="en-US"/>
        </w:rPr>
        <w:t>Ecological Economics</w:t>
      </w:r>
      <w:r>
        <w:rPr>
          <w:rFonts w:ascii="Calibri" w:hAnsi="Calibri"/>
          <w:noProof/>
          <w:szCs w:val="24"/>
          <w:lang w:val="en-US"/>
        </w:rPr>
        <w:t>, vol.</w:t>
      </w:r>
      <w:r w:rsidR="000B2C77">
        <w:rPr>
          <w:rFonts w:ascii="Calibri" w:hAnsi="Calibri"/>
          <w:noProof/>
          <w:szCs w:val="24"/>
          <w:lang w:val="en-US"/>
        </w:rPr>
        <w:t xml:space="preserve"> </w:t>
      </w:r>
      <w:r>
        <w:rPr>
          <w:rFonts w:ascii="Calibri" w:hAnsi="Calibri"/>
          <w:noProof/>
          <w:szCs w:val="24"/>
          <w:lang w:val="en-US"/>
        </w:rPr>
        <w:t>140, pp. 215–224.</w:t>
      </w:r>
    </w:p>
    <w:p w14:paraId="2E1DBD72" w14:textId="707C9268" w:rsidR="00AB0E44" w:rsidRDefault="00361FA3">
      <w:pPr>
        <w:spacing w:after="0"/>
        <w:ind w:left="720" w:hanging="720"/>
        <w:rPr>
          <w:rFonts w:ascii="Calibri" w:hAnsi="Calibri"/>
          <w:i/>
          <w:noProof/>
          <w:lang w:val="en-US"/>
        </w:rPr>
      </w:pPr>
      <w:r>
        <w:rPr>
          <w:rFonts w:ascii="Calibri" w:hAnsi="Calibri"/>
          <w:noProof/>
          <w:lang w:val="en-US"/>
        </w:rPr>
        <w:t>Hafi, A &amp; Addai, D. 2014.</w:t>
      </w:r>
      <w:r>
        <w:rPr>
          <w:rFonts w:ascii="Calibri" w:hAnsi="Calibri"/>
          <w:i/>
          <w:noProof/>
          <w:lang w:val="en-US"/>
        </w:rPr>
        <w:t xml:space="preserve"> NFD Economic consequences for species representing different pest groups affecting portfolio industries</w:t>
      </w:r>
      <w:r w:rsidR="000B2C77">
        <w:rPr>
          <w:rFonts w:ascii="Calibri" w:hAnsi="Calibri"/>
          <w:noProof/>
          <w:lang w:val="en-US"/>
        </w:rPr>
        <w:t>,</w:t>
      </w:r>
      <w:r>
        <w:rPr>
          <w:rFonts w:ascii="Calibri" w:hAnsi="Calibri"/>
          <w:i/>
          <w:noProof/>
          <w:lang w:val="en-US"/>
        </w:rPr>
        <w:t xml:space="preserve"> </w:t>
      </w:r>
      <w:r>
        <w:rPr>
          <w:rFonts w:ascii="Calibri" w:hAnsi="Calibri"/>
          <w:noProof/>
          <w:lang w:val="en-US"/>
        </w:rPr>
        <w:t>Australian Bureau of Agricultural and Resource Economics,</w:t>
      </w:r>
      <w:r>
        <w:rPr>
          <w:rFonts w:ascii="Calibri" w:hAnsi="Calibri"/>
          <w:i/>
          <w:noProof/>
          <w:lang w:val="en-US"/>
        </w:rPr>
        <w:t xml:space="preserve"> </w:t>
      </w:r>
      <w:r>
        <w:rPr>
          <w:rFonts w:ascii="Calibri" w:hAnsi="Calibri"/>
          <w:noProof/>
          <w:lang w:val="en-US"/>
        </w:rPr>
        <w:t>Canberra</w:t>
      </w:r>
      <w:r>
        <w:rPr>
          <w:rFonts w:ascii="Calibri" w:hAnsi="Calibri"/>
          <w:i/>
          <w:noProof/>
          <w:lang w:val="en-US"/>
        </w:rPr>
        <w:t>.</w:t>
      </w:r>
    </w:p>
    <w:p w14:paraId="0FC95007" w14:textId="2B899BF9" w:rsidR="00AB0E44" w:rsidRDefault="00361FA3">
      <w:pPr>
        <w:spacing w:after="0"/>
        <w:ind w:left="720" w:hanging="720"/>
        <w:rPr>
          <w:rFonts w:ascii="Calibri" w:hAnsi="Calibri"/>
          <w:i/>
          <w:noProof/>
          <w:lang w:val="en-US"/>
        </w:rPr>
      </w:pPr>
      <w:r>
        <w:rPr>
          <w:rFonts w:ascii="Calibri" w:hAnsi="Calibri"/>
          <w:noProof/>
          <w:lang w:val="en-US"/>
        </w:rPr>
        <w:t xml:space="preserve">Hollingsworth, RG, Kaneta, R, Sullivan, JJ, Bishop, HS, Qvarnstrom, Y, da Silva, AJ &amp; Robinson, DG 2007, </w:t>
      </w:r>
      <w:r w:rsidR="000B2C77">
        <w:rPr>
          <w:rFonts w:ascii="Calibri" w:hAnsi="Calibri"/>
          <w:noProof/>
          <w:lang w:val="en-US"/>
        </w:rPr>
        <w:t>‘</w:t>
      </w:r>
      <w:r>
        <w:rPr>
          <w:rFonts w:ascii="Calibri" w:hAnsi="Calibri"/>
          <w:noProof/>
          <w:lang w:val="en-US"/>
        </w:rPr>
        <w:t>Distribution of Parmarion cf. martensi (Pulmonata: Helicarionidae), a new semi-slug pest on Hawai’I Island, and its potential as a vector for human angiostrongyliasis</w:t>
      </w:r>
      <w:r w:rsidR="000B2C77">
        <w:rPr>
          <w:rFonts w:ascii="Calibri" w:hAnsi="Calibri"/>
          <w:noProof/>
          <w:lang w:val="en-US"/>
        </w:rPr>
        <w:t>’</w:t>
      </w:r>
      <w:r>
        <w:rPr>
          <w:rFonts w:ascii="Calibri" w:hAnsi="Calibri"/>
          <w:noProof/>
          <w:lang w:val="en-US"/>
        </w:rPr>
        <w:t xml:space="preserve">, </w:t>
      </w:r>
      <w:r>
        <w:rPr>
          <w:rFonts w:ascii="Calibri" w:hAnsi="Calibri"/>
          <w:i/>
          <w:noProof/>
          <w:lang w:val="en-US"/>
        </w:rPr>
        <w:t>Pacific Science</w:t>
      </w:r>
      <w:r>
        <w:rPr>
          <w:rFonts w:ascii="Calibri" w:hAnsi="Calibri"/>
          <w:noProof/>
          <w:lang w:val="en-US"/>
        </w:rPr>
        <w:t>, vol. 61, no. 4, pp. 457–467.</w:t>
      </w:r>
    </w:p>
    <w:p w14:paraId="390FC95A" w14:textId="68572ECB" w:rsidR="00AB0E44" w:rsidRDefault="00361FA3">
      <w:pPr>
        <w:spacing w:after="0"/>
        <w:ind w:left="720" w:hanging="720"/>
        <w:rPr>
          <w:rFonts w:ascii="Calibri" w:hAnsi="Calibri"/>
          <w:noProof/>
        </w:rPr>
      </w:pPr>
      <w:r>
        <w:rPr>
          <w:rFonts w:ascii="Calibri" w:hAnsi="Calibri"/>
          <w:noProof/>
          <w:lang w:val="en-US"/>
        </w:rPr>
        <w:t>Hulme, PE. 2009,</w:t>
      </w:r>
      <w:r>
        <w:rPr>
          <w:rFonts w:ascii="Calibri" w:hAnsi="Calibri"/>
          <w:i/>
          <w:noProof/>
          <w:lang w:val="en-US"/>
        </w:rPr>
        <w:t xml:space="preserve"> </w:t>
      </w:r>
      <w:r w:rsidR="000B2C77">
        <w:rPr>
          <w:rFonts w:ascii="Calibri" w:hAnsi="Calibri"/>
          <w:noProof/>
          <w:lang w:val="en-US"/>
        </w:rPr>
        <w:t>‘</w:t>
      </w:r>
      <w:r w:rsidRPr="0051252F">
        <w:rPr>
          <w:rFonts w:ascii="Calibri" w:hAnsi="Calibri"/>
          <w:noProof/>
          <w:lang w:val="en-US"/>
        </w:rPr>
        <w:t>Trade, transport and trouble: managing invasive species pathways in an era of globalization</w:t>
      </w:r>
      <w:r w:rsidR="000B2C77">
        <w:rPr>
          <w:rFonts w:ascii="Calibri" w:hAnsi="Calibri"/>
          <w:noProof/>
          <w:lang w:val="en-US"/>
        </w:rPr>
        <w:t>’,</w:t>
      </w:r>
      <w:r>
        <w:rPr>
          <w:rFonts w:ascii="Calibri" w:hAnsi="Calibri"/>
          <w:i/>
          <w:noProof/>
          <w:lang w:val="en-US"/>
        </w:rPr>
        <w:t xml:space="preserve"> Journal of Applied Ecology</w:t>
      </w:r>
      <w:r w:rsidRPr="0051252F">
        <w:rPr>
          <w:rFonts w:ascii="Calibri" w:hAnsi="Calibri"/>
          <w:noProof/>
          <w:lang w:val="en-US"/>
        </w:rPr>
        <w:t xml:space="preserve">, vol. 46, pp. 10–18, doi: </w:t>
      </w:r>
      <w:r w:rsidRPr="0051252F">
        <w:rPr>
          <w:rFonts w:ascii="Calibri" w:hAnsi="Calibri"/>
          <w:noProof/>
        </w:rPr>
        <w:t>10.1111/j.1365-2664.2008.01600.x.</w:t>
      </w:r>
    </w:p>
    <w:p w14:paraId="7B277320" w14:textId="4D5CE668" w:rsidR="00C126E6" w:rsidRDefault="009D3A56">
      <w:pPr>
        <w:spacing w:after="0"/>
        <w:ind w:left="720" w:hanging="720"/>
        <w:rPr>
          <w:rFonts w:ascii="Calibri" w:hAnsi="Calibri"/>
          <w:noProof/>
        </w:rPr>
      </w:pPr>
      <w:r>
        <w:lastRenderedPageBreak/>
        <w:t>Inspector-General of Biosecurity 2017</w:t>
      </w:r>
      <w:r w:rsidR="00C126E6">
        <w:rPr>
          <w:rFonts w:ascii="Calibri" w:hAnsi="Calibri"/>
          <w:noProof/>
        </w:rPr>
        <w:t xml:space="preserve">, </w:t>
      </w:r>
      <w:r w:rsidR="00C126E6" w:rsidRPr="00C126E6">
        <w:rPr>
          <w:rFonts w:ascii="Calibri" w:hAnsi="Calibri"/>
          <w:i/>
          <w:noProof/>
        </w:rPr>
        <w:t>Review of Department of Agriculture and Water Resources management of biosecurity risks posed by invasive vector mosquitoes</w:t>
      </w:r>
      <w:r w:rsidR="00C126E6">
        <w:rPr>
          <w:rFonts w:ascii="Calibri" w:hAnsi="Calibri"/>
          <w:noProof/>
        </w:rPr>
        <w:t>, Canberra.</w:t>
      </w:r>
    </w:p>
    <w:p w14:paraId="565CA40E" w14:textId="1A1940C1" w:rsidR="001D7D52" w:rsidRDefault="009D3A56">
      <w:pPr>
        <w:spacing w:after="0"/>
        <w:ind w:left="720" w:hanging="720"/>
        <w:rPr>
          <w:rFonts w:ascii="Calibri" w:hAnsi="Calibri"/>
          <w:noProof/>
        </w:rPr>
      </w:pPr>
      <w:r>
        <w:t>Inspector-General of Biosecurity</w:t>
      </w:r>
      <w:r w:rsidR="001D7D52">
        <w:rPr>
          <w:rFonts w:ascii="Calibri" w:hAnsi="Calibri"/>
          <w:noProof/>
        </w:rPr>
        <w:t xml:space="preserve"> 2018, </w:t>
      </w:r>
      <w:r w:rsidR="001D7D52" w:rsidRPr="00C126E6">
        <w:rPr>
          <w:rFonts w:ascii="Calibri" w:hAnsi="Calibri"/>
          <w:i/>
          <w:noProof/>
        </w:rPr>
        <w:t>Military biosecurity in Australia</w:t>
      </w:r>
      <w:r w:rsidR="001D7D52">
        <w:rPr>
          <w:rFonts w:ascii="Calibri" w:hAnsi="Calibri"/>
          <w:noProof/>
        </w:rPr>
        <w:t xml:space="preserve">, </w:t>
      </w:r>
      <w:r>
        <w:rPr>
          <w:rFonts w:ascii="Calibri" w:hAnsi="Calibri"/>
          <w:noProof/>
        </w:rPr>
        <w:t>Canberra.</w:t>
      </w:r>
    </w:p>
    <w:p w14:paraId="1103D500" w14:textId="55D5F1DF" w:rsidR="009D3A56" w:rsidRPr="009D3A56" w:rsidRDefault="009D3A56">
      <w:pPr>
        <w:spacing w:after="0"/>
        <w:ind w:left="720" w:hanging="720"/>
        <w:rPr>
          <w:rFonts w:ascii="Calibri" w:hAnsi="Calibri"/>
          <w:noProof/>
          <w:lang w:val="en-US"/>
        </w:rPr>
      </w:pPr>
      <w:r>
        <w:rPr>
          <w:rFonts w:ascii="Calibri" w:hAnsi="Calibri"/>
          <w:noProof/>
        </w:rPr>
        <w:t xml:space="preserve">Interim </w:t>
      </w:r>
      <w:r w:rsidRPr="009D3A56">
        <w:rPr>
          <w:rFonts w:ascii="Calibri" w:hAnsi="Calibri"/>
          <w:noProof/>
        </w:rPr>
        <w:t>Inspector-General of Biosecurity 201</w:t>
      </w:r>
      <w:r>
        <w:rPr>
          <w:rFonts w:ascii="Calibri" w:hAnsi="Calibri"/>
          <w:noProof/>
        </w:rPr>
        <w:t>4</w:t>
      </w:r>
      <w:r w:rsidRPr="009D3A56">
        <w:rPr>
          <w:rFonts w:ascii="Calibri" w:hAnsi="Calibri"/>
          <w:noProof/>
        </w:rPr>
        <w:t xml:space="preserve">, </w:t>
      </w:r>
      <w:r w:rsidR="00381F7A" w:rsidRPr="00381F7A">
        <w:rPr>
          <w:rFonts w:ascii="Calibri" w:hAnsi="Calibri"/>
          <w:i/>
          <w:noProof/>
        </w:rPr>
        <w:t>Management of biosecurity risks associated with timber packaging and dunnage</w:t>
      </w:r>
      <w:r w:rsidRPr="009D3A56">
        <w:rPr>
          <w:rFonts w:ascii="Calibri" w:hAnsi="Calibri"/>
          <w:noProof/>
        </w:rPr>
        <w:t>, Canberra.</w:t>
      </w:r>
    </w:p>
    <w:p w14:paraId="0C08B6C0" w14:textId="678D266E" w:rsidR="008D1FF1" w:rsidRDefault="0087733F" w:rsidP="008D1FF1">
      <w:pPr>
        <w:spacing w:after="0"/>
        <w:ind w:left="720" w:hanging="720"/>
        <w:rPr>
          <w:rFonts w:ascii="Calibri" w:hAnsi="Calibri"/>
          <w:noProof/>
          <w:lang w:val="en-US"/>
        </w:rPr>
      </w:pPr>
      <w:r w:rsidRPr="0087733F">
        <w:rPr>
          <w:rFonts w:ascii="Calibri" w:hAnsi="Calibri"/>
          <w:noProof/>
          <w:lang w:val="en-US"/>
        </w:rPr>
        <w:t>International Maritime Organization</w:t>
      </w:r>
      <w:r w:rsidR="008D1FF1">
        <w:rPr>
          <w:rFonts w:ascii="Calibri" w:hAnsi="Calibri"/>
          <w:noProof/>
          <w:lang w:val="en-US"/>
        </w:rPr>
        <w:t xml:space="preserve"> 2012, </w:t>
      </w:r>
      <w:r w:rsidR="008D1FF1" w:rsidRPr="004D0165">
        <w:rPr>
          <w:rFonts w:ascii="Calibri" w:hAnsi="Calibri"/>
          <w:i/>
          <w:noProof/>
          <w:lang w:val="en-US"/>
        </w:rPr>
        <w:t>Guidelines for the control and management of ships’ biofouling to minimize the transfer of invasive aquatic species</w:t>
      </w:r>
      <w:r w:rsidR="008D1FF1">
        <w:rPr>
          <w:rFonts w:ascii="Calibri" w:hAnsi="Calibri"/>
          <w:noProof/>
          <w:lang w:val="en-US"/>
        </w:rPr>
        <w:t>.</w:t>
      </w:r>
    </w:p>
    <w:p w14:paraId="2DAC4D00" w14:textId="77777777" w:rsidR="00AB0E44" w:rsidRDefault="00361FA3">
      <w:pPr>
        <w:spacing w:after="0"/>
        <w:ind w:left="720" w:hanging="720"/>
        <w:rPr>
          <w:rFonts w:ascii="Calibri" w:hAnsi="Calibri"/>
          <w:i/>
          <w:noProof/>
          <w:lang w:val="en-US"/>
        </w:rPr>
      </w:pPr>
      <w:r>
        <w:rPr>
          <w:rFonts w:ascii="Calibri" w:hAnsi="Calibri"/>
          <w:noProof/>
          <w:lang w:val="en-US"/>
        </w:rPr>
        <w:t xml:space="preserve">Moerkerk, M 2006, </w:t>
      </w:r>
      <w:r>
        <w:rPr>
          <w:rFonts w:ascii="Calibri" w:hAnsi="Calibri"/>
          <w:i/>
          <w:noProof/>
          <w:lang w:val="en-US"/>
        </w:rPr>
        <w:t>Risk of weed movement through vehicles, plant and equipment: results from a Victorian study</w:t>
      </w:r>
      <w:r>
        <w:rPr>
          <w:rFonts w:ascii="Calibri" w:hAnsi="Calibri"/>
          <w:noProof/>
          <w:lang w:val="en-US"/>
        </w:rPr>
        <w:t>, Department of Primary Industries, Victoria.</w:t>
      </w:r>
    </w:p>
    <w:p w14:paraId="4612C188" w14:textId="6B4EA751" w:rsidR="00AB0E44" w:rsidRDefault="00361FA3">
      <w:pPr>
        <w:spacing w:after="0"/>
        <w:ind w:left="720" w:hanging="720"/>
        <w:rPr>
          <w:rFonts w:ascii="Calibri" w:hAnsi="Calibri"/>
          <w:noProof/>
          <w:lang w:val="en-US"/>
        </w:rPr>
      </w:pPr>
      <w:r>
        <w:rPr>
          <w:rFonts w:ascii="Calibri" w:hAnsi="Calibri"/>
          <w:noProof/>
          <w:lang w:val="en-US"/>
        </w:rPr>
        <w:t>NRC 1996,</w:t>
      </w:r>
      <w:r>
        <w:rPr>
          <w:rFonts w:ascii="Calibri" w:hAnsi="Calibri"/>
          <w:i/>
          <w:noProof/>
          <w:lang w:val="en-US"/>
        </w:rPr>
        <w:t xml:space="preserve"> Stemming the tide: controlling introductions of nonindigineous species by ship</w:t>
      </w:r>
      <w:r w:rsidR="000B2C77">
        <w:rPr>
          <w:rFonts w:ascii="Calibri" w:hAnsi="Calibri"/>
          <w:i/>
          <w:noProof/>
          <w:lang w:val="en-US"/>
        </w:rPr>
        <w:t>’</w:t>
      </w:r>
      <w:r>
        <w:rPr>
          <w:rFonts w:ascii="Calibri" w:hAnsi="Calibri"/>
          <w:i/>
          <w:noProof/>
          <w:lang w:val="en-US"/>
        </w:rPr>
        <w:t>s ballast water</w:t>
      </w:r>
      <w:r w:rsidR="000B2C77">
        <w:rPr>
          <w:rFonts w:ascii="Calibri" w:hAnsi="Calibri"/>
          <w:noProof/>
          <w:lang w:val="en-US"/>
        </w:rPr>
        <w:t>,</w:t>
      </w:r>
      <w:r>
        <w:rPr>
          <w:rFonts w:ascii="Calibri" w:hAnsi="Calibri"/>
          <w:i/>
          <w:noProof/>
          <w:lang w:val="en-US"/>
        </w:rPr>
        <w:t xml:space="preserve"> </w:t>
      </w:r>
      <w:r w:rsidRPr="0051252F">
        <w:rPr>
          <w:rFonts w:ascii="Calibri" w:hAnsi="Calibri"/>
          <w:noProof/>
          <w:lang w:val="en-US"/>
        </w:rPr>
        <w:t>National Research Commmittee,</w:t>
      </w:r>
      <w:r>
        <w:rPr>
          <w:rFonts w:ascii="Calibri" w:hAnsi="Calibri"/>
          <w:i/>
          <w:noProof/>
          <w:lang w:val="en-US"/>
        </w:rPr>
        <w:t xml:space="preserve"> </w:t>
      </w:r>
      <w:r>
        <w:rPr>
          <w:rFonts w:ascii="Calibri" w:hAnsi="Calibri"/>
          <w:noProof/>
          <w:lang w:val="en-US"/>
        </w:rPr>
        <w:t>National Academy Press, Washington, DC.</w:t>
      </w:r>
    </w:p>
    <w:p w14:paraId="2050FFCC" w14:textId="4D236CEC" w:rsidR="002F1C95" w:rsidRDefault="002F1C95">
      <w:pPr>
        <w:spacing w:after="0"/>
        <w:ind w:left="720" w:hanging="720"/>
        <w:rPr>
          <w:rFonts w:ascii="Calibri" w:hAnsi="Calibri"/>
          <w:noProof/>
          <w:lang w:val="en-US"/>
        </w:rPr>
      </w:pPr>
      <w:r>
        <w:rPr>
          <w:rFonts w:ascii="Calibri" w:hAnsi="Calibri"/>
          <w:noProof/>
          <w:lang w:val="en-US"/>
        </w:rPr>
        <w:t>N</w:t>
      </w:r>
      <w:r w:rsidR="00CC34DE">
        <w:rPr>
          <w:rFonts w:ascii="Calibri" w:hAnsi="Calibri"/>
          <w:noProof/>
          <w:lang w:val="en-US"/>
        </w:rPr>
        <w:t xml:space="preserve">ew </w:t>
      </w:r>
      <w:r>
        <w:rPr>
          <w:rFonts w:ascii="Calibri" w:hAnsi="Calibri"/>
          <w:noProof/>
          <w:lang w:val="en-US"/>
        </w:rPr>
        <w:t>S</w:t>
      </w:r>
      <w:r w:rsidR="00CC34DE">
        <w:rPr>
          <w:rFonts w:ascii="Calibri" w:hAnsi="Calibri"/>
          <w:noProof/>
          <w:lang w:val="en-US"/>
        </w:rPr>
        <w:t xml:space="preserve">outh </w:t>
      </w:r>
      <w:r>
        <w:rPr>
          <w:rFonts w:ascii="Calibri" w:hAnsi="Calibri"/>
          <w:noProof/>
          <w:lang w:val="en-US"/>
        </w:rPr>
        <w:t>W</w:t>
      </w:r>
      <w:r w:rsidR="00CC34DE">
        <w:rPr>
          <w:rFonts w:ascii="Calibri" w:hAnsi="Calibri"/>
          <w:noProof/>
          <w:lang w:val="en-US"/>
        </w:rPr>
        <w:t>ales</w:t>
      </w:r>
      <w:r>
        <w:rPr>
          <w:rFonts w:ascii="Calibri" w:hAnsi="Calibri"/>
          <w:noProof/>
          <w:lang w:val="en-US"/>
        </w:rPr>
        <w:t xml:space="preserve"> </w:t>
      </w:r>
      <w:r w:rsidR="00CC34DE">
        <w:rPr>
          <w:rFonts w:ascii="Calibri" w:hAnsi="Calibri"/>
          <w:noProof/>
          <w:lang w:val="en-US"/>
        </w:rPr>
        <w:t xml:space="preserve">Department of </w:t>
      </w:r>
      <w:r>
        <w:rPr>
          <w:rFonts w:ascii="Calibri" w:hAnsi="Calibri"/>
          <w:noProof/>
          <w:lang w:val="en-US"/>
        </w:rPr>
        <w:t>P</w:t>
      </w:r>
      <w:r w:rsidR="00CC34DE">
        <w:rPr>
          <w:rFonts w:ascii="Calibri" w:hAnsi="Calibri"/>
          <w:noProof/>
          <w:lang w:val="en-US"/>
        </w:rPr>
        <w:t xml:space="preserve">rimary </w:t>
      </w:r>
      <w:r>
        <w:rPr>
          <w:rFonts w:ascii="Calibri" w:hAnsi="Calibri"/>
          <w:noProof/>
          <w:lang w:val="en-US"/>
        </w:rPr>
        <w:t>I</w:t>
      </w:r>
      <w:r w:rsidR="00CC34DE">
        <w:rPr>
          <w:rFonts w:ascii="Calibri" w:hAnsi="Calibri"/>
          <w:noProof/>
          <w:lang w:val="en-US"/>
        </w:rPr>
        <w:t>ndustries</w:t>
      </w:r>
      <w:r>
        <w:rPr>
          <w:rFonts w:ascii="Calibri" w:hAnsi="Calibri"/>
          <w:noProof/>
          <w:lang w:val="en-US"/>
        </w:rPr>
        <w:t xml:space="preserve"> 2018, </w:t>
      </w:r>
      <w:hyperlink r:id="rId51" w:history="1">
        <w:r w:rsidRPr="00CC34DE">
          <w:rPr>
            <w:rStyle w:val="Hyperlink"/>
            <w:rFonts w:ascii="Calibri" w:hAnsi="Calibri"/>
            <w:noProof/>
            <w:lang w:val="en-US"/>
          </w:rPr>
          <w:t>Further evidence of Yellow Crazy Ants</w:t>
        </w:r>
      </w:hyperlink>
      <w:r w:rsidR="00CC34DE">
        <w:rPr>
          <w:rFonts w:ascii="Calibri" w:hAnsi="Calibri"/>
          <w:noProof/>
          <w:lang w:val="en-US"/>
        </w:rPr>
        <w:t>, Sydney, accessed 13 July 2018.</w:t>
      </w:r>
    </w:p>
    <w:p w14:paraId="402445F1" w14:textId="0E39CCDE" w:rsidR="00AB0E44" w:rsidRDefault="00361FA3">
      <w:pPr>
        <w:ind w:left="720" w:hanging="720"/>
        <w:rPr>
          <w:rFonts w:ascii="Calibri" w:hAnsi="Calibri"/>
          <w:noProof/>
          <w:lang w:val="en-US"/>
        </w:rPr>
      </w:pPr>
      <w:r>
        <w:rPr>
          <w:rFonts w:ascii="Calibri" w:hAnsi="Calibri"/>
          <w:noProof/>
          <w:lang w:val="en-US"/>
        </w:rPr>
        <w:t>Parsons, S &amp; Arrowsmith, L 2014</w:t>
      </w:r>
      <w:r>
        <w:rPr>
          <w:rFonts w:ascii="Calibri" w:hAnsi="Calibri"/>
          <w:i/>
          <w:noProof/>
          <w:lang w:val="en-US"/>
        </w:rPr>
        <w:t>, Non-portfolio consequences of exotic organisms spreading in Australia and multiple incursion factor. Description of processes used to obtain estimates</w:t>
      </w:r>
      <w:r w:rsidR="000B2C77">
        <w:rPr>
          <w:rFonts w:ascii="Calibri" w:hAnsi="Calibri"/>
          <w:noProof/>
          <w:lang w:val="en-US"/>
        </w:rPr>
        <w:t>,</w:t>
      </w:r>
      <w:r>
        <w:rPr>
          <w:rFonts w:ascii="Calibri" w:hAnsi="Calibri"/>
          <w:noProof/>
          <w:lang w:val="en-US"/>
        </w:rPr>
        <w:t xml:space="preserve"> Australian Bureau of Agricultural and Resource Economics, Canberra.</w:t>
      </w:r>
    </w:p>
    <w:p w14:paraId="4A9BF2F6" w14:textId="4DFA143F" w:rsidR="00AB0E44" w:rsidRDefault="00361FA3">
      <w:pPr>
        <w:ind w:left="720" w:hanging="720"/>
        <w:rPr>
          <w:rFonts w:ascii="Calibri" w:hAnsi="Calibri"/>
          <w:noProof/>
          <w:lang w:val="en-US"/>
        </w:rPr>
      </w:pPr>
      <w:r>
        <w:rPr>
          <w:rFonts w:ascii="Calibri" w:hAnsi="Calibri"/>
          <w:noProof/>
          <w:lang w:val="en-US"/>
        </w:rPr>
        <w:t xml:space="preserve">PBCRC 2016, </w:t>
      </w:r>
      <w:hyperlink r:id="rId52" w:history="1">
        <w:r>
          <w:rPr>
            <w:rStyle w:val="Hyperlink"/>
            <w:rFonts w:ascii="Calibri" w:hAnsi="Calibri"/>
            <w:noProof/>
            <w:lang w:val="en-US"/>
          </w:rPr>
          <w:t>National approach to tackle tramp ant threat</w:t>
        </w:r>
      </w:hyperlink>
      <w:r>
        <w:rPr>
          <w:rFonts w:ascii="Calibri" w:hAnsi="Calibri"/>
          <w:noProof/>
          <w:lang w:val="en-US"/>
        </w:rPr>
        <w:t xml:space="preserve">, media release, Plant Biosecurity Cooperative Research Centre, </w:t>
      </w:r>
      <w:r w:rsidR="00E6336B">
        <w:rPr>
          <w:rFonts w:ascii="Calibri" w:hAnsi="Calibri"/>
          <w:noProof/>
          <w:lang w:val="en-US"/>
        </w:rPr>
        <w:t xml:space="preserve">8 November 2016, </w:t>
      </w:r>
      <w:r>
        <w:rPr>
          <w:rFonts w:ascii="Calibri" w:hAnsi="Calibri"/>
          <w:noProof/>
          <w:lang w:val="en-US"/>
        </w:rPr>
        <w:t>accessed 27 February 2018.</w:t>
      </w:r>
    </w:p>
    <w:p w14:paraId="5BC49AFC" w14:textId="5A750A62" w:rsidR="00AB0E44" w:rsidRDefault="00361FA3">
      <w:pPr>
        <w:ind w:left="720" w:hanging="720"/>
        <w:rPr>
          <w:rFonts w:ascii="Calibri" w:hAnsi="Calibri"/>
          <w:noProof/>
          <w:lang w:val="en-US"/>
        </w:rPr>
      </w:pPr>
      <w:r>
        <w:rPr>
          <w:rFonts w:ascii="Calibri" w:hAnsi="Calibri"/>
          <w:noProof/>
          <w:lang w:val="en-US"/>
        </w:rPr>
        <w:t xml:space="preserve">QDAF 2016, </w:t>
      </w:r>
      <w:r w:rsidRPr="0051252F">
        <w:rPr>
          <w:rFonts w:ascii="Calibri" w:hAnsi="Calibri"/>
          <w:i/>
          <w:noProof/>
          <w:lang w:val="en-US"/>
        </w:rPr>
        <w:t>Yellow crazy ant</w:t>
      </w:r>
      <w:r w:rsidR="00E6336B">
        <w:rPr>
          <w:rFonts w:ascii="Calibri" w:hAnsi="Calibri"/>
          <w:i/>
          <w:noProof/>
          <w:lang w:val="en-US"/>
        </w:rPr>
        <w:t>:</w:t>
      </w:r>
      <w:r w:rsidRPr="0051252F">
        <w:rPr>
          <w:rFonts w:ascii="Calibri" w:hAnsi="Calibri"/>
          <w:i/>
          <w:noProof/>
          <w:lang w:val="en-US"/>
        </w:rPr>
        <w:t xml:space="preserve"> invasive animal risk assessment</w:t>
      </w:r>
      <w:r>
        <w:rPr>
          <w:rFonts w:ascii="Calibri" w:hAnsi="Calibri"/>
          <w:noProof/>
          <w:lang w:val="en-US"/>
        </w:rPr>
        <w:t>, Department of Agriculture and Fisheries, Queensland.</w:t>
      </w:r>
    </w:p>
    <w:p w14:paraId="207AAAA9" w14:textId="72421EF1" w:rsidR="00AB0E44" w:rsidRDefault="00361FA3">
      <w:pPr>
        <w:spacing w:after="0"/>
        <w:ind w:left="720" w:hanging="720"/>
        <w:rPr>
          <w:rFonts w:ascii="Calibri" w:hAnsi="Calibri"/>
          <w:noProof/>
          <w:szCs w:val="24"/>
          <w:lang w:val="en-US"/>
        </w:rPr>
      </w:pPr>
      <w:r>
        <w:rPr>
          <w:rFonts w:ascii="Calibri" w:hAnsi="Calibri"/>
          <w:noProof/>
          <w:szCs w:val="24"/>
          <w:lang w:val="en-US"/>
        </w:rPr>
        <w:t>QDAF 2017</w:t>
      </w:r>
      <w:r>
        <w:rPr>
          <w:rFonts w:ascii="Calibri" w:hAnsi="Calibri"/>
          <w:i/>
          <w:noProof/>
          <w:szCs w:val="24"/>
          <w:lang w:val="en-US"/>
        </w:rPr>
        <w:t xml:space="preserve">, Prevention and </w:t>
      </w:r>
      <w:r w:rsidR="00E6336B">
        <w:rPr>
          <w:rFonts w:ascii="Calibri" w:hAnsi="Calibri"/>
          <w:i/>
          <w:noProof/>
          <w:szCs w:val="24"/>
          <w:lang w:val="en-US"/>
        </w:rPr>
        <w:t>c</w:t>
      </w:r>
      <w:r>
        <w:rPr>
          <w:rFonts w:ascii="Calibri" w:hAnsi="Calibri"/>
          <w:i/>
          <w:noProof/>
          <w:szCs w:val="24"/>
          <w:lang w:val="en-US"/>
        </w:rPr>
        <w:t xml:space="preserve">ontrol </w:t>
      </w:r>
      <w:r w:rsidR="00E6336B">
        <w:rPr>
          <w:rFonts w:ascii="Calibri" w:hAnsi="Calibri"/>
          <w:i/>
          <w:noProof/>
          <w:szCs w:val="24"/>
          <w:lang w:val="en-US"/>
        </w:rPr>
        <w:t>p</w:t>
      </w:r>
      <w:r>
        <w:rPr>
          <w:rFonts w:ascii="Calibri" w:hAnsi="Calibri"/>
          <w:i/>
          <w:noProof/>
          <w:szCs w:val="24"/>
          <w:lang w:val="en-US"/>
        </w:rPr>
        <w:t xml:space="preserve">rogram for </w:t>
      </w:r>
      <w:r w:rsidR="00E6336B">
        <w:rPr>
          <w:rFonts w:ascii="Calibri" w:hAnsi="Calibri"/>
          <w:i/>
          <w:noProof/>
          <w:szCs w:val="24"/>
          <w:lang w:val="en-US"/>
        </w:rPr>
        <w:t>V</w:t>
      </w:r>
      <w:r>
        <w:rPr>
          <w:rFonts w:ascii="Calibri" w:hAnsi="Calibri"/>
          <w:i/>
          <w:noProof/>
          <w:szCs w:val="24"/>
          <w:lang w:val="en-US"/>
        </w:rPr>
        <w:t>arroa mite (</w:t>
      </w:r>
      <w:r w:rsidR="00E6336B">
        <w:rPr>
          <w:rFonts w:ascii="Calibri" w:hAnsi="Calibri"/>
          <w:i/>
          <w:noProof/>
          <w:szCs w:val="24"/>
          <w:lang w:val="en-US"/>
        </w:rPr>
        <w:t>V</w:t>
      </w:r>
      <w:r>
        <w:rPr>
          <w:rFonts w:ascii="Calibri" w:hAnsi="Calibri"/>
          <w:i/>
          <w:noProof/>
          <w:szCs w:val="24"/>
          <w:lang w:val="en-US"/>
        </w:rPr>
        <w:t>arroa jacobsoni) under the Biosecurity Act 2014</w:t>
      </w:r>
      <w:r>
        <w:rPr>
          <w:rFonts w:ascii="Calibri" w:hAnsi="Calibri"/>
          <w:noProof/>
          <w:szCs w:val="24"/>
          <w:lang w:val="en-US"/>
        </w:rPr>
        <w:t>, v2.0</w:t>
      </w:r>
      <w:r w:rsidR="00E6336B">
        <w:rPr>
          <w:rFonts w:ascii="Calibri" w:hAnsi="Calibri"/>
          <w:noProof/>
          <w:szCs w:val="24"/>
          <w:lang w:val="en-US"/>
        </w:rPr>
        <w:t>,</w:t>
      </w:r>
      <w:r>
        <w:rPr>
          <w:rFonts w:ascii="Calibri" w:hAnsi="Calibri"/>
          <w:noProof/>
          <w:szCs w:val="24"/>
          <w:lang w:val="en-US"/>
        </w:rPr>
        <w:t xml:space="preserve"> Department of Agriculture and Fisheries, Queensland.</w:t>
      </w:r>
    </w:p>
    <w:p w14:paraId="1CF1EB91" w14:textId="3088C624" w:rsidR="00AB0E44" w:rsidRDefault="00361FA3">
      <w:pPr>
        <w:spacing w:after="0"/>
        <w:ind w:left="720" w:hanging="720"/>
        <w:rPr>
          <w:rFonts w:ascii="Calibri" w:hAnsi="Calibri"/>
          <w:noProof/>
          <w:szCs w:val="24"/>
          <w:lang w:val="en-US"/>
        </w:rPr>
      </w:pPr>
      <w:r>
        <w:rPr>
          <w:rFonts w:ascii="Calibri" w:hAnsi="Calibri"/>
          <w:noProof/>
          <w:szCs w:val="24"/>
          <w:lang w:val="en-US"/>
        </w:rPr>
        <w:t xml:space="preserve">Reed, RN &amp; Rodda, GH 2009, </w:t>
      </w:r>
      <w:r>
        <w:rPr>
          <w:rFonts w:ascii="Calibri" w:hAnsi="Calibri"/>
          <w:i/>
          <w:noProof/>
          <w:szCs w:val="24"/>
          <w:lang w:val="en-US"/>
        </w:rPr>
        <w:t xml:space="preserve">Giant </w:t>
      </w:r>
      <w:r w:rsidR="00E6336B">
        <w:rPr>
          <w:rFonts w:ascii="Calibri" w:hAnsi="Calibri"/>
          <w:i/>
          <w:noProof/>
          <w:szCs w:val="24"/>
          <w:lang w:val="en-US"/>
        </w:rPr>
        <w:t>c</w:t>
      </w:r>
      <w:r>
        <w:rPr>
          <w:rFonts w:ascii="Calibri" w:hAnsi="Calibri"/>
          <w:i/>
          <w:noProof/>
          <w:szCs w:val="24"/>
          <w:lang w:val="en-US"/>
        </w:rPr>
        <w:t>onstrictors: biological and mangement profiles and establishment risk assessment for nine large species of python, anacondas, and the boa constrictor</w:t>
      </w:r>
      <w:r>
        <w:rPr>
          <w:rFonts w:ascii="Calibri" w:hAnsi="Calibri"/>
          <w:noProof/>
          <w:szCs w:val="24"/>
          <w:lang w:val="en-US"/>
        </w:rPr>
        <w:t>, US Geological Survey open file report 2009</w:t>
      </w:r>
      <w:r w:rsidR="00E6336B">
        <w:rPr>
          <w:rFonts w:ascii="Calibri" w:hAnsi="Calibri"/>
          <w:noProof/>
          <w:szCs w:val="24"/>
          <w:lang w:val="en-US"/>
        </w:rPr>
        <w:t>–</w:t>
      </w:r>
      <w:r>
        <w:rPr>
          <w:rFonts w:ascii="Calibri" w:hAnsi="Calibri"/>
          <w:noProof/>
          <w:szCs w:val="24"/>
          <w:lang w:val="en-US"/>
        </w:rPr>
        <w:t>1202.</w:t>
      </w:r>
    </w:p>
    <w:p w14:paraId="37CD55BC" w14:textId="77777777" w:rsidR="009D3A56" w:rsidRDefault="009D3A56" w:rsidP="009D3A56">
      <w:pPr>
        <w:spacing w:after="0"/>
        <w:ind w:left="720" w:hanging="720"/>
        <w:rPr>
          <w:rFonts w:ascii="Calibri" w:hAnsi="Calibri"/>
          <w:noProof/>
          <w:szCs w:val="24"/>
          <w:lang w:val="en-US"/>
        </w:rPr>
      </w:pPr>
      <w:r>
        <w:rPr>
          <w:rFonts w:ascii="Calibri" w:hAnsi="Calibri"/>
          <w:noProof/>
          <w:szCs w:val="24"/>
          <w:lang w:val="en-US"/>
        </w:rPr>
        <w:t xml:space="preserve">Ren, Y &amp; Newman, J 2015, </w:t>
      </w:r>
      <w:r w:rsidRPr="00E934FD">
        <w:rPr>
          <w:rFonts w:ascii="Calibri" w:hAnsi="Calibri"/>
          <w:i/>
          <w:noProof/>
          <w:szCs w:val="24"/>
          <w:lang w:val="en-US"/>
        </w:rPr>
        <w:t>Ethyl Formate plus Nitrogen treatments for Quarantine disinfestation</w:t>
      </w:r>
      <w:r w:rsidRPr="00E934FD">
        <w:rPr>
          <w:rFonts w:ascii="Calibri" w:hAnsi="Calibri"/>
          <w:noProof/>
          <w:szCs w:val="24"/>
          <w:lang w:val="en-US"/>
        </w:rPr>
        <w:t xml:space="preserve"> (CRC10089: Fumigation Scientist (Phase 2))</w:t>
      </w:r>
      <w:r>
        <w:rPr>
          <w:rFonts w:ascii="Calibri" w:hAnsi="Calibri"/>
          <w:noProof/>
          <w:szCs w:val="24"/>
          <w:lang w:val="en-US"/>
        </w:rPr>
        <w:t>, Final report No. CRC 3218, Plant Biosecurity Cooperative Research Centre.</w:t>
      </w:r>
    </w:p>
    <w:p w14:paraId="5B5EDCB8" w14:textId="77777777" w:rsidR="009D3A56" w:rsidRDefault="009D3A56" w:rsidP="009D3A56">
      <w:pPr>
        <w:spacing w:after="0"/>
        <w:ind w:left="720" w:hanging="720"/>
        <w:rPr>
          <w:rFonts w:ascii="Calibri" w:hAnsi="Calibri"/>
          <w:noProof/>
          <w:szCs w:val="24"/>
          <w:lang w:val="en-US"/>
        </w:rPr>
      </w:pPr>
      <w:r>
        <w:rPr>
          <w:rFonts w:ascii="Calibri" w:hAnsi="Calibri"/>
          <w:noProof/>
          <w:szCs w:val="24"/>
          <w:lang w:val="en-US"/>
        </w:rPr>
        <w:t xml:space="preserve">Ren, Y, Newman, J &amp; Coetzee, M 2017, </w:t>
      </w:r>
      <w:r w:rsidRPr="00E934FD">
        <w:rPr>
          <w:rFonts w:ascii="Calibri" w:hAnsi="Calibri"/>
          <w:noProof/>
          <w:szCs w:val="24"/>
          <w:lang w:val="en-US"/>
        </w:rPr>
        <w:t>In-transit Ethyl Formate Fumigation from Perth to Barrow Island</w:t>
      </w:r>
      <w:r>
        <w:rPr>
          <w:rFonts w:ascii="Calibri" w:hAnsi="Calibri"/>
          <w:noProof/>
          <w:szCs w:val="24"/>
          <w:lang w:val="en-US"/>
        </w:rPr>
        <w:t xml:space="preserve">, Report No. PBCRC 3176, </w:t>
      </w:r>
      <w:r w:rsidRPr="00E934FD">
        <w:rPr>
          <w:rFonts w:ascii="Calibri" w:hAnsi="Calibri"/>
          <w:noProof/>
          <w:szCs w:val="24"/>
          <w:lang w:val="en-US"/>
        </w:rPr>
        <w:t>Plant Biosecurity Cooperative Research Centre</w:t>
      </w:r>
      <w:r>
        <w:rPr>
          <w:rFonts w:ascii="Calibri" w:hAnsi="Calibri"/>
          <w:noProof/>
          <w:szCs w:val="24"/>
          <w:lang w:val="en-US"/>
        </w:rPr>
        <w:t xml:space="preserve">, Murdoch University. </w:t>
      </w:r>
    </w:p>
    <w:p w14:paraId="07E6C8CF" w14:textId="05624F17" w:rsidR="00AB0E44" w:rsidRDefault="00361FA3">
      <w:pPr>
        <w:spacing w:after="0"/>
        <w:ind w:left="720" w:hanging="720"/>
        <w:rPr>
          <w:rFonts w:ascii="Calibri" w:hAnsi="Calibri"/>
          <w:noProof/>
          <w:szCs w:val="24"/>
          <w:lang w:val="en-US"/>
        </w:rPr>
      </w:pPr>
      <w:r>
        <w:rPr>
          <w:rFonts w:ascii="Calibri" w:hAnsi="Calibri"/>
          <w:noProof/>
          <w:szCs w:val="24"/>
          <w:lang w:val="en-US"/>
        </w:rPr>
        <w:t>RRRA 2016</w:t>
      </w:r>
      <w:r w:rsidR="00E6336B">
        <w:rPr>
          <w:rFonts w:ascii="Calibri" w:hAnsi="Calibri"/>
          <w:noProof/>
          <w:szCs w:val="24"/>
          <w:lang w:val="en-US"/>
        </w:rPr>
        <w:t>,</w:t>
      </w:r>
      <w:r>
        <w:rPr>
          <w:rFonts w:ascii="Calibri" w:hAnsi="Calibri"/>
          <w:noProof/>
          <w:szCs w:val="24"/>
          <w:lang w:val="en-US"/>
        </w:rPr>
        <w:t xml:space="preserve"> </w:t>
      </w:r>
      <w:r>
        <w:rPr>
          <w:rFonts w:ascii="Calibri" w:hAnsi="Calibri"/>
          <w:i/>
          <w:noProof/>
          <w:szCs w:val="24"/>
          <w:lang w:val="en-US"/>
        </w:rPr>
        <w:t>Biosecurity risk on sea containers</w:t>
      </w:r>
      <w:r w:rsidRPr="0051252F">
        <w:rPr>
          <w:rFonts w:ascii="Calibri" w:hAnsi="Calibri"/>
          <w:noProof/>
          <w:szCs w:val="24"/>
          <w:lang w:val="en-US"/>
        </w:rPr>
        <w:t>,</w:t>
      </w:r>
      <w:r>
        <w:rPr>
          <w:rFonts w:ascii="Calibri" w:hAnsi="Calibri"/>
          <w:noProof/>
          <w:szCs w:val="24"/>
          <w:lang w:val="en-US"/>
        </w:rPr>
        <w:t xml:space="preserve"> Risk-Return Resource Allocation Unit, Department of Agriculture and Water Resources</w:t>
      </w:r>
      <w:r w:rsidR="00E6336B">
        <w:rPr>
          <w:rFonts w:ascii="Calibri" w:hAnsi="Calibri"/>
          <w:noProof/>
          <w:szCs w:val="24"/>
          <w:lang w:val="en-US"/>
        </w:rPr>
        <w:t>,</w:t>
      </w:r>
      <w:r>
        <w:rPr>
          <w:rFonts w:ascii="Calibri" w:hAnsi="Calibri"/>
          <w:noProof/>
          <w:szCs w:val="24"/>
          <w:lang w:val="en-US"/>
        </w:rPr>
        <w:t xml:space="preserve"> Canberra.</w:t>
      </w:r>
    </w:p>
    <w:p w14:paraId="3BB26A57" w14:textId="4F89AD05" w:rsidR="00AB0E44" w:rsidRDefault="00361FA3">
      <w:pPr>
        <w:spacing w:after="0"/>
        <w:ind w:left="720" w:hanging="720"/>
        <w:rPr>
          <w:rFonts w:ascii="Calibri" w:hAnsi="Calibri"/>
          <w:noProof/>
          <w:szCs w:val="24"/>
          <w:lang w:val="en-US"/>
        </w:rPr>
      </w:pPr>
      <w:r>
        <w:rPr>
          <w:rFonts w:ascii="Calibri" w:hAnsi="Calibri"/>
          <w:noProof/>
          <w:szCs w:val="24"/>
          <w:lang w:val="en-US"/>
        </w:rPr>
        <w:t xml:space="preserve">Solley, GO, Vanderwoude, C &amp; Knight, GK 2002, </w:t>
      </w:r>
      <w:r w:rsidR="00E6336B">
        <w:rPr>
          <w:rFonts w:ascii="Calibri" w:hAnsi="Calibri"/>
          <w:noProof/>
          <w:szCs w:val="24"/>
          <w:lang w:val="en-US"/>
        </w:rPr>
        <w:t>‘</w:t>
      </w:r>
      <w:r>
        <w:rPr>
          <w:rFonts w:ascii="Calibri" w:hAnsi="Calibri"/>
          <w:noProof/>
          <w:szCs w:val="24"/>
          <w:lang w:val="en-US"/>
        </w:rPr>
        <w:t>Anaphylaxis due to red imported fire ant sting</w:t>
      </w:r>
      <w:r w:rsidR="00E6336B">
        <w:rPr>
          <w:rFonts w:ascii="Calibri" w:hAnsi="Calibri"/>
          <w:noProof/>
          <w:szCs w:val="24"/>
          <w:lang w:val="en-US"/>
        </w:rPr>
        <w:t>’</w:t>
      </w:r>
      <w:r>
        <w:rPr>
          <w:rFonts w:ascii="Calibri" w:hAnsi="Calibri"/>
          <w:noProof/>
          <w:szCs w:val="24"/>
          <w:lang w:val="en-US"/>
        </w:rPr>
        <w:t xml:space="preserve">, </w:t>
      </w:r>
      <w:r>
        <w:rPr>
          <w:rFonts w:ascii="Calibri" w:hAnsi="Calibri"/>
          <w:i/>
          <w:noProof/>
          <w:szCs w:val="24"/>
          <w:lang w:val="en-US"/>
        </w:rPr>
        <w:t>The Medical Journal of Australia</w:t>
      </w:r>
      <w:r>
        <w:rPr>
          <w:rFonts w:ascii="Calibri" w:hAnsi="Calibri"/>
          <w:noProof/>
          <w:szCs w:val="24"/>
          <w:lang w:val="en-US"/>
        </w:rPr>
        <w:t>, vol. 176, no. 11, pp. 521–523.</w:t>
      </w:r>
    </w:p>
    <w:p w14:paraId="46A66DD6" w14:textId="1197A432" w:rsidR="00AB0E44" w:rsidRDefault="00361FA3">
      <w:pPr>
        <w:spacing w:after="0"/>
        <w:ind w:left="720" w:hanging="720"/>
        <w:rPr>
          <w:rFonts w:ascii="Calibri" w:hAnsi="Calibri"/>
          <w:noProof/>
          <w:szCs w:val="24"/>
        </w:rPr>
      </w:pPr>
      <w:r>
        <w:rPr>
          <w:rFonts w:ascii="Calibri" w:hAnsi="Calibri"/>
          <w:noProof/>
          <w:szCs w:val="24"/>
          <w:lang w:val="en-US"/>
        </w:rPr>
        <w:t>Thiengo, SC, Faraco, FA, Salgado, NC, Cowie, RH</w:t>
      </w:r>
      <w:r w:rsidR="00E6336B">
        <w:rPr>
          <w:rFonts w:ascii="Calibri" w:hAnsi="Calibri"/>
          <w:noProof/>
          <w:szCs w:val="24"/>
          <w:lang w:val="en-US"/>
        </w:rPr>
        <w:t xml:space="preserve"> &amp; </w:t>
      </w:r>
      <w:r>
        <w:rPr>
          <w:rFonts w:ascii="Calibri" w:hAnsi="Calibri"/>
          <w:noProof/>
          <w:szCs w:val="24"/>
          <w:lang w:val="en-US"/>
        </w:rPr>
        <w:t xml:space="preserve">Fernandez, MA 2007, </w:t>
      </w:r>
      <w:r w:rsidR="00E6336B">
        <w:rPr>
          <w:rFonts w:ascii="Calibri" w:hAnsi="Calibri"/>
          <w:noProof/>
          <w:szCs w:val="24"/>
          <w:lang w:val="en-US"/>
        </w:rPr>
        <w:t>‘</w:t>
      </w:r>
      <w:r>
        <w:rPr>
          <w:rFonts w:ascii="Calibri" w:hAnsi="Calibri"/>
          <w:noProof/>
          <w:szCs w:val="24"/>
          <w:lang w:val="en-US"/>
        </w:rPr>
        <w:t>Rapid spread of an invasive snail in South America: the giant African snail</w:t>
      </w:r>
      <w:r w:rsidR="00E6336B">
        <w:rPr>
          <w:rFonts w:ascii="Calibri" w:hAnsi="Calibri"/>
          <w:noProof/>
          <w:szCs w:val="24"/>
          <w:lang w:val="en-US"/>
        </w:rPr>
        <w:t>’</w:t>
      </w:r>
      <w:r>
        <w:rPr>
          <w:rFonts w:ascii="Calibri" w:hAnsi="Calibri"/>
          <w:noProof/>
          <w:szCs w:val="24"/>
          <w:lang w:val="en-US"/>
        </w:rPr>
        <w:t xml:space="preserve">, </w:t>
      </w:r>
      <w:r>
        <w:rPr>
          <w:rFonts w:ascii="Calibri" w:hAnsi="Calibri"/>
          <w:i/>
          <w:noProof/>
          <w:szCs w:val="24"/>
          <w:lang w:val="en-US"/>
        </w:rPr>
        <w:t>Achatina fulica</w:t>
      </w:r>
      <w:r>
        <w:rPr>
          <w:rFonts w:ascii="Calibri" w:hAnsi="Calibri"/>
          <w:noProof/>
          <w:szCs w:val="24"/>
          <w:lang w:val="en-US"/>
        </w:rPr>
        <w:t xml:space="preserve">, in Brasil, </w:t>
      </w:r>
      <w:r>
        <w:rPr>
          <w:rFonts w:ascii="Calibri" w:hAnsi="Calibri"/>
          <w:i/>
          <w:noProof/>
          <w:szCs w:val="24"/>
          <w:lang w:val="en-US"/>
        </w:rPr>
        <w:t>Bioloigal Invasions</w:t>
      </w:r>
      <w:r>
        <w:rPr>
          <w:rFonts w:ascii="Calibri" w:hAnsi="Calibri"/>
          <w:noProof/>
          <w:szCs w:val="24"/>
          <w:lang w:val="en-US"/>
        </w:rPr>
        <w:t>, vol. 9, pp. 693–702 doi:</w:t>
      </w:r>
      <w:r>
        <w:rPr>
          <w:rFonts w:ascii="AdvPSTIM10-R" w:hAnsi="AdvPSTIM10-R" w:cs="AdvPSTIM10-R"/>
          <w:sz w:val="17"/>
          <w:szCs w:val="17"/>
          <w:lang w:eastAsia="en-AU"/>
        </w:rPr>
        <w:t xml:space="preserve"> </w:t>
      </w:r>
      <w:r>
        <w:rPr>
          <w:rFonts w:ascii="Calibri" w:hAnsi="Calibri"/>
          <w:noProof/>
          <w:szCs w:val="24"/>
        </w:rPr>
        <w:t>10.1007/s10530-006-9069-6</w:t>
      </w:r>
      <w:r w:rsidR="00E6336B">
        <w:rPr>
          <w:rFonts w:ascii="Calibri" w:hAnsi="Calibri"/>
          <w:noProof/>
          <w:szCs w:val="24"/>
        </w:rPr>
        <w:t>.</w:t>
      </w:r>
    </w:p>
    <w:p w14:paraId="79D08999" w14:textId="5EAEA637" w:rsidR="00AB0E44" w:rsidRDefault="00361FA3">
      <w:pPr>
        <w:spacing w:after="0"/>
        <w:ind w:left="720" w:hanging="720"/>
        <w:rPr>
          <w:rFonts w:ascii="Calibri" w:hAnsi="Calibri"/>
          <w:noProof/>
          <w:szCs w:val="24"/>
          <w:lang w:val="en-US"/>
        </w:rPr>
      </w:pPr>
      <w:r>
        <w:rPr>
          <w:rFonts w:ascii="Calibri" w:hAnsi="Calibri"/>
          <w:noProof/>
          <w:szCs w:val="24"/>
          <w:lang w:val="en-US"/>
        </w:rPr>
        <w:lastRenderedPageBreak/>
        <w:t xml:space="preserve">Tillier, S, Jackson, GV &amp; MacFarlane, R 1993, </w:t>
      </w:r>
      <w:r w:rsidRPr="0051252F">
        <w:rPr>
          <w:rFonts w:ascii="Calibri" w:hAnsi="Calibri"/>
          <w:i/>
          <w:noProof/>
          <w:szCs w:val="24"/>
          <w:lang w:val="en-US"/>
        </w:rPr>
        <w:t xml:space="preserve">Giant African </w:t>
      </w:r>
      <w:r w:rsidR="00E6336B">
        <w:rPr>
          <w:rFonts w:ascii="Calibri" w:hAnsi="Calibri"/>
          <w:i/>
          <w:noProof/>
          <w:szCs w:val="24"/>
          <w:lang w:val="en-US"/>
        </w:rPr>
        <w:t>s</w:t>
      </w:r>
      <w:r w:rsidRPr="0051252F">
        <w:rPr>
          <w:rFonts w:ascii="Calibri" w:hAnsi="Calibri"/>
          <w:i/>
          <w:noProof/>
          <w:szCs w:val="24"/>
          <w:lang w:val="en-US"/>
        </w:rPr>
        <w:t>nail</w:t>
      </w:r>
      <w:r>
        <w:rPr>
          <w:rFonts w:ascii="Calibri" w:hAnsi="Calibri"/>
          <w:noProof/>
          <w:szCs w:val="24"/>
          <w:lang w:val="en-US"/>
        </w:rPr>
        <w:t>, 2</w:t>
      </w:r>
      <w:r w:rsidRPr="0051252F">
        <w:rPr>
          <w:rFonts w:ascii="Calibri" w:hAnsi="Calibri"/>
          <w:noProof/>
          <w:szCs w:val="24"/>
          <w:lang w:val="en-US"/>
        </w:rPr>
        <w:t xml:space="preserve">nd </w:t>
      </w:r>
      <w:r>
        <w:rPr>
          <w:rFonts w:ascii="Calibri" w:hAnsi="Calibri"/>
          <w:noProof/>
          <w:szCs w:val="24"/>
          <w:lang w:val="en-US"/>
        </w:rPr>
        <w:t>ed</w:t>
      </w:r>
      <w:r w:rsidR="007D4036">
        <w:rPr>
          <w:rFonts w:ascii="Calibri" w:hAnsi="Calibri"/>
          <w:noProof/>
          <w:szCs w:val="24"/>
          <w:lang w:val="en-US"/>
        </w:rPr>
        <w:t>n</w:t>
      </w:r>
      <w:r w:rsidR="00E6336B">
        <w:rPr>
          <w:rFonts w:ascii="Calibri" w:hAnsi="Calibri"/>
          <w:noProof/>
          <w:szCs w:val="24"/>
          <w:lang w:val="en-US"/>
        </w:rPr>
        <w:t>,</w:t>
      </w:r>
      <w:r>
        <w:rPr>
          <w:rFonts w:ascii="Calibri" w:hAnsi="Calibri"/>
          <w:noProof/>
          <w:szCs w:val="24"/>
          <w:lang w:val="en-US"/>
        </w:rPr>
        <w:t xml:space="preserve"> Pest Advisory </w:t>
      </w:r>
      <w:r w:rsidR="007D4036">
        <w:rPr>
          <w:rFonts w:ascii="Calibri" w:hAnsi="Calibri"/>
          <w:noProof/>
          <w:szCs w:val="24"/>
          <w:lang w:val="en-US"/>
        </w:rPr>
        <w:t>L</w:t>
      </w:r>
      <w:r>
        <w:rPr>
          <w:rFonts w:ascii="Calibri" w:hAnsi="Calibri"/>
          <w:noProof/>
          <w:szCs w:val="24"/>
          <w:lang w:val="en-US"/>
        </w:rPr>
        <w:t>eaflet, South Pacific Commission, no.</w:t>
      </w:r>
      <w:r w:rsidR="00E6336B">
        <w:rPr>
          <w:rFonts w:ascii="Calibri" w:hAnsi="Calibri"/>
          <w:noProof/>
          <w:szCs w:val="24"/>
          <w:lang w:val="en-US"/>
        </w:rPr>
        <w:t xml:space="preserve"> </w:t>
      </w:r>
      <w:r>
        <w:rPr>
          <w:rFonts w:ascii="Calibri" w:hAnsi="Calibri"/>
          <w:noProof/>
          <w:szCs w:val="24"/>
          <w:lang w:val="en-US"/>
        </w:rPr>
        <w:t>6.</w:t>
      </w:r>
    </w:p>
    <w:p w14:paraId="503BB123" w14:textId="3912AB3E" w:rsidR="00AB0E44" w:rsidRDefault="00361FA3">
      <w:pPr>
        <w:spacing w:after="0"/>
        <w:ind w:left="720" w:hanging="720"/>
        <w:rPr>
          <w:rFonts w:ascii="Calibri" w:hAnsi="Calibri"/>
          <w:noProof/>
          <w:szCs w:val="24"/>
          <w:lang w:val="en-US"/>
        </w:rPr>
      </w:pPr>
      <w:r>
        <w:rPr>
          <w:rFonts w:ascii="Calibri" w:hAnsi="Calibri"/>
          <w:noProof/>
          <w:szCs w:val="24"/>
          <w:lang w:val="en-US"/>
        </w:rPr>
        <w:t xml:space="preserve">Toy, S &amp; Newfield, M 2010, </w:t>
      </w:r>
      <w:r w:rsidR="00E6336B">
        <w:rPr>
          <w:rFonts w:ascii="Calibri" w:hAnsi="Calibri"/>
          <w:noProof/>
          <w:szCs w:val="24"/>
          <w:lang w:val="en-US"/>
        </w:rPr>
        <w:t>‘</w:t>
      </w:r>
      <w:r>
        <w:rPr>
          <w:rFonts w:ascii="Calibri" w:hAnsi="Calibri"/>
          <w:noProof/>
          <w:szCs w:val="24"/>
          <w:lang w:val="en-US"/>
        </w:rPr>
        <w:t>The accidental introduction of invasive animals as hitchhikers through inanimate pathways: a New Zealand perspective</w:t>
      </w:r>
      <w:r w:rsidR="00E6336B">
        <w:rPr>
          <w:rFonts w:ascii="Calibri" w:hAnsi="Calibri"/>
          <w:noProof/>
          <w:szCs w:val="24"/>
          <w:lang w:val="en-US"/>
        </w:rPr>
        <w:t>’</w:t>
      </w:r>
      <w:r w:rsidR="009E662D">
        <w:rPr>
          <w:rFonts w:ascii="Calibri" w:hAnsi="Calibri"/>
          <w:noProof/>
          <w:szCs w:val="24"/>
          <w:lang w:val="en-US"/>
        </w:rPr>
        <w:t>,</w:t>
      </w:r>
      <w:r>
        <w:rPr>
          <w:rFonts w:ascii="Calibri" w:hAnsi="Calibri"/>
          <w:noProof/>
          <w:szCs w:val="24"/>
          <w:lang w:val="en-US"/>
        </w:rPr>
        <w:t xml:space="preserve"> </w:t>
      </w:r>
      <w:r w:rsidR="009E662D" w:rsidRPr="009E662D">
        <w:rPr>
          <w:rFonts w:ascii="Calibri" w:hAnsi="Calibri"/>
          <w:i/>
          <w:noProof/>
          <w:szCs w:val="24"/>
          <w:lang w:val="en-US"/>
        </w:rPr>
        <w:t>Scientific and Technical Review of the Office International des Epizooties (Paris)</w:t>
      </w:r>
      <w:r w:rsidR="009E662D">
        <w:rPr>
          <w:rFonts w:ascii="Calibri" w:hAnsi="Calibri"/>
          <w:noProof/>
          <w:szCs w:val="24"/>
          <w:lang w:val="en-US"/>
        </w:rPr>
        <w:t>,</w:t>
      </w:r>
      <w:r w:rsidR="009E662D">
        <w:rPr>
          <w:rFonts w:ascii="Calibri" w:hAnsi="Calibri"/>
          <w:i/>
          <w:noProof/>
          <w:szCs w:val="24"/>
          <w:lang w:val="en-US"/>
        </w:rPr>
        <w:t xml:space="preserve"> </w:t>
      </w:r>
      <w:r>
        <w:rPr>
          <w:rFonts w:ascii="Calibri" w:hAnsi="Calibri"/>
          <w:noProof/>
          <w:szCs w:val="24"/>
          <w:lang w:val="en-US"/>
        </w:rPr>
        <w:t>vol. 29, no. 1, pp. 123–133.</w:t>
      </w:r>
    </w:p>
    <w:p w14:paraId="1D075D9D" w14:textId="32BE3119" w:rsidR="00AB0E44" w:rsidRDefault="00361FA3">
      <w:pPr>
        <w:spacing w:after="0"/>
        <w:ind w:left="720" w:hanging="720"/>
        <w:rPr>
          <w:rFonts w:ascii="Calibri" w:hAnsi="Calibri"/>
          <w:i/>
          <w:noProof/>
          <w:szCs w:val="24"/>
          <w:lang w:val="en-US"/>
        </w:rPr>
      </w:pPr>
      <w:r>
        <w:rPr>
          <w:rFonts w:ascii="Calibri" w:hAnsi="Calibri"/>
          <w:noProof/>
          <w:szCs w:val="24"/>
          <w:lang w:val="en-US"/>
        </w:rPr>
        <w:t xml:space="preserve">Turner, GJ 1967, </w:t>
      </w:r>
      <w:r w:rsidR="009E662D">
        <w:rPr>
          <w:rFonts w:ascii="Calibri" w:hAnsi="Calibri"/>
          <w:noProof/>
          <w:szCs w:val="24"/>
          <w:lang w:val="en-US"/>
        </w:rPr>
        <w:t>‘</w:t>
      </w:r>
      <w:r>
        <w:rPr>
          <w:rFonts w:ascii="Calibri" w:hAnsi="Calibri"/>
          <w:noProof/>
          <w:szCs w:val="24"/>
          <w:lang w:val="en-US"/>
        </w:rPr>
        <w:t xml:space="preserve">Snail transmission of species of phytophthora with special reference to foot rot of </w:t>
      </w:r>
      <w:r>
        <w:rPr>
          <w:rFonts w:ascii="Calibri" w:hAnsi="Calibri"/>
          <w:i/>
          <w:noProof/>
          <w:szCs w:val="24"/>
          <w:lang w:val="en-US"/>
        </w:rPr>
        <w:t>Piper nigrum</w:t>
      </w:r>
      <w:r w:rsidR="009E662D">
        <w:rPr>
          <w:rFonts w:ascii="Calibri" w:hAnsi="Calibri"/>
          <w:noProof/>
          <w:szCs w:val="24"/>
          <w:lang w:val="en-US"/>
        </w:rPr>
        <w:t xml:space="preserve">’, </w:t>
      </w:r>
      <w:r w:rsidR="009E662D" w:rsidRPr="0051252F">
        <w:rPr>
          <w:rFonts w:ascii="Calibri" w:hAnsi="Calibri"/>
          <w:i/>
          <w:noProof/>
          <w:szCs w:val="24"/>
          <w:lang w:val="en-US"/>
        </w:rPr>
        <w:t>Transactions of the British Mycological Society</w:t>
      </w:r>
      <w:r w:rsidR="009E662D">
        <w:rPr>
          <w:rFonts w:ascii="Calibri" w:hAnsi="Calibri"/>
          <w:noProof/>
          <w:szCs w:val="24"/>
          <w:lang w:val="en-US"/>
        </w:rPr>
        <w:t xml:space="preserve">, </w:t>
      </w:r>
      <w:r>
        <w:rPr>
          <w:rFonts w:ascii="Calibri" w:hAnsi="Calibri"/>
          <w:noProof/>
          <w:szCs w:val="24"/>
          <w:lang w:val="en-US"/>
        </w:rPr>
        <w:t>vol. 50, pp. 251–258.</w:t>
      </w:r>
    </w:p>
    <w:p w14:paraId="3E9F17F7" w14:textId="66C48DF9" w:rsidR="00AB0E44" w:rsidRDefault="00361FA3">
      <w:pPr>
        <w:spacing w:after="0"/>
        <w:ind w:left="720" w:hanging="720"/>
        <w:rPr>
          <w:rFonts w:ascii="Calibri" w:hAnsi="Calibri"/>
          <w:noProof/>
          <w:szCs w:val="24"/>
          <w:lang w:val="en-US"/>
        </w:rPr>
      </w:pPr>
      <w:r>
        <w:rPr>
          <w:rFonts w:ascii="Calibri" w:hAnsi="Calibri"/>
          <w:noProof/>
          <w:szCs w:val="24"/>
          <w:lang w:val="en-US"/>
        </w:rPr>
        <w:t>Weiss, R &amp; Prinn, R 201</w:t>
      </w:r>
      <w:r w:rsidR="00223743">
        <w:rPr>
          <w:rFonts w:ascii="Calibri" w:hAnsi="Calibri"/>
          <w:noProof/>
          <w:szCs w:val="24"/>
          <w:lang w:val="en-US"/>
        </w:rPr>
        <w:t>1</w:t>
      </w:r>
      <w:r>
        <w:rPr>
          <w:rFonts w:ascii="Calibri" w:hAnsi="Calibri"/>
          <w:noProof/>
          <w:szCs w:val="24"/>
          <w:lang w:val="en-US"/>
        </w:rPr>
        <w:t xml:space="preserve">, </w:t>
      </w:r>
      <w:r w:rsidR="009E662D">
        <w:rPr>
          <w:rFonts w:ascii="Calibri" w:hAnsi="Calibri"/>
          <w:noProof/>
          <w:szCs w:val="24"/>
          <w:lang w:val="en-US"/>
        </w:rPr>
        <w:t>‘</w:t>
      </w:r>
      <w:r>
        <w:rPr>
          <w:rFonts w:ascii="Calibri" w:hAnsi="Calibri"/>
          <w:noProof/>
          <w:szCs w:val="24"/>
          <w:lang w:val="en-US"/>
        </w:rPr>
        <w:t>Quantifying greenhouse-gas emissions from atmoshpheric measurements: a critical reality check for climate legislation</w:t>
      </w:r>
      <w:r w:rsidR="009E662D">
        <w:rPr>
          <w:rFonts w:ascii="Calibri" w:hAnsi="Calibri"/>
          <w:noProof/>
          <w:szCs w:val="24"/>
          <w:lang w:val="en-US"/>
        </w:rPr>
        <w:t>’,</w:t>
      </w:r>
      <w:r>
        <w:rPr>
          <w:rFonts w:ascii="Calibri" w:hAnsi="Calibri"/>
          <w:noProof/>
          <w:szCs w:val="24"/>
          <w:lang w:val="en-US"/>
        </w:rPr>
        <w:t xml:space="preserve"> </w:t>
      </w:r>
      <w:r w:rsidR="00341BAA" w:rsidRPr="00341BAA">
        <w:rPr>
          <w:rFonts w:ascii="Calibri" w:hAnsi="Calibri"/>
          <w:i/>
          <w:noProof/>
          <w:szCs w:val="24"/>
          <w:lang w:val="en-US"/>
        </w:rPr>
        <w:t>Philosophical Transactions of the Royal Society A</w:t>
      </w:r>
      <w:r w:rsidR="00341BAA" w:rsidRPr="00341BAA">
        <w:rPr>
          <w:rFonts w:ascii="Calibri" w:hAnsi="Calibri"/>
          <w:noProof/>
          <w:szCs w:val="24"/>
          <w:lang w:val="en-US"/>
        </w:rPr>
        <w:t>,</w:t>
      </w:r>
      <w:r w:rsidR="00341BAA" w:rsidRPr="0051252F">
        <w:rPr>
          <w:rFonts w:ascii="Calibri" w:hAnsi="Calibri"/>
          <w:noProof/>
          <w:szCs w:val="24"/>
          <w:lang w:val="en-US"/>
        </w:rPr>
        <w:t xml:space="preserve"> </w:t>
      </w:r>
      <w:r w:rsidRPr="0051252F">
        <w:rPr>
          <w:rFonts w:ascii="Calibri" w:hAnsi="Calibri"/>
          <w:noProof/>
          <w:szCs w:val="24"/>
          <w:lang w:val="en-US"/>
        </w:rPr>
        <w:t>vol. 369, pp. 1925–1942,</w:t>
      </w:r>
      <w:r>
        <w:rPr>
          <w:rFonts w:ascii="Calibri" w:hAnsi="Calibri"/>
          <w:noProof/>
          <w:szCs w:val="24"/>
          <w:lang w:val="en-US"/>
        </w:rPr>
        <w:t xml:space="preserve"> doi: </w:t>
      </w:r>
      <w:r>
        <w:rPr>
          <w:rFonts w:ascii="Calibri" w:hAnsi="Calibri"/>
          <w:noProof/>
          <w:szCs w:val="24"/>
        </w:rPr>
        <w:t>10.1098/rsta.2011.0006.</w:t>
      </w:r>
    </w:p>
    <w:p w14:paraId="786746F4" w14:textId="40304340" w:rsidR="00AB0E44" w:rsidRDefault="00361FA3">
      <w:pPr>
        <w:spacing w:after="0"/>
        <w:ind w:left="720" w:hanging="720"/>
        <w:rPr>
          <w:rFonts w:ascii="Calibri" w:hAnsi="Calibri"/>
          <w:noProof/>
          <w:szCs w:val="24"/>
          <w:lang w:val="en-US"/>
        </w:rPr>
      </w:pPr>
      <w:r>
        <w:rPr>
          <w:rFonts w:ascii="Calibri" w:hAnsi="Calibri"/>
          <w:noProof/>
          <w:szCs w:val="24"/>
          <w:lang w:val="en-US"/>
        </w:rPr>
        <w:t xml:space="preserve">WHO 2011. </w:t>
      </w:r>
      <w:r>
        <w:rPr>
          <w:rFonts w:ascii="Calibri" w:hAnsi="Calibri"/>
          <w:i/>
          <w:noProof/>
          <w:szCs w:val="24"/>
          <w:lang w:val="en-US"/>
        </w:rPr>
        <w:t>Guide to ship sanitation</w:t>
      </w:r>
      <w:r>
        <w:rPr>
          <w:rFonts w:ascii="Calibri" w:hAnsi="Calibri"/>
          <w:noProof/>
          <w:szCs w:val="24"/>
          <w:lang w:val="en-US"/>
        </w:rPr>
        <w:t>, 3</w:t>
      </w:r>
      <w:r>
        <w:rPr>
          <w:rFonts w:ascii="Calibri" w:hAnsi="Calibri"/>
          <w:noProof/>
          <w:szCs w:val="24"/>
          <w:vertAlign w:val="superscript"/>
          <w:lang w:val="en-US"/>
        </w:rPr>
        <w:t>rd</w:t>
      </w:r>
      <w:r>
        <w:rPr>
          <w:rFonts w:ascii="Calibri" w:hAnsi="Calibri"/>
          <w:noProof/>
          <w:szCs w:val="24"/>
          <w:lang w:val="en-US"/>
        </w:rPr>
        <w:t xml:space="preserve"> edn</w:t>
      </w:r>
      <w:r w:rsidR="00341BAA">
        <w:rPr>
          <w:rFonts w:ascii="Calibri" w:hAnsi="Calibri"/>
          <w:noProof/>
          <w:szCs w:val="24"/>
          <w:lang w:val="en-US"/>
        </w:rPr>
        <w:t>,</w:t>
      </w:r>
      <w:r>
        <w:rPr>
          <w:rFonts w:ascii="Calibri" w:hAnsi="Calibri"/>
          <w:noProof/>
          <w:szCs w:val="24"/>
          <w:lang w:val="en-US"/>
        </w:rPr>
        <w:t xml:space="preserve"> World Health Organization, Geneva.</w:t>
      </w:r>
    </w:p>
    <w:p w14:paraId="2D19F1E2" w14:textId="1690C4F2" w:rsidR="00AB0E44" w:rsidRDefault="00361FA3">
      <w:pPr>
        <w:spacing w:after="0"/>
        <w:ind w:left="720" w:hanging="720"/>
        <w:rPr>
          <w:rFonts w:ascii="Calibri" w:hAnsi="Calibri"/>
          <w:noProof/>
          <w:szCs w:val="24"/>
          <w:lang w:val="en-US"/>
        </w:rPr>
      </w:pPr>
      <w:r>
        <w:rPr>
          <w:rFonts w:ascii="Calibri" w:hAnsi="Calibri"/>
          <w:noProof/>
          <w:szCs w:val="24"/>
          <w:lang w:val="en-US"/>
        </w:rPr>
        <w:t xml:space="preserve">Wylie, RF &amp; Janssen-May, S 2016, </w:t>
      </w:r>
      <w:r w:rsidR="00341BAA">
        <w:rPr>
          <w:rFonts w:ascii="Calibri" w:hAnsi="Calibri"/>
          <w:noProof/>
          <w:szCs w:val="24"/>
          <w:lang w:val="en-US"/>
        </w:rPr>
        <w:t>‘</w:t>
      </w:r>
      <w:r>
        <w:rPr>
          <w:rFonts w:ascii="Calibri" w:hAnsi="Calibri"/>
          <w:noProof/>
          <w:szCs w:val="24"/>
          <w:lang w:val="en-US"/>
        </w:rPr>
        <w:t>Red imported fire ant in Australia: what if we lose the war?</w:t>
      </w:r>
      <w:r w:rsidR="00341BAA">
        <w:rPr>
          <w:rFonts w:ascii="Calibri" w:hAnsi="Calibri"/>
          <w:noProof/>
          <w:szCs w:val="24"/>
          <w:lang w:val="en-US"/>
        </w:rPr>
        <w:t>’,</w:t>
      </w:r>
      <w:r>
        <w:rPr>
          <w:rFonts w:ascii="Calibri" w:hAnsi="Calibri"/>
          <w:noProof/>
          <w:szCs w:val="24"/>
          <w:lang w:val="en-US"/>
        </w:rPr>
        <w:t xml:space="preserve"> </w:t>
      </w:r>
      <w:r w:rsidRPr="0051252F">
        <w:rPr>
          <w:rFonts w:ascii="Calibri" w:hAnsi="Calibri"/>
          <w:i/>
          <w:noProof/>
          <w:szCs w:val="24"/>
          <w:lang w:val="en-US"/>
        </w:rPr>
        <w:t>Ecological Management and Restoration</w:t>
      </w:r>
      <w:r>
        <w:rPr>
          <w:rFonts w:ascii="Calibri" w:hAnsi="Calibri"/>
          <w:noProof/>
          <w:szCs w:val="24"/>
          <w:lang w:val="en-US"/>
        </w:rPr>
        <w:t>, vol. 18, no. 1, pp. 32</w:t>
      </w:r>
      <w:r w:rsidR="00341BAA">
        <w:rPr>
          <w:rFonts w:ascii="Calibri" w:hAnsi="Calibri"/>
          <w:noProof/>
          <w:szCs w:val="24"/>
          <w:lang w:val="en-US"/>
        </w:rPr>
        <w:t>–</w:t>
      </w:r>
      <w:r>
        <w:rPr>
          <w:rFonts w:ascii="Calibri" w:hAnsi="Calibri"/>
          <w:noProof/>
          <w:szCs w:val="24"/>
          <w:lang w:val="en-US"/>
        </w:rPr>
        <w:t>44, doi: 10.1111/emr.12238.</w:t>
      </w:r>
    </w:p>
    <w:p w14:paraId="57612CAA" w14:textId="4D512640" w:rsidR="00AB0E44" w:rsidRDefault="00361FA3">
      <w:pPr>
        <w:spacing w:after="0"/>
        <w:ind w:left="720" w:hanging="720"/>
        <w:rPr>
          <w:rFonts w:ascii="Calibri" w:hAnsi="Calibri"/>
          <w:noProof/>
          <w:szCs w:val="24"/>
          <w:lang w:val="en-US"/>
        </w:rPr>
      </w:pPr>
      <w:r>
        <w:rPr>
          <w:rFonts w:ascii="Calibri" w:hAnsi="Calibri"/>
          <w:noProof/>
          <w:szCs w:val="24"/>
          <w:lang w:val="en-US"/>
        </w:rPr>
        <w:t xml:space="preserve">Zwaenepoel, A, Roovers, P, &amp; Hermy, M 2006, </w:t>
      </w:r>
      <w:r w:rsidR="00341BAA">
        <w:rPr>
          <w:rFonts w:ascii="Calibri" w:hAnsi="Calibri"/>
          <w:noProof/>
          <w:szCs w:val="24"/>
          <w:lang w:val="en-US"/>
        </w:rPr>
        <w:t>‘</w:t>
      </w:r>
      <w:r>
        <w:rPr>
          <w:rFonts w:ascii="Calibri" w:hAnsi="Calibri"/>
          <w:noProof/>
          <w:szCs w:val="24"/>
          <w:lang w:val="en-US"/>
        </w:rPr>
        <w:t>Motor vehicles as vectors of plant species from road verges in a suburban environment</w:t>
      </w:r>
      <w:r w:rsidR="00341BAA">
        <w:rPr>
          <w:rFonts w:ascii="Calibri" w:hAnsi="Calibri"/>
          <w:noProof/>
          <w:szCs w:val="24"/>
          <w:lang w:val="en-US"/>
        </w:rPr>
        <w:t>’</w:t>
      </w:r>
      <w:r>
        <w:rPr>
          <w:rFonts w:ascii="Calibri" w:hAnsi="Calibri"/>
          <w:noProof/>
          <w:szCs w:val="24"/>
          <w:lang w:val="en-US"/>
        </w:rPr>
        <w:t xml:space="preserve">, </w:t>
      </w:r>
      <w:r>
        <w:rPr>
          <w:rFonts w:ascii="Calibri" w:hAnsi="Calibri"/>
          <w:i/>
          <w:noProof/>
          <w:szCs w:val="24"/>
          <w:lang w:val="en-US"/>
        </w:rPr>
        <w:t>Basic and Applied Ecology</w:t>
      </w:r>
      <w:r>
        <w:rPr>
          <w:rFonts w:ascii="Calibri" w:hAnsi="Calibri"/>
          <w:noProof/>
          <w:szCs w:val="24"/>
          <w:lang w:val="en-US"/>
        </w:rPr>
        <w:t>, vol. 7, pp. 83–93.</w:t>
      </w:r>
    </w:p>
    <w:sectPr w:rsidR="00AB0E44">
      <w:headerReference w:type="default" r:id="rId53"/>
      <w:footerReference w:type="default" r:id="rId54"/>
      <w:endnotePr>
        <w:numFmt w:val="decimal"/>
      </w:endnotePr>
      <w:type w:val="continuous"/>
      <w:pgSz w:w="11906" w:h="16838" w:code="9"/>
      <w:pgMar w:top="1418" w:right="1247" w:bottom="1418" w:left="1418" w:header="567" w:footer="663"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8D5F55" w16cid:durableId="1EBA8734"/>
  <w16cid:commentId w16cid:paraId="36CF826C" w16cid:durableId="1EBA8A5B"/>
  <w16cid:commentId w16cid:paraId="2C3D3693" w16cid:durableId="1EBA8BD0"/>
  <w16cid:commentId w16cid:paraId="03066E01" w16cid:durableId="1EBA919D"/>
  <w16cid:commentId w16cid:paraId="78F34CC4" w16cid:durableId="1EBA8C33"/>
  <w16cid:commentId w16cid:paraId="4F9FC6AA" w16cid:durableId="1EBA8F6E"/>
  <w16cid:commentId w16cid:paraId="5E710F47" w16cid:durableId="1EBA93F3"/>
  <w16cid:commentId w16cid:paraId="3F164FD8" w16cid:durableId="1EBA949D"/>
  <w16cid:commentId w16cid:paraId="3811EA06" w16cid:durableId="1EBA9551"/>
  <w16cid:commentId w16cid:paraId="6435F93D" w16cid:durableId="1EBA95F9"/>
  <w16cid:commentId w16cid:paraId="07CF6633" w16cid:durableId="1EBA97DB"/>
  <w16cid:commentId w16cid:paraId="4E7FBDEC" w16cid:durableId="1EBA842A"/>
  <w16cid:commentId w16cid:paraId="41F67EEF" w16cid:durableId="1EBA842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D1A2C" w14:textId="77777777" w:rsidR="00522784" w:rsidRDefault="00522784">
      <w:pPr>
        <w:spacing w:after="0"/>
      </w:pPr>
      <w:r>
        <w:separator/>
      </w:r>
    </w:p>
    <w:p w14:paraId="3141C674" w14:textId="77777777" w:rsidR="00522784" w:rsidRDefault="00522784"/>
    <w:p w14:paraId="43671A05" w14:textId="77777777" w:rsidR="00522784" w:rsidRDefault="00522784"/>
    <w:p w14:paraId="655E0F66" w14:textId="77777777" w:rsidR="00522784" w:rsidRDefault="00522784"/>
    <w:p w14:paraId="6481B73C" w14:textId="77777777" w:rsidR="00522784" w:rsidRDefault="00522784"/>
    <w:p w14:paraId="5F5F6A50" w14:textId="77777777" w:rsidR="00522784" w:rsidRDefault="00522784"/>
  </w:endnote>
  <w:endnote w:type="continuationSeparator" w:id="0">
    <w:p w14:paraId="0D367B4F" w14:textId="77777777" w:rsidR="00522784" w:rsidRDefault="00522784">
      <w:pPr>
        <w:spacing w:after="0"/>
      </w:pPr>
      <w:r>
        <w:continuationSeparator/>
      </w:r>
    </w:p>
    <w:p w14:paraId="7E2530DB" w14:textId="77777777" w:rsidR="00522784" w:rsidRDefault="00522784"/>
    <w:p w14:paraId="73D0335F" w14:textId="77777777" w:rsidR="00522784" w:rsidRDefault="00522784"/>
    <w:p w14:paraId="154FC06C" w14:textId="77777777" w:rsidR="00522784" w:rsidRDefault="00522784"/>
    <w:p w14:paraId="2F959AEB" w14:textId="77777777" w:rsidR="00522784" w:rsidRDefault="00522784"/>
    <w:p w14:paraId="1964FF3E" w14:textId="77777777" w:rsidR="00522784" w:rsidRDefault="00522784"/>
  </w:endnote>
  <w:endnote w:type="continuationNotice" w:id="1">
    <w:p w14:paraId="78390410" w14:textId="77777777" w:rsidR="00522784" w:rsidRDefault="0052278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dvPSTIM10-R">
    <w:altName w:val="Calibr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942245"/>
      <w:docPartObj>
        <w:docPartGallery w:val="Page Numbers (Bottom of Page)"/>
        <w:docPartUnique/>
      </w:docPartObj>
    </w:sdtPr>
    <w:sdtEndPr>
      <w:rPr>
        <w:noProof/>
      </w:rPr>
    </w:sdtEndPr>
    <w:sdtContent>
      <w:p w14:paraId="0808F45F" w14:textId="77777777" w:rsidR="00522784" w:rsidRDefault="00522784">
        <w:pPr>
          <w:pStyle w:val="Footer"/>
        </w:pPr>
        <w:r>
          <w:fldChar w:fldCharType="begin"/>
        </w:r>
        <w:r>
          <w:instrText xml:space="preserve"> PAGE   \* MERGEFORMAT </w:instrText>
        </w:r>
        <w:r>
          <w:fldChar w:fldCharType="separate"/>
        </w:r>
        <w:r w:rsidR="00847E6D">
          <w:rPr>
            <w:noProof/>
          </w:rPr>
          <w:t>iv</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4DF15" w14:textId="77777777" w:rsidR="00522784" w:rsidRDefault="00522784">
    <w:pPr>
      <w:pStyle w:val="Footer"/>
      <w:pBdr>
        <w:top w:val="none" w:sz="0" w:space="0" w:color="auto"/>
      </w:pBdr>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7356992"/>
      <w:docPartObj>
        <w:docPartGallery w:val="Page Numbers (Bottom of Page)"/>
        <w:docPartUnique/>
      </w:docPartObj>
    </w:sdtPr>
    <w:sdtEndPr>
      <w:rPr>
        <w:noProof/>
      </w:rPr>
    </w:sdtEndPr>
    <w:sdtContent>
      <w:p w14:paraId="03271C2B" w14:textId="77777777" w:rsidR="00522784" w:rsidRDefault="00522784">
        <w:pPr>
          <w:pStyle w:val="Footer"/>
          <w:rPr>
            <w:rFonts w:cs="Times New Roman"/>
            <w:noProof/>
            <w:sz w:val="24"/>
            <w:lang w:val="en-AU" w:eastAsia="en-US" w:bidi="ar-SA"/>
          </w:rPr>
        </w:pPr>
        <w:r>
          <w:fldChar w:fldCharType="begin"/>
        </w:r>
        <w:r>
          <w:instrText xml:space="preserve"> PAGE   \* MERGEFORMAT </w:instrText>
        </w:r>
        <w:r>
          <w:fldChar w:fldCharType="separate"/>
        </w:r>
        <w:r w:rsidR="00847E6D">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DC145" w14:textId="77777777" w:rsidR="00522784" w:rsidRDefault="00522784">
      <w:pPr>
        <w:spacing w:after="0"/>
      </w:pPr>
      <w:r>
        <w:separator/>
      </w:r>
    </w:p>
    <w:p w14:paraId="56EC5506" w14:textId="77777777" w:rsidR="00522784" w:rsidRDefault="00522784"/>
    <w:p w14:paraId="4386A2AB" w14:textId="77777777" w:rsidR="00522784" w:rsidRDefault="00522784"/>
    <w:p w14:paraId="1F1B4BA5" w14:textId="77777777" w:rsidR="00522784" w:rsidRDefault="00522784"/>
  </w:footnote>
  <w:footnote w:type="continuationSeparator" w:id="0">
    <w:p w14:paraId="57D8CE46" w14:textId="77777777" w:rsidR="00522784" w:rsidRDefault="00522784">
      <w:pPr>
        <w:spacing w:after="0"/>
      </w:pPr>
      <w:r>
        <w:continuationSeparator/>
      </w:r>
    </w:p>
    <w:p w14:paraId="336E2EFE" w14:textId="77777777" w:rsidR="00522784" w:rsidRDefault="00522784"/>
    <w:p w14:paraId="250D9EC4" w14:textId="77777777" w:rsidR="00522784" w:rsidRDefault="00522784"/>
    <w:p w14:paraId="16908C8A" w14:textId="77777777" w:rsidR="00522784" w:rsidRDefault="00522784"/>
    <w:p w14:paraId="426C3A9D" w14:textId="77777777" w:rsidR="00522784" w:rsidRDefault="00522784"/>
    <w:p w14:paraId="4D116084" w14:textId="77777777" w:rsidR="00522784" w:rsidRDefault="00522784"/>
  </w:footnote>
  <w:footnote w:type="continuationNotice" w:id="1">
    <w:p w14:paraId="4613C789" w14:textId="77777777" w:rsidR="00522784" w:rsidRDefault="00522784">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47A34" w14:textId="1A0F4105" w:rsidR="00522784" w:rsidRDefault="00522784">
    <w:pPr>
      <w:pStyle w:val="Header"/>
      <w:pBdr>
        <w:bottom w:val="single" w:sz="4" w:space="6" w:color="auto"/>
      </w:pBdr>
      <w:tabs>
        <w:tab w:val="clear" w:pos="567"/>
        <w:tab w:val="clear" w:pos="4820"/>
        <w:tab w:val="right" w:pos="9356"/>
      </w:tabs>
      <w:spacing w:after="240"/>
      <w:jc w:val="left"/>
      <w:rPr>
        <w:sz w:val="22"/>
        <w:szCs w:val="22"/>
        <w:lang w:val="en-AU"/>
      </w:rPr>
    </w:pPr>
    <w:r>
      <w:rPr>
        <w:sz w:val="22"/>
        <w:szCs w:val="22"/>
        <w:lang w:val="en-AU"/>
      </w:rPr>
      <w:t>Hitchhiker pest and contaminant biosecurity risk management in Australia</w:t>
    </w:r>
    <w:r>
      <w:rPr>
        <w:sz w:val="22"/>
        <w:szCs w:val="22"/>
        <w:lang w:val="en-AU"/>
      </w:rPr>
      <w:tab/>
      <w:t>IGB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1A95C" w14:textId="77777777" w:rsidR="00522784" w:rsidRDefault="00522784">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4B8FD" w14:textId="310F4FC7" w:rsidR="00522784" w:rsidRDefault="00522784">
    <w:pPr>
      <w:pStyle w:val="Header"/>
      <w:tabs>
        <w:tab w:val="clear" w:pos="567"/>
        <w:tab w:val="clear" w:pos="4820"/>
        <w:tab w:val="right" w:pos="9356"/>
      </w:tabs>
      <w:jc w:val="left"/>
      <w:rPr>
        <w:sz w:val="22"/>
        <w:szCs w:val="22"/>
      </w:rPr>
    </w:pPr>
    <w:r>
      <w:rPr>
        <w:sz w:val="22"/>
        <w:szCs w:val="22"/>
        <w:lang w:val="en-AU"/>
      </w:rPr>
      <w:t>Hitchhiker pest and contaminant biosecurity risk management in Australia</w:t>
    </w:r>
    <w:r>
      <w:rPr>
        <w:sz w:val="22"/>
        <w:szCs w:val="22"/>
        <w:lang w:val="en-AU"/>
      </w:rPr>
      <w:tab/>
      <w:t>IGB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DD2EAB4"/>
    <w:lvl w:ilvl="0">
      <w:start w:val="1"/>
      <w:numFmt w:val="decimal"/>
      <w:lvlText w:val="%1."/>
      <w:lvlJc w:val="left"/>
      <w:pPr>
        <w:tabs>
          <w:tab w:val="num" w:pos="1492"/>
        </w:tabs>
        <w:ind w:left="1492" w:hanging="360"/>
      </w:pPr>
    </w:lvl>
  </w:abstractNum>
  <w:abstractNum w:abstractNumId="1"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3A156C0"/>
    <w:multiLevelType w:val="multilevel"/>
    <w:tmpl w:val="6EFE61E4"/>
    <w:styleLink w:val="Part1"/>
    <w:lvl w:ilvl="0">
      <w:start w:val="1"/>
      <w:numFmt w:val="lowerRoman"/>
      <w:lvlText w:val="%1)"/>
      <w:lvlJc w:val="left"/>
      <w:pPr>
        <w:ind w:left="567" w:hanging="567"/>
      </w:pPr>
      <w:rPr>
        <w:rFonts w:hint="default"/>
      </w:rPr>
    </w:lvl>
    <w:lvl w:ilvl="1">
      <w:start w:val="1"/>
      <w:numFmt w:val="lowerLetter"/>
      <w:lvlText w:val="%2."/>
      <w:lvlJc w:val="left"/>
      <w:pPr>
        <w:ind w:left="1162" w:hanging="454"/>
      </w:pPr>
      <w:rPr>
        <w:rFonts w:hint="default"/>
      </w:rPr>
    </w:lvl>
    <w:lvl w:ilvl="2">
      <w:start w:val="1"/>
      <w:numFmt w:val="lowerRoman"/>
      <w:lvlText w:val="%3."/>
      <w:lvlJc w:val="righ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3" w15:restartNumberingAfterBreak="0">
    <w:nsid w:val="041F5343"/>
    <w:multiLevelType w:val="hybridMultilevel"/>
    <w:tmpl w:val="EA44F6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DF749E"/>
    <w:multiLevelType w:val="hybridMultilevel"/>
    <w:tmpl w:val="2CE49D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E561AF"/>
    <w:multiLevelType w:val="hybridMultilevel"/>
    <w:tmpl w:val="770204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7D933F5"/>
    <w:multiLevelType w:val="hybridMultilevel"/>
    <w:tmpl w:val="E77AF3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97B69E6"/>
    <w:multiLevelType w:val="hybridMultilevel"/>
    <w:tmpl w:val="BF7693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35E2AF3"/>
    <w:multiLevelType w:val="hybridMultilevel"/>
    <w:tmpl w:val="35D6D01E"/>
    <w:lvl w:ilvl="0" w:tplc="0C09000F">
      <w:start w:val="1"/>
      <w:numFmt w:val="decimal"/>
      <w:lvlText w:val="%1."/>
      <w:lvlJc w:val="left"/>
      <w:pPr>
        <w:ind w:left="720" w:hanging="360"/>
      </w:pPr>
      <w:rPr>
        <w:rFonts w:hint="default"/>
      </w:rPr>
    </w:lvl>
    <w:lvl w:ilvl="1" w:tplc="0C090001">
      <w:start w:val="1"/>
      <w:numFmt w:val="bullet"/>
      <w:lvlText w:val=""/>
      <w:lvlJc w:val="left"/>
      <w:pPr>
        <w:ind w:left="360" w:hanging="360"/>
      </w:pPr>
      <w:rPr>
        <w:rFonts w:ascii="Symbol" w:hAnsi="Symbol" w:hint="default"/>
      </w:rPr>
    </w:lvl>
    <w:lvl w:ilvl="2" w:tplc="62386A88">
      <w:start w:val="7"/>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EE6A9A"/>
    <w:multiLevelType w:val="multilevel"/>
    <w:tmpl w:val="D8665074"/>
    <w:styleLink w:val="LFO8"/>
    <w:lvl w:ilvl="0">
      <w:numFmt w:val="bullet"/>
      <w:lvlText w:val=""/>
      <w:lvlJc w:val="left"/>
      <w:pPr>
        <w:ind w:left="2871" w:hanging="360"/>
      </w:pPr>
      <w:rPr>
        <w:rFonts w:ascii="Symbol" w:hAnsi="Symbol"/>
      </w:rPr>
    </w:lvl>
    <w:lvl w:ilvl="1">
      <w:numFmt w:val="bullet"/>
      <w:lvlText w:val="•"/>
      <w:lvlJc w:val="left"/>
      <w:pPr>
        <w:ind w:left="2217" w:hanging="570"/>
      </w:pPr>
      <w:rPr>
        <w:rFonts w:ascii="Calibri" w:eastAsia="Calibri" w:hAnsi="Calibri" w:cs="Calibri"/>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0" w15:restartNumberingAfterBreak="0">
    <w:nsid w:val="196B606F"/>
    <w:multiLevelType w:val="hybridMultilevel"/>
    <w:tmpl w:val="E0560262"/>
    <w:lvl w:ilvl="0" w:tplc="A9884604">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2" w15:restartNumberingAfterBreak="0">
    <w:nsid w:val="1EF60C08"/>
    <w:multiLevelType w:val="hybridMultilevel"/>
    <w:tmpl w:val="20469FC4"/>
    <w:lvl w:ilvl="0" w:tplc="0C090001">
      <w:start w:val="1"/>
      <w:numFmt w:val="bullet"/>
      <w:lvlText w:val=""/>
      <w:lvlJc w:val="left"/>
      <w:pPr>
        <w:ind w:left="-918" w:hanging="360"/>
      </w:pPr>
      <w:rPr>
        <w:rFonts w:ascii="Symbol" w:hAnsi="Symbol" w:hint="default"/>
      </w:rPr>
    </w:lvl>
    <w:lvl w:ilvl="1" w:tplc="0C090003" w:tentative="1">
      <w:start w:val="1"/>
      <w:numFmt w:val="bullet"/>
      <w:lvlText w:val="o"/>
      <w:lvlJc w:val="left"/>
      <w:pPr>
        <w:ind w:left="-677" w:hanging="360"/>
      </w:pPr>
      <w:rPr>
        <w:rFonts w:ascii="Courier New" w:hAnsi="Courier New" w:cs="Courier New" w:hint="default"/>
      </w:rPr>
    </w:lvl>
    <w:lvl w:ilvl="2" w:tplc="0C090005" w:tentative="1">
      <w:start w:val="1"/>
      <w:numFmt w:val="bullet"/>
      <w:lvlText w:val=""/>
      <w:lvlJc w:val="left"/>
      <w:pPr>
        <w:ind w:left="43" w:hanging="360"/>
      </w:pPr>
      <w:rPr>
        <w:rFonts w:ascii="Wingdings" w:hAnsi="Wingdings" w:hint="default"/>
      </w:rPr>
    </w:lvl>
    <w:lvl w:ilvl="3" w:tplc="0C090001" w:tentative="1">
      <w:start w:val="1"/>
      <w:numFmt w:val="bullet"/>
      <w:lvlText w:val=""/>
      <w:lvlJc w:val="left"/>
      <w:pPr>
        <w:ind w:left="763" w:hanging="360"/>
      </w:pPr>
      <w:rPr>
        <w:rFonts w:ascii="Symbol" w:hAnsi="Symbol" w:hint="default"/>
      </w:rPr>
    </w:lvl>
    <w:lvl w:ilvl="4" w:tplc="0C090003" w:tentative="1">
      <w:start w:val="1"/>
      <w:numFmt w:val="bullet"/>
      <w:lvlText w:val="o"/>
      <w:lvlJc w:val="left"/>
      <w:pPr>
        <w:ind w:left="1483" w:hanging="360"/>
      </w:pPr>
      <w:rPr>
        <w:rFonts w:ascii="Courier New" w:hAnsi="Courier New" w:cs="Courier New" w:hint="default"/>
      </w:rPr>
    </w:lvl>
    <w:lvl w:ilvl="5" w:tplc="0C090005" w:tentative="1">
      <w:start w:val="1"/>
      <w:numFmt w:val="bullet"/>
      <w:lvlText w:val=""/>
      <w:lvlJc w:val="left"/>
      <w:pPr>
        <w:ind w:left="2203" w:hanging="360"/>
      </w:pPr>
      <w:rPr>
        <w:rFonts w:ascii="Wingdings" w:hAnsi="Wingdings" w:hint="default"/>
      </w:rPr>
    </w:lvl>
    <w:lvl w:ilvl="6" w:tplc="0C090001" w:tentative="1">
      <w:start w:val="1"/>
      <w:numFmt w:val="bullet"/>
      <w:lvlText w:val=""/>
      <w:lvlJc w:val="left"/>
      <w:pPr>
        <w:ind w:left="2923" w:hanging="360"/>
      </w:pPr>
      <w:rPr>
        <w:rFonts w:ascii="Symbol" w:hAnsi="Symbol" w:hint="default"/>
      </w:rPr>
    </w:lvl>
    <w:lvl w:ilvl="7" w:tplc="0C090003" w:tentative="1">
      <w:start w:val="1"/>
      <w:numFmt w:val="bullet"/>
      <w:lvlText w:val="o"/>
      <w:lvlJc w:val="left"/>
      <w:pPr>
        <w:ind w:left="3643" w:hanging="360"/>
      </w:pPr>
      <w:rPr>
        <w:rFonts w:ascii="Courier New" w:hAnsi="Courier New" w:cs="Courier New" w:hint="default"/>
      </w:rPr>
    </w:lvl>
    <w:lvl w:ilvl="8" w:tplc="0C090005" w:tentative="1">
      <w:start w:val="1"/>
      <w:numFmt w:val="bullet"/>
      <w:lvlText w:val=""/>
      <w:lvlJc w:val="left"/>
      <w:pPr>
        <w:ind w:left="4363" w:hanging="360"/>
      </w:pPr>
      <w:rPr>
        <w:rFonts w:ascii="Wingdings" w:hAnsi="Wingdings" w:hint="default"/>
      </w:rPr>
    </w:lvl>
  </w:abstractNum>
  <w:abstractNum w:abstractNumId="13" w15:restartNumberingAfterBreak="0">
    <w:nsid w:val="25E90375"/>
    <w:multiLevelType w:val="hybridMultilevel"/>
    <w:tmpl w:val="84787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4C5D6F"/>
    <w:multiLevelType w:val="multilevel"/>
    <w:tmpl w:val="C576E114"/>
    <w:numStyleLink w:val="Headings"/>
  </w:abstractNum>
  <w:abstractNum w:abstractNumId="15" w15:restartNumberingAfterBreak="0">
    <w:nsid w:val="278840D5"/>
    <w:multiLevelType w:val="multilevel"/>
    <w:tmpl w:val="E3389732"/>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ourier New" w:hAnsi="Courier New"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29B36237"/>
    <w:multiLevelType w:val="multilevel"/>
    <w:tmpl w:val="20F2356A"/>
    <w:styleLink w:val="Appendix"/>
    <w:lvl w:ilvl="0">
      <w:start w:val="1"/>
      <w:numFmt w:val="upperLetter"/>
      <w:lvlText w:val="Appendix %1"/>
      <w:lvlJc w:val="left"/>
      <w:pPr>
        <w:ind w:left="964" w:hanging="964"/>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7" w15:restartNumberingAfterBreak="0">
    <w:nsid w:val="2A913599"/>
    <w:multiLevelType w:val="multilevel"/>
    <w:tmpl w:val="02AA8FA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8" w15:restartNumberingAfterBreak="0">
    <w:nsid w:val="2F7431AE"/>
    <w:multiLevelType w:val="hybridMultilevel"/>
    <w:tmpl w:val="BDACF2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0420B99"/>
    <w:multiLevelType w:val="hybridMultilevel"/>
    <w:tmpl w:val="2766BE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2C73064"/>
    <w:multiLevelType w:val="hybridMultilevel"/>
    <w:tmpl w:val="51D013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3EB7419"/>
    <w:multiLevelType w:val="singleLevel"/>
    <w:tmpl w:val="739EF6CE"/>
    <w:lvl w:ilvl="0">
      <w:start w:val="1"/>
      <w:numFmt w:val="bullet"/>
      <w:pStyle w:val="Dash"/>
      <w:lvlText w:val=""/>
      <w:lvlJc w:val="left"/>
      <w:pPr>
        <w:tabs>
          <w:tab w:val="num" w:pos="1134"/>
        </w:tabs>
        <w:ind w:left="1134" w:hanging="567"/>
      </w:pPr>
      <w:rPr>
        <w:rFonts w:ascii="Symbol" w:hAnsi="Symbol" w:hint="default"/>
        <w:sz w:val="16"/>
      </w:rPr>
    </w:lvl>
  </w:abstractNum>
  <w:abstractNum w:abstractNumId="22" w15:restartNumberingAfterBreak="0">
    <w:nsid w:val="373E0B2D"/>
    <w:multiLevelType w:val="multilevel"/>
    <w:tmpl w:val="E438F216"/>
    <w:styleLink w:val="AppendixC3List"/>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none"/>
      <w:lvlText w:val="– "/>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3" w15:restartNumberingAfterBreak="0">
    <w:nsid w:val="3DF93287"/>
    <w:multiLevelType w:val="hybridMultilevel"/>
    <w:tmpl w:val="20802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E480C4E"/>
    <w:multiLevelType w:val="hybridMultilevel"/>
    <w:tmpl w:val="78DE8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9F2103"/>
    <w:multiLevelType w:val="hybridMultilevel"/>
    <w:tmpl w:val="4B1034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20F7EE4"/>
    <w:multiLevelType w:val="hybridMultilevel"/>
    <w:tmpl w:val="83DABFA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3A265D8"/>
    <w:multiLevelType w:val="hybridMultilevel"/>
    <w:tmpl w:val="9752D458"/>
    <w:lvl w:ilvl="0" w:tplc="9AE615C6">
      <w:start w:val="10"/>
      <w:numFmt w:val="bullet"/>
      <w:lvlText w:val="-"/>
      <w:lvlJc w:val="left"/>
      <w:pPr>
        <w:ind w:left="720" w:hanging="360"/>
      </w:pPr>
      <w:rPr>
        <w:rFonts w:ascii="Calibri" w:eastAsia="Times New Roman" w:hAnsi="Calibri" w:cs="Mang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2069D5"/>
    <w:multiLevelType w:val="hybridMultilevel"/>
    <w:tmpl w:val="D35022DA"/>
    <w:lvl w:ilvl="0" w:tplc="0C09000F">
      <w:start w:val="1"/>
      <w:numFmt w:val="decimal"/>
      <w:lvlText w:val="%1."/>
      <w:lvlJc w:val="left"/>
      <w:pPr>
        <w:ind w:left="501"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8DE2E4A"/>
    <w:multiLevelType w:val="hybridMultilevel"/>
    <w:tmpl w:val="B7086130"/>
    <w:lvl w:ilvl="0" w:tplc="AAB465F0">
      <w:start w:val="1"/>
      <w:numFmt w:val="bullet"/>
      <w:pStyle w:val="BoxTextBullet"/>
      <w:lvlText w:val=""/>
      <w:lvlJc w:val="left"/>
      <w:pPr>
        <w:ind w:left="947" w:hanging="360"/>
      </w:pPr>
      <w:rPr>
        <w:rFonts w:ascii="Symbol" w:hAnsi="Symbol" w:hint="default"/>
      </w:rPr>
    </w:lvl>
    <w:lvl w:ilvl="1" w:tplc="0C090003">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0" w15:restartNumberingAfterBreak="0">
    <w:nsid w:val="53C75108"/>
    <w:multiLevelType w:val="hybridMultilevel"/>
    <w:tmpl w:val="CA34A8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A3323B7"/>
    <w:multiLevelType w:val="multilevel"/>
    <w:tmpl w:val="B7ACC5CA"/>
    <w:lvl w:ilvl="0">
      <w:start w:val="1"/>
      <w:numFmt w:val="bullet"/>
      <w:lvlText w:val="o"/>
      <w:lvlJc w:val="left"/>
      <w:pPr>
        <w:ind w:left="992" w:hanging="567"/>
      </w:pPr>
      <w:rPr>
        <w:rFonts w:ascii="Courier New" w:hAnsi="Courier New" w:cs="Courier New" w:hint="default"/>
      </w:rPr>
    </w:lvl>
    <w:lvl w:ilvl="1">
      <w:start w:val="1"/>
      <w:numFmt w:val="bullet"/>
      <w:lvlText w:val="o"/>
      <w:lvlJc w:val="left"/>
      <w:pPr>
        <w:ind w:left="1587" w:hanging="454"/>
      </w:pPr>
      <w:rPr>
        <w:rFonts w:ascii="Courier New" w:hAnsi="Courier New" w:cs="Courier New" w:hint="default"/>
      </w:rPr>
    </w:lvl>
    <w:lvl w:ilvl="2">
      <w:start w:val="1"/>
      <w:numFmt w:val="lowerRoman"/>
      <w:lvlText w:val="%3."/>
      <w:lvlJc w:val="right"/>
      <w:pPr>
        <w:ind w:left="1105" w:hanging="680"/>
      </w:pPr>
      <w:rPr>
        <w:rFonts w:hint="default"/>
      </w:rPr>
    </w:lvl>
    <w:lvl w:ilvl="3">
      <w:start w:val="1"/>
      <w:numFmt w:val="decimal"/>
      <w:lvlText w:val="%4."/>
      <w:lvlJc w:val="left"/>
      <w:pPr>
        <w:ind w:left="1105" w:hanging="680"/>
      </w:pPr>
      <w:rPr>
        <w:rFonts w:hint="default"/>
      </w:rPr>
    </w:lvl>
    <w:lvl w:ilvl="4">
      <w:start w:val="1"/>
      <w:numFmt w:val="lowerLetter"/>
      <w:lvlText w:val="%5."/>
      <w:lvlJc w:val="left"/>
      <w:pPr>
        <w:ind w:left="1105" w:hanging="680"/>
      </w:pPr>
      <w:rPr>
        <w:rFonts w:hint="default"/>
      </w:rPr>
    </w:lvl>
    <w:lvl w:ilvl="5">
      <w:start w:val="1"/>
      <w:numFmt w:val="lowerRoman"/>
      <w:lvlText w:val="%6."/>
      <w:lvlJc w:val="right"/>
      <w:pPr>
        <w:ind w:left="1105" w:hanging="680"/>
      </w:pPr>
      <w:rPr>
        <w:rFonts w:hint="default"/>
      </w:rPr>
    </w:lvl>
    <w:lvl w:ilvl="6">
      <w:start w:val="1"/>
      <w:numFmt w:val="decimal"/>
      <w:lvlText w:val="%7."/>
      <w:lvlJc w:val="left"/>
      <w:pPr>
        <w:ind w:left="1105" w:hanging="680"/>
      </w:pPr>
      <w:rPr>
        <w:rFonts w:hint="default"/>
      </w:rPr>
    </w:lvl>
    <w:lvl w:ilvl="7">
      <w:start w:val="1"/>
      <w:numFmt w:val="lowerLetter"/>
      <w:lvlText w:val="%8."/>
      <w:lvlJc w:val="left"/>
      <w:pPr>
        <w:ind w:left="1105" w:hanging="680"/>
      </w:pPr>
      <w:rPr>
        <w:rFonts w:hint="default"/>
      </w:rPr>
    </w:lvl>
    <w:lvl w:ilvl="8">
      <w:start w:val="1"/>
      <w:numFmt w:val="lowerRoman"/>
      <w:lvlText w:val="%9."/>
      <w:lvlJc w:val="right"/>
      <w:pPr>
        <w:ind w:left="1105" w:hanging="680"/>
      </w:pPr>
      <w:rPr>
        <w:rFonts w:hint="default"/>
      </w:rPr>
    </w:lvl>
  </w:abstractNum>
  <w:abstractNum w:abstractNumId="32" w15:restartNumberingAfterBreak="0">
    <w:nsid w:val="5AA12966"/>
    <w:multiLevelType w:val="multilevel"/>
    <w:tmpl w:val="C762A95C"/>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3" w15:restartNumberingAfterBreak="0">
    <w:nsid w:val="5BF51EC7"/>
    <w:multiLevelType w:val="multilevel"/>
    <w:tmpl w:val="C576E114"/>
    <w:styleLink w:val="Headings"/>
    <w:lvl w:ilvl="0">
      <w:start w:val="1"/>
      <w:numFmt w:val="decimal"/>
      <w:pStyle w:val="Heading2"/>
      <w:lvlText w:val="%1"/>
      <w:lvlJc w:val="left"/>
      <w:pPr>
        <w:tabs>
          <w:tab w:val="num" w:pos="907"/>
        </w:tabs>
        <w:ind w:left="907" w:hanging="907"/>
      </w:pPr>
      <w:rPr>
        <w:rFonts w:ascii="Calibri" w:hAnsi="Calibri" w:hint="default"/>
        <w:b/>
        <w:i w:val="0"/>
      </w:rPr>
    </w:lvl>
    <w:lvl w:ilvl="1">
      <w:start w:val="1"/>
      <w:numFmt w:val="decimal"/>
      <w:pStyle w:val="Heading3"/>
      <w:lvlText w:val="%1.%2"/>
      <w:lvlJc w:val="left"/>
      <w:pPr>
        <w:tabs>
          <w:tab w:val="num" w:pos="907"/>
        </w:tabs>
        <w:ind w:left="907" w:hanging="907"/>
      </w:pPr>
      <w:rPr>
        <w:rFonts w:ascii="Calibri" w:hAnsi="Calibri" w:hint="default"/>
        <w:b/>
        <w:i w:val="0"/>
      </w:rPr>
    </w:lvl>
    <w:lvl w:ilvl="2">
      <w:start w:val="1"/>
      <w:numFmt w:val="decimal"/>
      <w:pStyle w:val="Heading4"/>
      <w:lvlText w:val="%1.%2.%3"/>
      <w:lvlJc w:val="left"/>
      <w:pPr>
        <w:tabs>
          <w:tab w:val="num" w:pos="907"/>
        </w:tabs>
        <w:ind w:left="907" w:hanging="907"/>
      </w:pPr>
      <w:rPr>
        <w:rFonts w:ascii="Calibri" w:hAnsi="Calibri" w:hint="default"/>
        <w:b/>
        <w:i w:val="0"/>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34" w15:restartNumberingAfterBreak="0">
    <w:nsid w:val="671E4476"/>
    <w:multiLevelType w:val="hybridMultilevel"/>
    <w:tmpl w:val="38A80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A61789"/>
    <w:multiLevelType w:val="multilevel"/>
    <w:tmpl w:val="1BD401F4"/>
    <w:styleLink w:val="Part2"/>
    <w:lvl w:ilvl="0">
      <w:start w:val="1"/>
      <w:numFmt w:val="decimal"/>
      <w:lvlText w:val="%1"/>
      <w:lvlJc w:val="left"/>
      <w:pPr>
        <w:ind w:left="851" w:hanging="851"/>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A9E7CE1"/>
    <w:multiLevelType w:val="hybridMultilevel"/>
    <w:tmpl w:val="2144822A"/>
    <w:lvl w:ilvl="0" w:tplc="FAD8B8A4">
      <w:start w:val="1"/>
      <w:numFmt w:val="bullet"/>
      <w:lvlText w:val=""/>
      <w:lvlJc w:val="left"/>
      <w:pPr>
        <w:ind w:left="360" w:hanging="360"/>
      </w:pPr>
      <w:rPr>
        <w:rFonts w:ascii="Symbol" w:hAnsi="Symbol" w:hint="default"/>
      </w:rPr>
    </w:lvl>
    <w:lvl w:ilvl="1" w:tplc="EE4A4DC2" w:tentative="1">
      <w:start w:val="1"/>
      <w:numFmt w:val="bullet"/>
      <w:lvlText w:val="o"/>
      <w:lvlJc w:val="left"/>
      <w:pPr>
        <w:ind w:left="1080" w:hanging="360"/>
      </w:pPr>
      <w:rPr>
        <w:rFonts w:ascii="Courier New" w:hAnsi="Courier New" w:cs="Courier New" w:hint="default"/>
      </w:rPr>
    </w:lvl>
    <w:lvl w:ilvl="2" w:tplc="5ECE72A4" w:tentative="1">
      <w:start w:val="1"/>
      <w:numFmt w:val="bullet"/>
      <w:lvlText w:val=""/>
      <w:lvlJc w:val="left"/>
      <w:pPr>
        <w:ind w:left="1800" w:hanging="360"/>
      </w:pPr>
      <w:rPr>
        <w:rFonts w:ascii="Wingdings" w:hAnsi="Wingdings" w:hint="default"/>
      </w:rPr>
    </w:lvl>
    <w:lvl w:ilvl="3" w:tplc="7996E464" w:tentative="1">
      <w:start w:val="1"/>
      <w:numFmt w:val="bullet"/>
      <w:lvlText w:val=""/>
      <w:lvlJc w:val="left"/>
      <w:pPr>
        <w:ind w:left="2520" w:hanging="360"/>
      </w:pPr>
      <w:rPr>
        <w:rFonts w:ascii="Symbol" w:hAnsi="Symbol" w:hint="default"/>
      </w:rPr>
    </w:lvl>
    <w:lvl w:ilvl="4" w:tplc="65DE6866" w:tentative="1">
      <w:start w:val="1"/>
      <w:numFmt w:val="bullet"/>
      <w:lvlText w:val="o"/>
      <w:lvlJc w:val="left"/>
      <w:pPr>
        <w:ind w:left="3240" w:hanging="360"/>
      </w:pPr>
      <w:rPr>
        <w:rFonts w:ascii="Courier New" w:hAnsi="Courier New" w:cs="Courier New" w:hint="default"/>
      </w:rPr>
    </w:lvl>
    <w:lvl w:ilvl="5" w:tplc="6CBE53E4" w:tentative="1">
      <w:start w:val="1"/>
      <w:numFmt w:val="bullet"/>
      <w:lvlText w:val=""/>
      <w:lvlJc w:val="left"/>
      <w:pPr>
        <w:ind w:left="3960" w:hanging="360"/>
      </w:pPr>
      <w:rPr>
        <w:rFonts w:ascii="Wingdings" w:hAnsi="Wingdings" w:hint="default"/>
      </w:rPr>
    </w:lvl>
    <w:lvl w:ilvl="6" w:tplc="B74EBD7C" w:tentative="1">
      <w:start w:val="1"/>
      <w:numFmt w:val="bullet"/>
      <w:lvlText w:val=""/>
      <w:lvlJc w:val="left"/>
      <w:pPr>
        <w:ind w:left="4680" w:hanging="360"/>
      </w:pPr>
      <w:rPr>
        <w:rFonts w:ascii="Symbol" w:hAnsi="Symbol" w:hint="default"/>
      </w:rPr>
    </w:lvl>
    <w:lvl w:ilvl="7" w:tplc="BF720DCE" w:tentative="1">
      <w:start w:val="1"/>
      <w:numFmt w:val="bullet"/>
      <w:lvlText w:val="o"/>
      <w:lvlJc w:val="left"/>
      <w:pPr>
        <w:ind w:left="5400" w:hanging="360"/>
      </w:pPr>
      <w:rPr>
        <w:rFonts w:ascii="Courier New" w:hAnsi="Courier New" w:cs="Courier New" w:hint="default"/>
      </w:rPr>
    </w:lvl>
    <w:lvl w:ilvl="8" w:tplc="16ECCBD6" w:tentative="1">
      <w:start w:val="1"/>
      <w:numFmt w:val="bullet"/>
      <w:lvlText w:val=""/>
      <w:lvlJc w:val="left"/>
      <w:pPr>
        <w:ind w:left="6120" w:hanging="360"/>
      </w:pPr>
      <w:rPr>
        <w:rFonts w:ascii="Wingdings" w:hAnsi="Wingdings" w:hint="default"/>
      </w:rPr>
    </w:lvl>
  </w:abstractNum>
  <w:abstractNum w:abstractNumId="37" w15:restartNumberingAfterBreak="0">
    <w:nsid w:val="6B5F6578"/>
    <w:multiLevelType w:val="hybridMultilevel"/>
    <w:tmpl w:val="F1248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15D4788"/>
    <w:multiLevelType w:val="multilevel"/>
    <w:tmpl w:val="BB4A98F6"/>
    <w:lvl w:ilvl="0">
      <w:start w:val="1"/>
      <w:numFmt w:val="lowerRoman"/>
      <w:lvlText w:val="%1)"/>
      <w:lvlJc w:val="left"/>
      <w:pPr>
        <w:ind w:left="992" w:hanging="567"/>
      </w:pPr>
      <w:rPr>
        <w:rFonts w:hint="default"/>
      </w:rPr>
    </w:lvl>
    <w:lvl w:ilvl="1">
      <w:start w:val="1"/>
      <w:numFmt w:val="bullet"/>
      <w:lvlText w:val="o"/>
      <w:lvlJc w:val="left"/>
      <w:pPr>
        <w:ind w:left="1587" w:hanging="454"/>
      </w:pPr>
      <w:rPr>
        <w:rFonts w:ascii="Courier New" w:hAnsi="Courier New" w:cs="Courier New" w:hint="default"/>
      </w:rPr>
    </w:lvl>
    <w:lvl w:ilvl="2">
      <w:start w:val="1"/>
      <w:numFmt w:val="lowerRoman"/>
      <w:lvlText w:val="%3."/>
      <w:lvlJc w:val="right"/>
      <w:pPr>
        <w:ind w:left="1105" w:hanging="680"/>
      </w:pPr>
      <w:rPr>
        <w:rFonts w:hint="default"/>
      </w:rPr>
    </w:lvl>
    <w:lvl w:ilvl="3">
      <w:start w:val="1"/>
      <w:numFmt w:val="decimal"/>
      <w:lvlText w:val="%4."/>
      <w:lvlJc w:val="left"/>
      <w:pPr>
        <w:ind w:left="1105" w:hanging="680"/>
      </w:pPr>
      <w:rPr>
        <w:rFonts w:hint="default"/>
      </w:rPr>
    </w:lvl>
    <w:lvl w:ilvl="4">
      <w:start w:val="1"/>
      <w:numFmt w:val="lowerLetter"/>
      <w:lvlText w:val="%5."/>
      <w:lvlJc w:val="left"/>
      <w:pPr>
        <w:ind w:left="1105" w:hanging="680"/>
      </w:pPr>
      <w:rPr>
        <w:rFonts w:hint="default"/>
      </w:rPr>
    </w:lvl>
    <w:lvl w:ilvl="5">
      <w:start w:val="1"/>
      <w:numFmt w:val="lowerRoman"/>
      <w:lvlText w:val="%6."/>
      <w:lvlJc w:val="right"/>
      <w:pPr>
        <w:ind w:left="1105" w:hanging="680"/>
      </w:pPr>
      <w:rPr>
        <w:rFonts w:hint="default"/>
      </w:rPr>
    </w:lvl>
    <w:lvl w:ilvl="6">
      <w:start w:val="1"/>
      <w:numFmt w:val="decimal"/>
      <w:lvlText w:val="%7."/>
      <w:lvlJc w:val="left"/>
      <w:pPr>
        <w:ind w:left="1105" w:hanging="680"/>
      </w:pPr>
      <w:rPr>
        <w:rFonts w:hint="default"/>
      </w:rPr>
    </w:lvl>
    <w:lvl w:ilvl="7">
      <w:start w:val="1"/>
      <w:numFmt w:val="lowerLetter"/>
      <w:lvlText w:val="%8."/>
      <w:lvlJc w:val="left"/>
      <w:pPr>
        <w:ind w:left="1105" w:hanging="680"/>
      </w:pPr>
      <w:rPr>
        <w:rFonts w:hint="default"/>
      </w:rPr>
    </w:lvl>
    <w:lvl w:ilvl="8">
      <w:start w:val="1"/>
      <w:numFmt w:val="lowerRoman"/>
      <w:lvlText w:val="%9."/>
      <w:lvlJc w:val="right"/>
      <w:pPr>
        <w:ind w:left="1105" w:hanging="680"/>
      </w:pPr>
      <w:rPr>
        <w:rFonts w:hint="default"/>
      </w:rPr>
    </w:lvl>
  </w:abstractNum>
  <w:abstractNum w:abstractNumId="40" w15:restartNumberingAfterBreak="0">
    <w:nsid w:val="72184505"/>
    <w:multiLevelType w:val="hybridMultilevel"/>
    <w:tmpl w:val="F6FA8456"/>
    <w:lvl w:ilvl="0" w:tplc="F50A38C8">
      <w:start w:val="1"/>
      <w:numFmt w:val="decimal"/>
      <w:lvlText w:val="%1."/>
      <w:lvlJc w:val="left"/>
      <w:pPr>
        <w:ind w:left="360" w:hanging="360"/>
      </w:pPr>
      <w:rPr>
        <w:rFonts w:hint="default"/>
        <w:b/>
      </w:rPr>
    </w:lvl>
    <w:lvl w:ilvl="1" w:tplc="ADB8F3EC" w:tentative="1">
      <w:start w:val="1"/>
      <w:numFmt w:val="lowerLetter"/>
      <w:lvlText w:val="%2."/>
      <w:lvlJc w:val="left"/>
      <w:pPr>
        <w:ind w:left="1080" w:hanging="360"/>
      </w:pPr>
    </w:lvl>
    <w:lvl w:ilvl="2" w:tplc="26060B16" w:tentative="1">
      <w:start w:val="1"/>
      <w:numFmt w:val="lowerRoman"/>
      <w:lvlText w:val="%3."/>
      <w:lvlJc w:val="right"/>
      <w:pPr>
        <w:ind w:left="1800" w:hanging="180"/>
      </w:pPr>
    </w:lvl>
    <w:lvl w:ilvl="3" w:tplc="9F7CFF48" w:tentative="1">
      <w:start w:val="1"/>
      <w:numFmt w:val="decimal"/>
      <w:lvlText w:val="%4."/>
      <w:lvlJc w:val="left"/>
      <w:pPr>
        <w:ind w:left="2520" w:hanging="360"/>
      </w:pPr>
    </w:lvl>
    <w:lvl w:ilvl="4" w:tplc="1BC82526" w:tentative="1">
      <w:start w:val="1"/>
      <w:numFmt w:val="lowerLetter"/>
      <w:lvlText w:val="%5."/>
      <w:lvlJc w:val="left"/>
      <w:pPr>
        <w:ind w:left="3240" w:hanging="360"/>
      </w:pPr>
    </w:lvl>
    <w:lvl w:ilvl="5" w:tplc="66184436" w:tentative="1">
      <w:start w:val="1"/>
      <w:numFmt w:val="lowerRoman"/>
      <w:lvlText w:val="%6."/>
      <w:lvlJc w:val="right"/>
      <w:pPr>
        <w:ind w:left="3960" w:hanging="180"/>
      </w:pPr>
    </w:lvl>
    <w:lvl w:ilvl="6" w:tplc="4936F3E6" w:tentative="1">
      <w:start w:val="1"/>
      <w:numFmt w:val="decimal"/>
      <w:lvlText w:val="%7."/>
      <w:lvlJc w:val="left"/>
      <w:pPr>
        <w:ind w:left="4680" w:hanging="360"/>
      </w:pPr>
    </w:lvl>
    <w:lvl w:ilvl="7" w:tplc="4D840EFA" w:tentative="1">
      <w:start w:val="1"/>
      <w:numFmt w:val="lowerLetter"/>
      <w:lvlText w:val="%8."/>
      <w:lvlJc w:val="left"/>
      <w:pPr>
        <w:ind w:left="5400" w:hanging="360"/>
      </w:pPr>
    </w:lvl>
    <w:lvl w:ilvl="8" w:tplc="D486D2AA" w:tentative="1">
      <w:start w:val="1"/>
      <w:numFmt w:val="lowerRoman"/>
      <w:lvlText w:val="%9."/>
      <w:lvlJc w:val="right"/>
      <w:pPr>
        <w:ind w:left="6120" w:hanging="180"/>
      </w:pPr>
    </w:lvl>
  </w:abstractNum>
  <w:abstractNum w:abstractNumId="41" w15:restartNumberingAfterBreak="0">
    <w:nsid w:val="777931FA"/>
    <w:multiLevelType w:val="hybridMultilevel"/>
    <w:tmpl w:val="060A0782"/>
    <w:lvl w:ilvl="0" w:tplc="453A2B04">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42" w15:restartNumberingAfterBreak="0">
    <w:nsid w:val="7A931C68"/>
    <w:multiLevelType w:val="hybridMultilevel"/>
    <w:tmpl w:val="B4F255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C6615F5"/>
    <w:multiLevelType w:val="singleLevel"/>
    <w:tmpl w:val="DF36C520"/>
    <w:lvl w:ilvl="0">
      <w:start w:val="1"/>
      <w:numFmt w:val="decimal"/>
      <w:pStyle w:val="ListNumber2"/>
      <w:lvlText w:val="%1."/>
      <w:lvlJc w:val="left"/>
      <w:pPr>
        <w:ind w:left="360" w:hanging="360"/>
      </w:pPr>
      <w:rPr>
        <w:rFonts w:hint="default"/>
      </w:rPr>
    </w:lvl>
  </w:abstractNum>
  <w:abstractNum w:abstractNumId="44" w15:restartNumberingAfterBreak="0">
    <w:nsid w:val="7CDC62E8"/>
    <w:multiLevelType w:val="hybridMultilevel"/>
    <w:tmpl w:val="6B6EE65A"/>
    <w:lvl w:ilvl="0" w:tplc="510215D2">
      <w:start w:val="1"/>
      <w:numFmt w:val="bullet"/>
      <w:lvlText w:val=""/>
      <w:lvlJc w:val="left"/>
      <w:pPr>
        <w:ind w:left="360" w:hanging="360"/>
      </w:pPr>
      <w:rPr>
        <w:rFonts w:ascii="Symbol" w:hAnsi="Symbol" w:hint="default"/>
      </w:rPr>
    </w:lvl>
    <w:lvl w:ilvl="1" w:tplc="A0FED0C4" w:tentative="1">
      <w:start w:val="1"/>
      <w:numFmt w:val="bullet"/>
      <w:lvlText w:val="o"/>
      <w:lvlJc w:val="left"/>
      <w:pPr>
        <w:ind w:left="1080" w:hanging="360"/>
      </w:pPr>
      <w:rPr>
        <w:rFonts w:ascii="Courier New" w:hAnsi="Courier New" w:cs="Courier New" w:hint="default"/>
      </w:rPr>
    </w:lvl>
    <w:lvl w:ilvl="2" w:tplc="946A46CA" w:tentative="1">
      <w:start w:val="1"/>
      <w:numFmt w:val="bullet"/>
      <w:lvlText w:val=""/>
      <w:lvlJc w:val="left"/>
      <w:pPr>
        <w:ind w:left="1800" w:hanging="360"/>
      </w:pPr>
      <w:rPr>
        <w:rFonts w:ascii="Wingdings" w:hAnsi="Wingdings" w:hint="default"/>
      </w:rPr>
    </w:lvl>
    <w:lvl w:ilvl="3" w:tplc="3F527A40" w:tentative="1">
      <w:start w:val="1"/>
      <w:numFmt w:val="bullet"/>
      <w:lvlText w:val=""/>
      <w:lvlJc w:val="left"/>
      <w:pPr>
        <w:ind w:left="2520" w:hanging="360"/>
      </w:pPr>
      <w:rPr>
        <w:rFonts w:ascii="Symbol" w:hAnsi="Symbol" w:hint="default"/>
      </w:rPr>
    </w:lvl>
    <w:lvl w:ilvl="4" w:tplc="8522EA08" w:tentative="1">
      <w:start w:val="1"/>
      <w:numFmt w:val="bullet"/>
      <w:lvlText w:val="o"/>
      <w:lvlJc w:val="left"/>
      <w:pPr>
        <w:ind w:left="3240" w:hanging="360"/>
      </w:pPr>
      <w:rPr>
        <w:rFonts w:ascii="Courier New" w:hAnsi="Courier New" w:cs="Courier New" w:hint="default"/>
      </w:rPr>
    </w:lvl>
    <w:lvl w:ilvl="5" w:tplc="C49E80A6" w:tentative="1">
      <w:start w:val="1"/>
      <w:numFmt w:val="bullet"/>
      <w:lvlText w:val=""/>
      <w:lvlJc w:val="left"/>
      <w:pPr>
        <w:ind w:left="3960" w:hanging="360"/>
      </w:pPr>
      <w:rPr>
        <w:rFonts w:ascii="Wingdings" w:hAnsi="Wingdings" w:hint="default"/>
      </w:rPr>
    </w:lvl>
    <w:lvl w:ilvl="6" w:tplc="FC8A018E" w:tentative="1">
      <w:start w:val="1"/>
      <w:numFmt w:val="bullet"/>
      <w:lvlText w:val=""/>
      <w:lvlJc w:val="left"/>
      <w:pPr>
        <w:ind w:left="4680" w:hanging="360"/>
      </w:pPr>
      <w:rPr>
        <w:rFonts w:ascii="Symbol" w:hAnsi="Symbol" w:hint="default"/>
      </w:rPr>
    </w:lvl>
    <w:lvl w:ilvl="7" w:tplc="16AE6F90" w:tentative="1">
      <w:start w:val="1"/>
      <w:numFmt w:val="bullet"/>
      <w:lvlText w:val="o"/>
      <w:lvlJc w:val="left"/>
      <w:pPr>
        <w:ind w:left="5400" w:hanging="360"/>
      </w:pPr>
      <w:rPr>
        <w:rFonts w:ascii="Courier New" w:hAnsi="Courier New" w:cs="Courier New" w:hint="default"/>
      </w:rPr>
    </w:lvl>
    <w:lvl w:ilvl="8" w:tplc="59F8E2A8"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22"/>
  </w:num>
  <w:num w:numId="4">
    <w:abstractNumId w:val="9"/>
  </w:num>
  <w:num w:numId="5">
    <w:abstractNumId w:val="35"/>
  </w:num>
  <w:num w:numId="6">
    <w:abstractNumId w:val="32"/>
  </w:num>
  <w:num w:numId="7">
    <w:abstractNumId w:val="29"/>
  </w:num>
  <w:num w:numId="8">
    <w:abstractNumId w:val="11"/>
  </w:num>
  <w:num w:numId="9">
    <w:abstractNumId w:val="1"/>
  </w:num>
  <w:num w:numId="10">
    <w:abstractNumId w:val="38"/>
  </w:num>
  <w:num w:numId="11">
    <w:abstractNumId w:val="33"/>
  </w:num>
  <w:num w:numId="12">
    <w:abstractNumId w:val="16"/>
  </w:num>
  <w:num w:numId="13">
    <w:abstractNumId w:val="43"/>
  </w:num>
  <w:num w:numId="14">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15">
    <w:abstractNumId w:val="8"/>
  </w:num>
  <w:num w:numId="16">
    <w:abstractNumId w:val="12"/>
  </w:num>
  <w:num w:numId="17">
    <w:abstractNumId w:val="15"/>
  </w:num>
  <w:num w:numId="18">
    <w:abstractNumId w:val="18"/>
  </w:num>
  <w:num w:numId="19">
    <w:abstractNumId w:val="19"/>
  </w:num>
  <w:num w:numId="20">
    <w:abstractNumId w:val="25"/>
  </w:num>
  <w:num w:numId="21">
    <w:abstractNumId w:val="30"/>
  </w:num>
  <w:num w:numId="22">
    <w:abstractNumId w:val="23"/>
  </w:num>
  <w:num w:numId="23">
    <w:abstractNumId w:val="7"/>
  </w:num>
  <w:num w:numId="24">
    <w:abstractNumId w:val="6"/>
  </w:num>
  <w:num w:numId="25">
    <w:abstractNumId w:val="41"/>
  </w:num>
  <w:num w:numId="26">
    <w:abstractNumId w:val="4"/>
  </w:num>
  <w:num w:numId="27">
    <w:abstractNumId w:val="3"/>
  </w:num>
  <w:num w:numId="28">
    <w:abstractNumId w:val="40"/>
  </w:num>
  <w:num w:numId="29">
    <w:abstractNumId w:val="5"/>
  </w:num>
  <w:num w:numId="30">
    <w:abstractNumId w:val="28"/>
  </w:num>
  <w:num w:numId="31">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2">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3">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4">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5">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6">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7">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8">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9">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0">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1">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2">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3">
    <w:abstractNumId w:val="21"/>
  </w:num>
  <w:num w:numId="44">
    <w:abstractNumId w:val="14"/>
    <w:lvlOverride w:ilvl="0">
      <w:lvl w:ilvl="0">
        <w:start w:val="1"/>
        <w:numFmt w:val="decimal"/>
        <w:pStyle w:val="Heading2"/>
        <w:lvlText w:val="%1"/>
        <w:lvlJc w:val="left"/>
        <w:pPr>
          <w:tabs>
            <w:tab w:val="num" w:pos="1049"/>
          </w:tabs>
          <w:ind w:left="1049" w:hanging="907"/>
        </w:pPr>
        <w:rPr>
          <w:rFonts w:ascii="Calibri" w:hAnsi="Calibri" w:hint="default"/>
          <w:b/>
          <w:i w:val="0"/>
        </w:rPr>
      </w:lvl>
    </w:lvlOverride>
    <w:lvlOverride w:ilvl="1">
      <w:lvl w:ilvl="1">
        <w:start w:val="1"/>
        <w:numFmt w:val="decimal"/>
        <w:pStyle w:val="Heading3"/>
        <w:lvlText w:val="%1.%2"/>
        <w:lvlJc w:val="left"/>
        <w:pPr>
          <w:tabs>
            <w:tab w:val="num" w:pos="1049"/>
          </w:tabs>
          <w:ind w:left="1049" w:hanging="907"/>
        </w:pPr>
        <w:rPr>
          <w:rFonts w:ascii="Calibri" w:hAnsi="Calibri" w:hint="default"/>
          <w:b/>
          <w:i w:val="0"/>
        </w:rPr>
      </w:lvl>
    </w:lvlOverride>
    <w:lvlOverride w:ilvl="2">
      <w:lvl w:ilvl="2">
        <w:start w:val="1"/>
        <w:numFmt w:val="decimal"/>
        <w:pStyle w:val="Heading4"/>
        <w:lvlText w:val="%1.%2.%3"/>
        <w:lvlJc w:val="left"/>
        <w:pPr>
          <w:tabs>
            <w:tab w:val="num" w:pos="1474"/>
          </w:tabs>
          <w:ind w:left="1474" w:hanging="90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709" w:hanging="567"/>
        </w:pPr>
        <w:rPr>
          <w:rFonts w:hint="default"/>
        </w:rPr>
      </w:lvl>
    </w:lvlOverride>
    <w:lvlOverride w:ilvl="4">
      <w:lvl w:ilvl="4">
        <w:start w:val="1"/>
        <w:numFmt w:val="none"/>
        <w:lvlText w:val=""/>
        <w:lvlJc w:val="left"/>
        <w:pPr>
          <w:ind w:left="709" w:hanging="567"/>
        </w:pPr>
        <w:rPr>
          <w:rFonts w:hint="default"/>
        </w:rPr>
      </w:lvl>
    </w:lvlOverride>
    <w:lvlOverride w:ilvl="5">
      <w:lvl w:ilvl="5">
        <w:start w:val="1"/>
        <w:numFmt w:val="none"/>
        <w:lvlText w:val=""/>
        <w:lvlJc w:val="left"/>
        <w:pPr>
          <w:ind w:left="709" w:hanging="567"/>
        </w:pPr>
        <w:rPr>
          <w:rFonts w:hint="default"/>
        </w:rPr>
      </w:lvl>
    </w:lvlOverride>
    <w:lvlOverride w:ilvl="6">
      <w:lvl w:ilvl="6">
        <w:start w:val="1"/>
        <w:numFmt w:val="none"/>
        <w:lvlText w:val=""/>
        <w:lvlJc w:val="left"/>
        <w:pPr>
          <w:ind w:left="709" w:hanging="567"/>
        </w:pPr>
        <w:rPr>
          <w:rFonts w:hint="default"/>
        </w:rPr>
      </w:lvl>
    </w:lvlOverride>
    <w:lvlOverride w:ilvl="7">
      <w:lvl w:ilvl="7">
        <w:start w:val="1"/>
        <w:numFmt w:val="none"/>
        <w:lvlText w:val=""/>
        <w:lvlJc w:val="left"/>
        <w:pPr>
          <w:ind w:left="709" w:hanging="567"/>
        </w:pPr>
        <w:rPr>
          <w:rFonts w:hint="default"/>
        </w:rPr>
      </w:lvl>
    </w:lvlOverride>
    <w:lvlOverride w:ilvl="8">
      <w:lvl w:ilvl="8">
        <w:start w:val="1"/>
        <w:numFmt w:val="none"/>
        <w:lvlText w:val=""/>
        <w:lvlJc w:val="left"/>
        <w:pPr>
          <w:ind w:left="709" w:hanging="567"/>
        </w:pPr>
        <w:rPr>
          <w:rFonts w:hint="default"/>
        </w:rPr>
      </w:lvl>
    </w:lvlOverride>
  </w:num>
  <w:num w:numId="45">
    <w:abstractNumId w:val="37"/>
  </w:num>
  <w:num w:numId="46">
    <w:abstractNumId w:val="42"/>
  </w:num>
  <w:num w:numId="47">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8">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9">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50">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51">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52">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53">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54">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55">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56">
    <w:abstractNumId w:val="36"/>
  </w:num>
  <w:num w:numId="57">
    <w:abstractNumId w:val="20"/>
  </w:num>
  <w:num w:numId="58">
    <w:abstractNumId w:val="26"/>
  </w:num>
  <w:num w:numId="59">
    <w:abstractNumId w:val="32"/>
  </w:num>
  <w:num w:numId="60">
    <w:abstractNumId w:val="32"/>
  </w:num>
  <w:num w:numId="61">
    <w:abstractNumId w:val="32"/>
  </w:num>
  <w:num w:numId="62">
    <w:abstractNumId w:val="32"/>
  </w:num>
  <w:num w:numId="63">
    <w:abstractNumId w:val="32"/>
  </w:num>
  <w:num w:numId="64">
    <w:abstractNumId w:val="32"/>
  </w:num>
  <w:num w:numId="65">
    <w:abstractNumId w:val="32"/>
  </w:num>
  <w:num w:numId="66">
    <w:abstractNumId w:val="32"/>
  </w:num>
  <w:num w:numId="67">
    <w:abstractNumId w:val="32"/>
  </w:num>
  <w:num w:numId="68">
    <w:abstractNumId w:val="32"/>
  </w:num>
  <w:num w:numId="69">
    <w:abstractNumId w:val="32"/>
  </w:num>
  <w:num w:numId="70">
    <w:abstractNumId w:val="32"/>
  </w:num>
  <w:num w:numId="71">
    <w:abstractNumId w:val="32"/>
  </w:num>
  <w:num w:numId="72">
    <w:abstractNumId w:val="32"/>
  </w:num>
  <w:num w:numId="73">
    <w:abstractNumId w:val="39"/>
  </w:num>
  <w:num w:numId="74">
    <w:abstractNumId w:val="31"/>
  </w:num>
  <w:num w:numId="75">
    <w:abstractNumId w:val="27"/>
  </w:num>
  <w:num w:numId="76">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77">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2"/>
          </w:tabs>
          <w:ind w:left="1332" w:hanging="907"/>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78">
    <w:abstractNumId w:val="13"/>
  </w:num>
  <w:num w:numId="79">
    <w:abstractNumId w:val="0"/>
  </w:num>
  <w:num w:numId="80">
    <w:abstractNumId w:val="44"/>
  </w:num>
  <w:num w:numId="81">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82">
    <w:abstractNumId w:val="17"/>
  </w:num>
  <w:num w:numId="83">
    <w:abstractNumId w:val="14"/>
    <w:lvlOverride w:ilvl="0">
      <w:startOverride w:val="1"/>
      <w:lvl w:ilvl="0">
        <w:start w:val="1"/>
        <w:numFmt w:val="decimal"/>
        <w:pStyle w:val="Heading2"/>
        <w:lvlText w:val="%1"/>
        <w:lvlJc w:val="left"/>
        <w:pPr>
          <w:tabs>
            <w:tab w:val="num" w:pos="907"/>
          </w:tabs>
          <w:ind w:left="907" w:hanging="907"/>
        </w:pPr>
        <w:rPr>
          <w:rFonts w:ascii="Calibri" w:hAnsi="Calibri" w:hint="default"/>
          <w:b/>
          <w:i w:val="0"/>
        </w:rPr>
      </w:lvl>
    </w:lvlOverride>
    <w:lvlOverride w:ilvl="1">
      <w:startOverride w:va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startOverride w:val="1"/>
      <w:lvl w:ilvl="2">
        <w:start w:val="1"/>
        <w:numFmt w:val="decimal"/>
        <w:pStyle w:val="Heading4"/>
        <w:lvlText w:val="%1.%2.%3"/>
        <w:lvlJc w:val="left"/>
        <w:pPr>
          <w:tabs>
            <w:tab w:val="num" w:pos="907"/>
          </w:tabs>
          <w:ind w:left="907" w:hanging="907"/>
        </w:pPr>
        <w:rPr>
          <w:rFonts w:ascii="Calibri" w:hAnsi="Calibri" w:hint="default"/>
          <w:b/>
          <w:i w:val="0"/>
        </w:rPr>
      </w:lvl>
    </w:lvlOverride>
    <w:lvlOverride w:ilvl="3">
      <w:startOverride w:val="1"/>
      <w:lvl w:ilvl="3">
        <w:start w:val="1"/>
        <w:numFmt w:val="none"/>
        <w:lvlText w:val=""/>
        <w:lvlJc w:val="left"/>
        <w:pPr>
          <w:ind w:left="567" w:hanging="567"/>
        </w:pPr>
        <w:rPr>
          <w:rFonts w:hint="default"/>
        </w:rPr>
      </w:lvl>
    </w:lvlOverride>
    <w:lvlOverride w:ilvl="4">
      <w:startOverride w:val="1"/>
      <w:lvl w:ilvl="4">
        <w:start w:val="1"/>
        <w:numFmt w:val="none"/>
        <w:lvlText w:val=""/>
        <w:lvlJc w:val="left"/>
        <w:pPr>
          <w:ind w:left="567" w:hanging="567"/>
        </w:pPr>
        <w:rPr>
          <w:rFonts w:hint="default"/>
        </w:rPr>
      </w:lvl>
    </w:lvlOverride>
    <w:lvlOverride w:ilvl="5">
      <w:startOverride w:val="1"/>
      <w:lvl w:ilvl="5">
        <w:start w:val="1"/>
        <w:numFmt w:val="none"/>
        <w:lvlText w:val=""/>
        <w:lvlJc w:val="left"/>
        <w:pPr>
          <w:ind w:left="567" w:hanging="567"/>
        </w:pPr>
        <w:rPr>
          <w:rFonts w:hint="default"/>
        </w:rPr>
      </w:lvl>
    </w:lvlOverride>
    <w:lvlOverride w:ilvl="6">
      <w:startOverride w:val="1"/>
      <w:lvl w:ilvl="6">
        <w:start w:val="1"/>
        <w:numFmt w:val="none"/>
        <w:lvlText w:val=""/>
        <w:lvlJc w:val="left"/>
        <w:pPr>
          <w:ind w:left="567" w:hanging="567"/>
        </w:pPr>
        <w:rPr>
          <w:rFonts w:hint="default"/>
        </w:rPr>
      </w:lvl>
    </w:lvlOverride>
    <w:lvlOverride w:ilvl="7">
      <w:startOverride w:val="1"/>
      <w:lvl w:ilvl="7">
        <w:start w:val="1"/>
        <w:numFmt w:val="none"/>
        <w:lvlText w:val=""/>
        <w:lvlJc w:val="left"/>
        <w:pPr>
          <w:ind w:left="567" w:hanging="567"/>
        </w:pPr>
        <w:rPr>
          <w:rFonts w:hint="default"/>
        </w:rPr>
      </w:lvl>
    </w:lvlOverride>
    <w:lvlOverride w:ilvl="8">
      <w:startOverride w:val="1"/>
      <w:lvl w:ilvl="8">
        <w:start w:val="1"/>
        <w:numFmt w:val="none"/>
        <w:lvlText w:val=""/>
        <w:lvlJc w:val="left"/>
        <w:pPr>
          <w:ind w:left="567" w:hanging="567"/>
        </w:pPr>
        <w:rPr>
          <w:rFonts w:hint="default"/>
        </w:rPr>
      </w:lvl>
    </w:lvlOverride>
  </w:num>
  <w:num w:numId="84">
    <w:abstractNumId w:val="14"/>
    <w:lvlOverride w:ilvl="0">
      <w:lvl w:ilvl="0">
        <w:start w:val="1"/>
        <w:numFmt w:val="decimal"/>
        <w:pStyle w:val="Heading2"/>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85">
    <w:abstractNumId w:val="24"/>
  </w:num>
  <w:num w:numId="86">
    <w:abstractNumId w:val="34"/>
  </w:num>
  <w:num w:numId="87">
    <w:abstractNumId w:val="2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7577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DOI&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B0E44"/>
    <w:rsid w:val="000008BF"/>
    <w:rsid w:val="00001851"/>
    <w:rsid w:val="00001DA8"/>
    <w:rsid w:val="00001DD5"/>
    <w:rsid w:val="00006185"/>
    <w:rsid w:val="00024729"/>
    <w:rsid w:val="0003300A"/>
    <w:rsid w:val="0004240E"/>
    <w:rsid w:val="00056ED0"/>
    <w:rsid w:val="00061570"/>
    <w:rsid w:val="00061F39"/>
    <w:rsid w:val="00065206"/>
    <w:rsid w:val="0007369F"/>
    <w:rsid w:val="000745E6"/>
    <w:rsid w:val="0007540E"/>
    <w:rsid w:val="0009031D"/>
    <w:rsid w:val="00091F3D"/>
    <w:rsid w:val="00092CA2"/>
    <w:rsid w:val="00093DC3"/>
    <w:rsid w:val="000B114E"/>
    <w:rsid w:val="000B2C77"/>
    <w:rsid w:val="000B5653"/>
    <w:rsid w:val="000B6663"/>
    <w:rsid w:val="000C0B0D"/>
    <w:rsid w:val="000C11D5"/>
    <w:rsid w:val="000C62B1"/>
    <w:rsid w:val="000D0761"/>
    <w:rsid w:val="000D3BA7"/>
    <w:rsid w:val="000E2F7D"/>
    <w:rsid w:val="000E7592"/>
    <w:rsid w:val="000F1D5A"/>
    <w:rsid w:val="000F7A1D"/>
    <w:rsid w:val="000F7F89"/>
    <w:rsid w:val="00105AF1"/>
    <w:rsid w:val="00105D6F"/>
    <w:rsid w:val="00106C89"/>
    <w:rsid w:val="00112BDD"/>
    <w:rsid w:val="00113183"/>
    <w:rsid w:val="001278CB"/>
    <w:rsid w:val="00134D52"/>
    <w:rsid w:val="00155BB5"/>
    <w:rsid w:val="00166ED4"/>
    <w:rsid w:val="0017143B"/>
    <w:rsid w:val="00174A11"/>
    <w:rsid w:val="001765C4"/>
    <w:rsid w:val="001841FA"/>
    <w:rsid w:val="00194610"/>
    <w:rsid w:val="00197FAF"/>
    <w:rsid w:val="001B283F"/>
    <w:rsid w:val="001B3C57"/>
    <w:rsid w:val="001B4EF3"/>
    <w:rsid w:val="001C3214"/>
    <w:rsid w:val="001D0094"/>
    <w:rsid w:val="001D4D0B"/>
    <w:rsid w:val="001D5402"/>
    <w:rsid w:val="001D7D52"/>
    <w:rsid w:val="001E2587"/>
    <w:rsid w:val="001E25BC"/>
    <w:rsid w:val="001E7903"/>
    <w:rsid w:val="001F43F0"/>
    <w:rsid w:val="001F7008"/>
    <w:rsid w:val="00201096"/>
    <w:rsid w:val="00203091"/>
    <w:rsid w:val="00206F0E"/>
    <w:rsid w:val="00211D88"/>
    <w:rsid w:val="00214738"/>
    <w:rsid w:val="002203FA"/>
    <w:rsid w:val="00221389"/>
    <w:rsid w:val="00223743"/>
    <w:rsid w:val="00226C8C"/>
    <w:rsid w:val="00233246"/>
    <w:rsid w:val="00241CD2"/>
    <w:rsid w:val="00244AB6"/>
    <w:rsid w:val="00244AE3"/>
    <w:rsid w:val="00250207"/>
    <w:rsid w:val="00252921"/>
    <w:rsid w:val="0026542D"/>
    <w:rsid w:val="002717A9"/>
    <w:rsid w:val="00273AAE"/>
    <w:rsid w:val="0028001A"/>
    <w:rsid w:val="002850E9"/>
    <w:rsid w:val="00286157"/>
    <w:rsid w:val="0029030B"/>
    <w:rsid w:val="00292BA0"/>
    <w:rsid w:val="002A65FF"/>
    <w:rsid w:val="002F0E90"/>
    <w:rsid w:val="002F1C95"/>
    <w:rsid w:val="002F2B47"/>
    <w:rsid w:val="002F4BC7"/>
    <w:rsid w:val="002F5FFB"/>
    <w:rsid w:val="002F73CB"/>
    <w:rsid w:val="00301951"/>
    <w:rsid w:val="00303A10"/>
    <w:rsid w:val="00312E89"/>
    <w:rsid w:val="003163D9"/>
    <w:rsid w:val="00325572"/>
    <w:rsid w:val="00330E60"/>
    <w:rsid w:val="00341BAA"/>
    <w:rsid w:val="00342F1C"/>
    <w:rsid w:val="0035166F"/>
    <w:rsid w:val="00351964"/>
    <w:rsid w:val="003519B9"/>
    <w:rsid w:val="003552C8"/>
    <w:rsid w:val="0035603B"/>
    <w:rsid w:val="00357A9F"/>
    <w:rsid w:val="00360B15"/>
    <w:rsid w:val="00361FA3"/>
    <w:rsid w:val="0037175D"/>
    <w:rsid w:val="0037228A"/>
    <w:rsid w:val="00373D5E"/>
    <w:rsid w:val="00376EE2"/>
    <w:rsid w:val="00377BE6"/>
    <w:rsid w:val="00381F7A"/>
    <w:rsid w:val="00394320"/>
    <w:rsid w:val="0039647A"/>
    <w:rsid w:val="00396FE6"/>
    <w:rsid w:val="00397C54"/>
    <w:rsid w:val="003A3D2E"/>
    <w:rsid w:val="003B12DB"/>
    <w:rsid w:val="003B2208"/>
    <w:rsid w:val="003B7429"/>
    <w:rsid w:val="003C2F2F"/>
    <w:rsid w:val="003C3918"/>
    <w:rsid w:val="003D16ED"/>
    <w:rsid w:val="003D5B2B"/>
    <w:rsid w:val="003F0DD3"/>
    <w:rsid w:val="003F1E1E"/>
    <w:rsid w:val="003F2208"/>
    <w:rsid w:val="003F6E81"/>
    <w:rsid w:val="00402B71"/>
    <w:rsid w:val="00402E7A"/>
    <w:rsid w:val="00406BEE"/>
    <w:rsid w:val="004166B5"/>
    <w:rsid w:val="00423CCE"/>
    <w:rsid w:val="004259F3"/>
    <w:rsid w:val="00432A03"/>
    <w:rsid w:val="00432B08"/>
    <w:rsid w:val="00432E4C"/>
    <w:rsid w:val="00453A2B"/>
    <w:rsid w:val="00454F3E"/>
    <w:rsid w:val="004609A1"/>
    <w:rsid w:val="004631BA"/>
    <w:rsid w:val="00466CC9"/>
    <w:rsid w:val="00467DCD"/>
    <w:rsid w:val="00472E30"/>
    <w:rsid w:val="004745B8"/>
    <w:rsid w:val="004832CA"/>
    <w:rsid w:val="00484107"/>
    <w:rsid w:val="004847A3"/>
    <w:rsid w:val="00487F10"/>
    <w:rsid w:val="00495334"/>
    <w:rsid w:val="004A2269"/>
    <w:rsid w:val="004A2839"/>
    <w:rsid w:val="004B51D3"/>
    <w:rsid w:val="004E486D"/>
    <w:rsid w:val="004F1261"/>
    <w:rsid w:val="0051252F"/>
    <w:rsid w:val="00513C6C"/>
    <w:rsid w:val="0051568D"/>
    <w:rsid w:val="00521B2B"/>
    <w:rsid w:val="00522784"/>
    <w:rsid w:val="00536693"/>
    <w:rsid w:val="0054061D"/>
    <w:rsid w:val="00544414"/>
    <w:rsid w:val="005456C8"/>
    <w:rsid w:val="00550F23"/>
    <w:rsid w:val="00555CCB"/>
    <w:rsid w:val="005621AF"/>
    <w:rsid w:val="00562942"/>
    <w:rsid w:val="005721A3"/>
    <w:rsid w:val="005738AB"/>
    <w:rsid w:val="0057635A"/>
    <w:rsid w:val="0058172E"/>
    <w:rsid w:val="00590420"/>
    <w:rsid w:val="005932C1"/>
    <w:rsid w:val="00596D05"/>
    <w:rsid w:val="005A030A"/>
    <w:rsid w:val="005A7A59"/>
    <w:rsid w:val="005B196A"/>
    <w:rsid w:val="005B3566"/>
    <w:rsid w:val="005B3E05"/>
    <w:rsid w:val="005B4CF3"/>
    <w:rsid w:val="005C6AC1"/>
    <w:rsid w:val="005D240C"/>
    <w:rsid w:val="005E16F5"/>
    <w:rsid w:val="005E4BE4"/>
    <w:rsid w:val="00600887"/>
    <w:rsid w:val="0060177D"/>
    <w:rsid w:val="00605A73"/>
    <w:rsid w:val="0061132A"/>
    <w:rsid w:val="0061287A"/>
    <w:rsid w:val="00614DFE"/>
    <w:rsid w:val="0062225B"/>
    <w:rsid w:val="00634AC3"/>
    <w:rsid w:val="00642448"/>
    <w:rsid w:val="00642C16"/>
    <w:rsid w:val="00651F60"/>
    <w:rsid w:val="00653503"/>
    <w:rsid w:val="006546F1"/>
    <w:rsid w:val="00654E71"/>
    <w:rsid w:val="006617F4"/>
    <w:rsid w:val="00662A25"/>
    <w:rsid w:val="00662F23"/>
    <w:rsid w:val="006653BB"/>
    <w:rsid w:val="006701D9"/>
    <w:rsid w:val="00675AB1"/>
    <w:rsid w:val="00684E04"/>
    <w:rsid w:val="00696C7C"/>
    <w:rsid w:val="00696EDB"/>
    <w:rsid w:val="006974BA"/>
    <w:rsid w:val="006A1BF0"/>
    <w:rsid w:val="006C3DB6"/>
    <w:rsid w:val="006C593D"/>
    <w:rsid w:val="006C6689"/>
    <w:rsid w:val="006D1BE0"/>
    <w:rsid w:val="006D3E19"/>
    <w:rsid w:val="006D6219"/>
    <w:rsid w:val="006E45C2"/>
    <w:rsid w:val="006E6145"/>
    <w:rsid w:val="006F7AC3"/>
    <w:rsid w:val="00701621"/>
    <w:rsid w:val="0070470F"/>
    <w:rsid w:val="00706079"/>
    <w:rsid w:val="00713613"/>
    <w:rsid w:val="00713620"/>
    <w:rsid w:val="00736110"/>
    <w:rsid w:val="0074123D"/>
    <w:rsid w:val="0075334C"/>
    <w:rsid w:val="00760A4E"/>
    <w:rsid w:val="00761E67"/>
    <w:rsid w:val="007634B1"/>
    <w:rsid w:val="007658AD"/>
    <w:rsid w:val="00767B7B"/>
    <w:rsid w:val="0077196B"/>
    <w:rsid w:val="00777A4E"/>
    <w:rsid w:val="00791CD5"/>
    <w:rsid w:val="007937BD"/>
    <w:rsid w:val="00796C68"/>
    <w:rsid w:val="007A5BC3"/>
    <w:rsid w:val="007B15E0"/>
    <w:rsid w:val="007C1DFE"/>
    <w:rsid w:val="007C258E"/>
    <w:rsid w:val="007C46AD"/>
    <w:rsid w:val="007C5659"/>
    <w:rsid w:val="007D4036"/>
    <w:rsid w:val="007E2DB0"/>
    <w:rsid w:val="007E61A2"/>
    <w:rsid w:val="007E7A9D"/>
    <w:rsid w:val="007F456F"/>
    <w:rsid w:val="007F78D8"/>
    <w:rsid w:val="00800A3C"/>
    <w:rsid w:val="00800CCE"/>
    <w:rsid w:val="008117C8"/>
    <w:rsid w:val="008305EC"/>
    <w:rsid w:val="00831167"/>
    <w:rsid w:val="00834CFC"/>
    <w:rsid w:val="00836F8A"/>
    <w:rsid w:val="00840E53"/>
    <w:rsid w:val="00842832"/>
    <w:rsid w:val="00847E6D"/>
    <w:rsid w:val="00854CCC"/>
    <w:rsid w:val="00855970"/>
    <w:rsid w:val="00861A43"/>
    <w:rsid w:val="0086603B"/>
    <w:rsid w:val="0087733F"/>
    <w:rsid w:val="00877ECB"/>
    <w:rsid w:val="00883A69"/>
    <w:rsid w:val="0089049E"/>
    <w:rsid w:val="008A5EDC"/>
    <w:rsid w:val="008B45D0"/>
    <w:rsid w:val="008B5BD8"/>
    <w:rsid w:val="008D1FF1"/>
    <w:rsid w:val="008D59E6"/>
    <w:rsid w:val="008D7BB7"/>
    <w:rsid w:val="008E1C53"/>
    <w:rsid w:val="008E50F5"/>
    <w:rsid w:val="008E5CC6"/>
    <w:rsid w:val="008E69C3"/>
    <w:rsid w:val="008E6CDB"/>
    <w:rsid w:val="008F5DD2"/>
    <w:rsid w:val="008F735C"/>
    <w:rsid w:val="009050BD"/>
    <w:rsid w:val="00914619"/>
    <w:rsid w:val="00936C23"/>
    <w:rsid w:val="00956730"/>
    <w:rsid w:val="009668D4"/>
    <w:rsid w:val="00970634"/>
    <w:rsid w:val="0097236B"/>
    <w:rsid w:val="00974B4F"/>
    <w:rsid w:val="00987C74"/>
    <w:rsid w:val="009935C1"/>
    <w:rsid w:val="00995D88"/>
    <w:rsid w:val="009B616B"/>
    <w:rsid w:val="009C0A41"/>
    <w:rsid w:val="009C2D74"/>
    <w:rsid w:val="009C4326"/>
    <w:rsid w:val="009C791B"/>
    <w:rsid w:val="009D0F35"/>
    <w:rsid w:val="009D328F"/>
    <w:rsid w:val="009D3A56"/>
    <w:rsid w:val="009E08C9"/>
    <w:rsid w:val="009E0D8D"/>
    <w:rsid w:val="009E294B"/>
    <w:rsid w:val="009E662D"/>
    <w:rsid w:val="00A0750F"/>
    <w:rsid w:val="00A110D0"/>
    <w:rsid w:val="00A12180"/>
    <w:rsid w:val="00A20DE6"/>
    <w:rsid w:val="00A31994"/>
    <w:rsid w:val="00A437BB"/>
    <w:rsid w:val="00A4711E"/>
    <w:rsid w:val="00A53018"/>
    <w:rsid w:val="00A560A6"/>
    <w:rsid w:val="00A6198A"/>
    <w:rsid w:val="00A6250D"/>
    <w:rsid w:val="00A6322D"/>
    <w:rsid w:val="00A647F3"/>
    <w:rsid w:val="00A65B84"/>
    <w:rsid w:val="00A7303D"/>
    <w:rsid w:val="00A8093E"/>
    <w:rsid w:val="00A81D6D"/>
    <w:rsid w:val="00A85B71"/>
    <w:rsid w:val="00A95820"/>
    <w:rsid w:val="00A96E67"/>
    <w:rsid w:val="00AA73BB"/>
    <w:rsid w:val="00AB0E44"/>
    <w:rsid w:val="00AB0EB2"/>
    <w:rsid w:val="00AC4124"/>
    <w:rsid w:val="00AD7DC1"/>
    <w:rsid w:val="00AE1BFF"/>
    <w:rsid w:val="00AE5434"/>
    <w:rsid w:val="00B14849"/>
    <w:rsid w:val="00B15119"/>
    <w:rsid w:val="00B161CD"/>
    <w:rsid w:val="00B220A2"/>
    <w:rsid w:val="00B324D3"/>
    <w:rsid w:val="00B43F94"/>
    <w:rsid w:val="00B45A5E"/>
    <w:rsid w:val="00B53B4D"/>
    <w:rsid w:val="00B64DEC"/>
    <w:rsid w:val="00B678B9"/>
    <w:rsid w:val="00B73608"/>
    <w:rsid w:val="00B75E10"/>
    <w:rsid w:val="00B764EE"/>
    <w:rsid w:val="00B77F98"/>
    <w:rsid w:val="00B81AE5"/>
    <w:rsid w:val="00B81B11"/>
    <w:rsid w:val="00B841A3"/>
    <w:rsid w:val="00B93423"/>
    <w:rsid w:val="00BA205B"/>
    <w:rsid w:val="00BA3696"/>
    <w:rsid w:val="00BA686B"/>
    <w:rsid w:val="00BB421C"/>
    <w:rsid w:val="00BB442A"/>
    <w:rsid w:val="00BB5087"/>
    <w:rsid w:val="00BC618F"/>
    <w:rsid w:val="00BD65A4"/>
    <w:rsid w:val="00BE4DA3"/>
    <w:rsid w:val="00BE77B7"/>
    <w:rsid w:val="00BF5C72"/>
    <w:rsid w:val="00BF7431"/>
    <w:rsid w:val="00C10DE6"/>
    <w:rsid w:val="00C126E6"/>
    <w:rsid w:val="00C1280F"/>
    <w:rsid w:val="00C248DE"/>
    <w:rsid w:val="00C25E11"/>
    <w:rsid w:val="00C27295"/>
    <w:rsid w:val="00C404F8"/>
    <w:rsid w:val="00C51F0A"/>
    <w:rsid w:val="00C522A1"/>
    <w:rsid w:val="00C54E0A"/>
    <w:rsid w:val="00C63151"/>
    <w:rsid w:val="00C7022F"/>
    <w:rsid w:val="00CA000C"/>
    <w:rsid w:val="00CA3FBB"/>
    <w:rsid w:val="00CA43FC"/>
    <w:rsid w:val="00CC0574"/>
    <w:rsid w:val="00CC15D6"/>
    <w:rsid w:val="00CC34DE"/>
    <w:rsid w:val="00CC6391"/>
    <w:rsid w:val="00CC6843"/>
    <w:rsid w:val="00CE1476"/>
    <w:rsid w:val="00CE2812"/>
    <w:rsid w:val="00CF235F"/>
    <w:rsid w:val="00CF3C95"/>
    <w:rsid w:val="00D02424"/>
    <w:rsid w:val="00D028D6"/>
    <w:rsid w:val="00D0366E"/>
    <w:rsid w:val="00D104EA"/>
    <w:rsid w:val="00D13343"/>
    <w:rsid w:val="00D15A44"/>
    <w:rsid w:val="00D15AF1"/>
    <w:rsid w:val="00D2041F"/>
    <w:rsid w:val="00D2595D"/>
    <w:rsid w:val="00D27AEE"/>
    <w:rsid w:val="00D45F09"/>
    <w:rsid w:val="00D6140F"/>
    <w:rsid w:val="00D639CE"/>
    <w:rsid w:val="00D74F75"/>
    <w:rsid w:val="00D758A3"/>
    <w:rsid w:val="00D765A0"/>
    <w:rsid w:val="00D85E2E"/>
    <w:rsid w:val="00D91C38"/>
    <w:rsid w:val="00D93FB0"/>
    <w:rsid w:val="00D95049"/>
    <w:rsid w:val="00D95088"/>
    <w:rsid w:val="00D970C5"/>
    <w:rsid w:val="00DA102B"/>
    <w:rsid w:val="00DA413A"/>
    <w:rsid w:val="00DB1082"/>
    <w:rsid w:val="00DB34FB"/>
    <w:rsid w:val="00DB353F"/>
    <w:rsid w:val="00DB38CF"/>
    <w:rsid w:val="00DB4898"/>
    <w:rsid w:val="00DB4AAB"/>
    <w:rsid w:val="00DB7076"/>
    <w:rsid w:val="00DC2219"/>
    <w:rsid w:val="00DD475B"/>
    <w:rsid w:val="00DD7F54"/>
    <w:rsid w:val="00DE3111"/>
    <w:rsid w:val="00DF0927"/>
    <w:rsid w:val="00DF0F2B"/>
    <w:rsid w:val="00DF29DC"/>
    <w:rsid w:val="00DF44AA"/>
    <w:rsid w:val="00DF5BB0"/>
    <w:rsid w:val="00DF710F"/>
    <w:rsid w:val="00E01967"/>
    <w:rsid w:val="00E13B9E"/>
    <w:rsid w:val="00E259CB"/>
    <w:rsid w:val="00E36325"/>
    <w:rsid w:val="00E36FF1"/>
    <w:rsid w:val="00E407B0"/>
    <w:rsid w:val="00E4548D"/>
    <w:rsid w:val="00E460BD"/>
    <w:rsid w:val="00E47539"/>
    <w:rsid w:val="00E6336B"/>
    <w:rsid w:val="00E6471A"/>
    <w:rsid w:val="00E77DAA"/>
    <w:rsid w:val="00E87528"/>
    <w:rsid w:val="00E94957"/>
    <w:rsid w:val="00E94C59"/>
    <w:rsid w:val="00EA2692"/>
    <w:rsid w:val="00EA7CFF"/>
    <w:rsid w:val="00EB30F2"/>
    <w:rsid w:val="00EC183A"/>
    <w:rsid w:val="00EC3265"/>
    <w:rsid w:val="00EF503B"/>
    <w:rsid w:val="00EF692C"/>
    <w:rsid w:val="00F029AC"/>
    <w:rsid w:val="00F04B1B"/>
    <w:rsid w:val="00F16F72"/>
    <w:rsid w:val="00F1712F"/>
    <w:rsid w:val="00F21B3D"/>
    <w:rsid w:val="00F26BEE"/>
    <w:rsid w:val="00F351BA"/>
    <w:rsid w:val="00F4424A"/>
    <w:rsid w:val="00F44273"/>
    <w:rsid w:val="00F45473"/>
    <w:rsid w:val="00F507FC"/>
    <w:rsid w:val="00F66F17"/>
    <w:rsid w:val="00F67F22"/>
    <w:rsid w:val="00F940F1"/>
    <w:rsid w:val="00F9643A"/>
    <w:rsid w:val="00F96D8C"/>
    <w:rsid w:val="00FA2992"/>
    <w:rsid w:val="00FA4E21"/>
    <w:rsid w:val="00FB39DF"/>
    <w:rsid w:val="00FB4685"/>
    <w:rsid w:val="00FB72C1"/>
    <w:rsid w:val="00FC2C75"/>
    <w:rsid w:val="00FC2D78"/>
    <w:rsid w:val="00FC545B"/>
    <w:rsid w:val="00FD0B0E"/>
    <w:rsid w:val="00FD1CB3"/>
    <w:rsid w:val="00FE2EB1"/>
    <w:rsid w:val="00FF0C6D"/>
    <w:rsid w:val="00FF116A"/>
    <w:rsid w:val="00FF2979"/>
    <w:rsid w:val="00FF3F03"/>
    <w:rsid w:val="00FF63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25F29407"/>
  <w15:chartTrackingRefBased/>
  <w15:docId w15:val="{6B058461-4172-4668-8EBB-F3F4714A4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3" w:qFormat="1"/>
    <w:lsdException w:name="heading 3" w:uiPriority="4" w:qFormat="1"/>
    <w:lsdException w:name="heading 4" w:uiPriority="5"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0"/>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567"/>
      </w:tabs>
      <w:spacing w:before="120" w:after="120"/>
    </w:pPr>
    <w:rPr>
      <w:rFonts w:asciiTheme="minorHAnsi" w:hAnsiTheme="minorHAnsi"/>
      <w:sz w:val="24"/>
      <w:szCs w:val="22"/>
      <w:lang w:eastAsia="en-US"/>
    </w:rPr>
  </w:style>
  <w:style w:type="paragraph" w:styleId="Heading1">
    <w:name w:val="heading 1"/>
    <w:basedOn w:val="Normal"/>
    <w:next w:val="Normal"/>
    <w:link w:val="Heading1Char"/>
    <w:uiPriority w:val="1"/>
    <w:qFormat/>
    <w:pPr>
      <w:spacing w:before="600" w:after="0"/>
      <w:outlineLvl w:val="0"/>
    </w:pPr>
    <w:rPr>
      <w:b/>
      <w:sz w:val="48"/>
      <w:szCs w:val="48"/>
    </w:rPr>
  </w:style>
  <w:style w:type="paragraph" w:styleId="Heading2">
    <w:name w:val="heading 2"/>
    <w:next w:val="Normal"/>
    <w:link w:val="Heading2Char"/>
    <w:uiPriority w:val="3"/>
    <w:qFormat/>
    <w:pPr>
      <w:pageBreakBefore/>
      <w:numPr>
        <w:numId w:val="14"/>
      </w:numPr>
      <w:spacing w:after="240"/>
      <w:outlineLvl w:val="1"/>
    </w:pPr>
    <w:rPr>
      <w:rFonts w:asciiTheme="minorHAnsi" w:eastAsia="Times New Roman" w:hAnsiTheme="minorHAnsi"/>
      <w:b/>
      <w:bCs/>
      <w:color w:val="000000"/>
      <w:sz w:val="40"/>
      <w:szCs w:val="28"/>
    </w:rPr>
  </w:style>
  <w:style w:type="paragraph" w:styleId="Heading3">
    <w:name w:val="heading 3"/>
    <w:next w:val="Normal"/>
    <w:link w:val="Heading3Char"/>
    <w:uiPriority w:val="4"/>
    <w:qFormat/>
    <w:pPr>
      <w:keepNext/>
      <w:keepLines/>
      <w:numPr>
        <w:ilvl w:val="1"/>
        <w:numId w:val="14"/>
      </w:numPr>
      <w:spacing w:before="240"/>
      <w:outlineLvl w:val="2"/>
    </w:pPr>
    <w:rPr>
      <w:rFonts w:asciiTheme="minorHAnsi" w:eastAsia="Times New Roman" w:hAnsiTheme="minorHAnsi"/>
      <w:b/>
      <w:bCs/>
      <w:color w:val="000000"/>
      <w:sz w:val="32"/>
      <w:szCs w:val="28"/>
    </w:rPr>
  </w:style>
  <w:style w:type="paragraph" w:styleId="Heading4">
    <w:name w:val="heading 4"/>
    <w:next w:val="Normal"/>
    <w:link w:val="Heading4Char"/>
    <w:uiPriority w:val="5"/>
    <w:qFormat/>
    <w:pPr>
      <w:numPr>
        <w:ilvl w:val="2"/>
        <w:numId w:val="14"/>
      </w:numPr>
      <w:spacing w:before="240"/>
      <w:outlineLvl w:val="3"/>
    </w:pPr>
    <w:rPr>
      <w:rFonts w:asciiTheme="minorHAnsi" w:eastAsia="Times New Roman" w:hAnsiTheme="minorHAnsi" w:cs="Mangal"/>
      <w:b/>
      <w:bCs/>
      <w:sz w:val="28"/>
      <w:szCs w:val="22"/>
      <w:lang w:val="x-none" w:eastAsia="x-none" w:bidi="hi-IN"/>
    </w:rPr>
  </w:style>
  <w:style w:type="paragraph" w:styleId="Heading5">
    <w:name w:val="heading 5"/>
    <w:next w:val="Normal"/>
    <w:link w:val="Heading5Char"/>
    <w:uiPriority w:val="9"/>
    <w:qFormat/>
    <w:pPr>
      <w:spacing w:before="240"/>
      <w:outlineLvl w:val="4"/>
    </w:pPr>
    <w:rPr>
      <w:rFonts w:asciiTheme="minorHAnsi" w:eastAsia="Times New Roman" w:hAnsiTheme="minorHAnsi" w:cs="Mangal"/>
      <w:b/>
      <w:bCs/>
      <w:iCs/>
      <w:sz w:val="24"/>
      <w:szCs w:val="22"/>
      <w:lang w:val="x-none" w:eastAsia="x-none"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rFonts w:eastAsia="Times New Roman" w:cs="Mangal"/>
      <w:sz w:val="20"/>
      <w:szCs w:val="20"/>
      <w:lang w:val="x-none" w:eastAsia="x-none" w:bidi="hi-IN"/>
    </w:rPr>
  </w:style>
  <w:style w:type="character" w:customStyle="1" w:styleId="CommentTextChar">
    <w:name w:val="Comment Text Char"/>
    <w:link w:val="CommentText"/>
    <w:uiPriority w:val="99"/>
    <w:rPr>
      <w:rFonts w:eastAsia="Times New Roman"/>
      <w:sz w:val="20"/>
      <w:szCs w:val="20"/>
    </w:rPr>
  </w:style>
  <w:style w:type="paragraph" w:styleId="Header">
    <w:name w:val="header"/>
    <w:basedOn w:val="Normal"/>
    <w:link w:val="HeaderChar"/>
    <w:pPr>
      <w:tabs>
        <w:tab w:val="center" w:pos="4820"/>
      </w:tabs>
      <w:jc w:val="center"/>
    </w:pPr>
    <w:rPr>
      <w:rFonts w:eastAsia="Times New Roman" w:cs="Mangal"/>
      <w:sz w:val="20"/>
      <w:szCs w:val="20"/>
      <w:lang w:val="x-none" w:eastAsia="x-none" w:bidi="hi-IN"/>
    </w:rPr>
  </w:style>
  <w:style w:type="character" w:customStyle="1" w:styleId="HeaderChar">
    <w:name w:val="Header Char"/>
    <w:link w:val="Header"/>
    <w:rPr>
      <w:rFonts w:ascii="Calibri" w:eastAsia="Times New Roman" w:hAnsi="Calibri"/>
      <w:sz w:val="20"/>
    </w:rPr>
  </w:style>
  <w:style w:type="paragraph" w:styleId="Footer">
    <w:name w:val="footer"/>
    <w:basedOn w:val="Normal"/>
    <w:link w:val="FooterChar"/>
    <w:uiPriority w:val="99"/>
    <w:pPr>
      <w:pBdr>
        <w:top w:val="single" w:sz="4" w:space="10" w:color="auto"/>
      </w:pBdr>
      <w:tabs>
        <w:tab w:val="center" w:pos="4536"/>
      </w:tabs>
      <w:spacing w:before="0"/>
      <w:jc w:val="right"/>
    </w:pPr>
    <w:rPr>
      <w:rFonts w:cs="Mangal"/>
      <w:sz w:val="20"/>
      <w:lang w:val="x-none" w:eastAsia="x-none" w:bidi="hi-IN"/>
    </w:rPr>
  </w:style>
  <w:style w:type="character" w:customStyle="1" w:styleId="FooterChar">
    <w:name w:val="Footer Char"/>
    <w:link w:val="Footer"/>
    <w:uiPriority w:val="99"/>
    <w:rPr>
      <w:rFonts w:ascii="Calibri" w:eastAsia="Calibri" w:hAnsi="Calibri" w:cs="Times New Roman"/>
      <w:sz w:val="20"/>
      <w:szCs w:val="22"/>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Lucida Grande" w:eastAsia="Times New Roman" w:hAnsi="Lucida Grande" w:cs="Mangal"/>
      <w:sz w:val="18"/>
      <w:szCs w:val="18"/>
      <w:lang w:val="x-none" w:eastAsia="x-none" w:bidi="hi-IN"/>
    </w:rPr>
  </w:style>
  <w:style w:type="character" w:customStyle="1" w:styleId="BalloonTextChar">
    <w:name w:val="Balloon Text Char"/>
    <w:link w:val="BalloonText"/>
    <w:uiPriority w:val="99"/>
    <w:semiHidden/>
    <w:rPr>
      <w:rFonts w:ascii="Lucida Grande" w:eastAsia="Times New Roman" w:hAnsi="Lucida Grande"/>
      <w:sz w:val="18"/>
      <w:szCs w:val="18"/>
    </w:rPr>
  </w:style>
  <w:style w:type="table" w:styleId="TableGrid">
    <w:name w:val="Table Grid"/>
    <w:basedOn w:val="TableNormal"/>
    <w:uiPriority w:val="39"/>
    <w:pPr>
      <w:spacing w:before="60" w:after="60"/>
    </w:pPr>
    <w:rPr>
      <w:rFonts w:ascii="Cambria" w:eastAsia="Times New Roman" w:hAnsi="Cambr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rFonts w:ascii="Cambria" w:hAnsi="Cambria"/>
      <w:sz w:val="16"/>
    </w:rPr>
  </w:style>
  <w:style w:type="table" w:customStyle="1" w:styleId="TableGrid5">
    <w:name w:val="Table Grid5"/>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1"/>
    <w:rPr>
      <w:rFonts w:asciiTheme="minorHAnsi" w:hAnsiTheme="minorHAnsi"/>
      <w:b/>
      <w:sz w:val="48"/>
      <w:szCs w:val="48"/>
      <w:lang w:eastAsia="en-US"/>
    </w:rPr>
  </w:style>
  <w:style w:type="table" w:customStyle="1" w:styleId="TableGrid6">
    <w:name w:val="Table Grid6"/>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3"/>
    <w:rPr>
      <w:rFonts w:asciiTheme="minorHAnsi" w:eastAsia="Times New Roman" w:hAnsiTheme="minorHAnsi"/>
      <w:b/>
      <w:bCs/>
      <w:color w:val="000000"/>
      <w:sz w:val="40"/>
      <w:szCs w:val="28"/>
    </w:rPr>
  </w:style>
  <w:style w:type="character" w:customStyle="1" w:styleId="Heading3Char">
    <w:name w:val="Heading 3 Char"/>
    <w:link w:val="Heading3"/>
    <w:uiPriority w:val="4"/>
    <w:rPr>
      <w:rFonts w:asciiTheme="minorHAnsi" w:eastAsia="Times New Roman" w:hAnsiTheme="minorHAnsi"/>
      <w:b/>
      <w:bCs/>
      <w:color w:val="000000"/>
      <w:sz w:val="32"/>
      <w:szCs w:val="28"/>
    </w:rPr>
  </w:style>
  <w:style w:type="character" w:customStyle="1" w:styleId="Heading4Char">
    <w:name w:val="Heading 4 Char"/>
    <w:link w:val="Heading4"/>
    <w:uiPriority w:val="5"/>
    <w:rPr>
      <w:rFonts w:asciiTheme="minorHAnsi" w:eastAsia="Times New Roman" w:hAnsiTheme="minorHAnsi" w:cs="Mangal"/>
      <w:b/>
      <w:bCs/>
      <w:sz w:val="28"/>
      <w:szCs w:val="22"/>
      <w:lang w:val="x-none" w:eastAsia="x-none" w:bidi="hi-IN"/>
    </w:rPr>
  </w:style>
  <w:style w:type="character" w:customStyle="1" w:styleId="Heading5Char">
    <w:name w:val="Heading 5 Char"/>
    <w:link w:val="Heading5"/>
    <w:uiPriority w:val="9"/>
    <w:rPr>
      <w:rFonts w:asciiTheme="minorHAnsi" w:eastAsia="Times New Roman" w:hAnsiTheme="minorHAnsi" w:cs="Mangal"/>
      <w:b/>
      <w:bCs/>
      <w:iCs/>
      <w:sz w:val="24"/>
      <w:szCs w:val="22"/>
      <w:lang w:val="x-none" w:eastAsia="x-none" w:bidi="hi-IN"/>
    </w:rPr>
  </w:style>
  <w:style w:type="paragraph" w:styleId="Caption">
    <w:name w:val="caption"/>
    <w:basedOn w:val="Normal"/>
    <w:next w:val="Normal"/>
    <w:link w:val="CaptionChar"/>
    <w:uiPriority w:val="35"/>
    <w:qFormat/>
    <w:pPr>
      <w:keepNext/>
      <w:spacing w:before="360" w:after="100"/>
    </w:pPr>
    <w:rPr>
      <w:b/>
      <w:bCs/>
      <w:color w:val="404040"/>
      <w:szCs w:val="18"/>
    </w:rPr>
  </w:style>
  <w:style w:type="paragraph" w:customStyle="1" w:styleId="TOCHeading1">
    <w:name w:val="TOC Heading1"/>
    <w:basedOn w:val="Heading1"/>
    <w:next w:val="Normal"/>
    <w:uiPriority w:val="39"/>
    <w:qFormat/>
    <w:pPr>
      <w:spacing w:before="480" w:line="276" w:lineRule="auto"/>
      <w:outlineLvl w:val="9"/>
    </w:pPr>
    <w:rPr>
      <w:lang w:val="en-US"/>
    </w:rPr>
  </w:style>
  <w:style w:type="paragraph" w:styleId="TOC1">
    <w:name w:val="toc 1"/>
    <w:basedOn w:val="Normal"/>
    <w:next w:val="Normal"/>
    <w:uiPriority w:val="39"/>
    <w:qFormat/>
    <w:pPr>
      <w:tabs>
        <w:tab w:val="right" w:pos="9402"/>
      </w:tabs>
      <w:spacing w:before="240" w:after="0"/>
    </w:pPr>
    <w:rPr>
      <w:b/>
      <w:sz w:val="20"/>
      <w:szCs w:val="20"/>
    </w:rPr>
  </w:style>
  <w:style w:type="paragraph" w:styleId="TOC2">
    <w:name w:val="toc 2"/>
    <w:basedOn w:val="Normal"/>
    <w:next w:val="Normal"/>
    <w:autoRedefine/>
    <w:uiPriority w:val="39"/>
    <w:qFormat/>
    <w:pPr>
      <w:tabs>
        <w:tab w:val="clear" w:pos="567"/>
        <w:tab w:val="left" w:pos="1134"/>
        <w:tab w:val="right" w:pos="9402"/>
      </w:tabs>
      <w:spacing w:before="0" w:after="0"/>
      <w:ind w:left="567"/>
      <w:contextualSpacing/>
    </w:pPr>
    <w:rPr>
      <w:iCs/>
      <w:noProof/>
      <w:sz w:val="20"/>
      <w:szCs w:val="20"/>
    </w:rPr>
  </w:style>
  <w:style w:type="paragraph" w:styleId="TOC3">
    <w:name w:val="toc 3"/>
    <w:basedOn w:val="Normal"/>
    <w:next w:val="Normal"/>
    <w:autoRedefine/>
    <w:uiPriority w:val="39"/>
    <w:qFormat/>
    <w:pPr>
      <w:tabs>
        <w:tab w:val="clear" w:pos="567"/>
        <w:tab w:val="left" w:pos="1100"/>
        <w:tab w:val="right" w:pos="9402"/>
      </w:tabs>
      <w:spacing w:before="0" w:after="0"/>
      <w:ind w:left="480"/>
    </w:pPr>
    <w:rPr>
      <w:sz w:val="20"/>
      <w:szCs w:val="20"/>
    </w:rPr>
  </w:style>
  <w:style w:type="character" w:styleId="Hyperlink">
    <w:name w:val="Hyperlink"/>
    <w:uiPriority w:val="99"/>
    <w:qFormat/>
    <w:rPr>
      <w:color w:val="165788"/>
      <w:u w:val="single"/>
    </w:rPr>
  </w:style>
  <w:style w:type="paragraph" w:styleId="ListBullet">
    <w:name w:val="List Bullet"/>
    <w:basedOn w:val="Normal"/>
    <w:uiPriority w:val="7"/>
    <w:qFormat/>
    <w:pPr>
      <w:numPr>
        <w:numId w:val="6"/>
      </w:numPr>
      <w:tabs>
        <w:tab w:val="clear" w:pos="567"/>
      </w:tabs>
    </w:pPr>
    <w:rPr>
      <w:rFonts w:eastAsiaTheme="minorHAnsi" w:cstheme="minorBidi"/>
    </w:rPr>
  </w:style>
  <w:style w:type="paragraph" w:styleId="TableofFigures">
    <w:name w:val="table of figures"/>
    <w:basedOn w:val="Normal"/>
    <w:next w:val="Normal"/>
    <w:uiPriority w:val="99"/>
    <w:pPr>
      <w:tabs>
        <w:tab w:val="clear" w:pos="567"/>
      </w:tabs>
      <w:spacing w:before="0" w:after="0"/>
      <w:ind w:left="480" w:hanging="480"/>
    </w:pPr>
    <w:rPr>
      <w:bCs/>
      <w:sz w:val="20"/>
      <w:szCs w:val="20"/>
    </w:rPr>
  </w:style>
  <w:style w:type="paragraph" w:styleId="ListBullet2">
    <w:name w:val="List Bullet 2"/>
    <w:basedOn w:val="Normal"/>
    <w:uiPriority w:val="8"/>
    <w:qFormat/>
    <w:pPr>
      <w:numPr>
        <w:ilvl w:val="1"/>
        <w:numId w:val="6"/>
      </w:numPr>
      <w:tabs>
        <w:tab w:val="clear" w:pos="567"/>
      </w:tabs>
    </w:pPr>
  </w:style>
  <w:style w:type="paragraph" w:styleId="ListNumber">
    <w:name w:val="List Number"/>
    <w:uiPriority w:val="9"/>
    <w:qFormat/>
    <w:pPr>
      <w:tabs>
        <w:tab w:val="left" w:pos="567"/>
      </w:tabs>
      <w:spacing w:before="240"/>
      <w:ind w:left="360" w:hanging="360"/>
    </w:pPr>
    <w:rPr>
      <w:sz w:val="24"/>
      <w:szCs w:val="22"/>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6">
    <w:name w:val="Medium Grid 3 Accent 6"/>
    <w:basedOn w:val="TableGrid1"/>
    <w:uiPriority w:val="60"/>
    <w:rPr>
      <w:color w:val="E36C0A"/>
      <w:lang w:val="en-US" w:eastAsia="en-GB" w:bidi="hi-I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27"/>
    <w:qFormat/>
    <w:pPr>
      <w:spacing w:before="60" w:after="60"/>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qFormat/>
    <w:pPr>
      <w:keepNext/>
    </w:pPr>
    <w:rPr>
      <w:b/>
    </w:rPr>
  </w:style>
  <w:style w:type="character" w:customStyle="1" w:styleId="PlaceholderText1">
    <w:name w:val="Placeholder Text1"/>
    <w:uiPriority w:val="99"/>
    <w:semiHidden/>
    <w:rPr>
      <w:color w:val="808080"/>
    </w:rPr>
  </w:style>
  <w:style w:type="character" w:styleId="Strong">
    <w:name w:val="Strong"/>
    <w:uiPriority w:val="22"/>
    <w:qFormat/>
    <w:rPr>
      <w:b/>
      <w:bCs/>
    </w:rPr>
  </w:style>
  <w:style w:type="paragraph" w:customStyle="1" w:styleId="Glossary">
    <w:name w:val="Glossary"/>
    <w:basedOn w:val="Normal"/>
    <w:link w:val="GlossaryChar"/>
    <w:qFormat/>
    <w:pPr>
      <w:tabs>
        <w:tab w:val="left" w:pos="1701"/>
      </w:tabs>
      <w:ind w:left="3686" w:hanging="3686"/>
    </w:pPr>
    <w:rPr>
      <w:rFonts w:cs="Mangal"/>
      <w:color w:val="000000"/>
      <w:sz w:val="20"/>
      <w:lang w:val="x-none" w:eastAsia="x-none" w:bidi="hi-IN"/>
    </w:rPr>
  </w:style>
  <w:style w:type="character" w:customStyle="1" w:styleId="GlossaryChar">
    <w:name w:val="Glossary Char"/>
    <w:link w:val="Glossary"/>
    <w:rPr>
      <w:rFonts w:eastAsia="Calibri" w:cs="Times New Roman"/>
      <w:color w:val="000000"/>
      <w:szCs w:val="22"/>
    </w:rPr>
  </w:style>
  <w:style w:type="character" w:styleId="Emphasis">
    <w:name w:val="Emphasis"/>
    <w:uiPriority w:val="20"/>
    <w:qFormat/>
    <w:rPr>
      <w:i/>
      <w:iCs/>
    </w:rPr>
  </w:style>
  <w:style w:type="paragraph" w:styleId="TOAHeading">
    <w:name w:val="toa heading"/>
    <w:basedOn w:val="Heading1"/>
    <w:next w:val="Normal"/>
    <w:uiPriority w:val="99"/>
    <w:semiHidden/>
    <w:unhideWhenUsed/>
    <w:rPr>
      <w:bCs/>
      <w:sz w:val="24"/>
    </w:rPr>
  </w:style>
  <w:style w:type="paragraph" w:customStyle="1" w:styleId="Tabletextbullet">
    <w:name w:val="Table text bullet"/>
    <w:basedOn w:val="Tabletext"/>
    <w:qFormat/>
    <w:pPr>
      <w:numPr>
        <w:numId w:val="1"/>
      </w:numPr>
      <w:ind w:left="284" w:hanging="284"/>
    </w:pPr>
  </w:style>
  <w:style w:type="paragraph" w:styleId="DocumentMap">
    <w:name w:val="Document Map"/>
    <w:basedOn w:val="Normal"/>
    <w:link w:val="DocumentMapChar"/>
    <w:uiPriority w:val="99"/>
    <w:semiHidden/>
    <w:unhideWhenUsed/>
    <w:pPr>
      <w:spacing w:before="0" w:after="0"/>
    </w:pPr>
    <w:rPr>
      <w:rFonts w:ascii="Tahoma" w:eastAsia="Times New Roman" w:hAnsi="Tahoma" w:cs="Mangal"/>
      <w:sz w:val="16"/>
      <w:szCs w:val="16"/>
      <w:lang w:val="x-none" w:eastAsia="x-none" w:bidi="hi-IN"/>
    </w:rPr>
  </w:style>
  <w:style w:type="character" w:customStyle="1" w:styleId="DocumentMapChar">
    <w:name w:val="Document Map Char"/>
    <w:link w:val="DocumentMap"/>
    <w:uiPriority w:val="99"/>
    <w:semiHidden/>
    <w:rPr>
      <w:rFonts w:ascii="Tahoma" w:eastAsia="Times New Roman" w:hAnsi="Tahoma" w:cs="Tahoma"/>
      <w:sz w:val="16"/>
      <w:szCs w:val="16"/>
    </w:rPr>
  </w:style>
  <w:style w:type="numbering" w:customStyle="1" w:styleId="AppendixC3List">
    <w:name w:val="Appendix C 3 List"/>
    <w:pPr>
      <w:numPr>
        <w:numId w:val="3"/>
      </w:numPr>
    </w:pPr>
  </w:style>
  <w:style w:type="numbering" w:customStyle="1" w:styleId="Part1">
    <w:name w:val="Part 1"/>
    <w:uiPriority w:val="99"/>
    <w:pPr>
      <w:numPr>
        <w:numId w:val="2"/>
      </w:numPr>
    </w:pPr>
  </w:style>
  <w:style w:type="paragraph" w:customStyle="1" w:styleId="Recommendation">
    <w:name w:val="Recommendation"/>
    <w:basedOn w:val="Normal"/>
    <w:qFormat/>
    <w:pPr>
      <w:keepNext/>
      <w:keepLines/>
      <w:pBdr>
        <w:top w:val="single" w:sz="4" w:space="1" w:color="auto"/>
        <w:left w:val="single" w:sz="4" w:space="4" w:color="auto"/>
        <w:bottom w:val="single" w:sz="4" w:space="1" w:color="auto"/>
        <w:right w:val="single" w:sz="4" w:space="4" w:color="auto"/>
      </w:pBdr>
      <w:spacing w:before="360"/>
    </w:pPr>
    <w:rPr>
      <w:rFonts w:cs="Arial"/>
      <w:b/>
      <w:szCs w:val="24"/>
      <w:shd w:val="clear" w:color="auto" w:fill="FFFFFF"/>
    </w:rPr>
  </w:style>
  <w:style w:type="table" w:customStyle="1" w:styleId="TableGrid10">
    <w:name w:val="Table Grid1"/>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99"/>
    <w:semiHidden/>
    <w:rPr>
      <w:sz w:val="24"/>
      <w:szCs w:val="22"/>
      <w:lang w:eastAsia="en-US"/>
    </w:rPr>
  </w:style>
  <w:style w:type="character" w:styleId="FollowedHyperlink">
    <w:name w:val="FollowedHyperlink"/>
    <w:uiPriority w:val="99"/>
    <w:semiHidden/>
    <w:unhideWhenUsed/>
    <w:rPr>
      <w:color w:val="800080"/>
      <w:u w:val="single"/>
    </w:rPr>
  </w:style>
  <w:style w:type="paragraph" w:styleId="TOCHeading">
    <w:name w:val="TOC Heading"/>
    <w:basedOn w:val="Heading1"/>
    <w:next w:val="Normal"/>
    <w:uiPriority w:val="39"/>
    <w:unhideWhenUsed/>
    <w:qFormat/>
    <w:pPr>
      <w:spacing w:before="480" w:line="276" w:lineRule="auto"/>
      <w:outlineLvl w:val="9"/>
    </w:pPr>
    <w:rPr>
      <w:color w:val="365F91"/>
      <w:sz w:val="28"/>
      <w:lang w:val="en-US"/>
    </w:rPr>
  </w:style>
  <w:style w:type="paragraph" w:customStyle="1" w:styleId="Default">
    <w:name w:val="Default"/>
    <w:pPr>
      <w:autoSpaceDE w:val="0"/>
      <w:autoSpaceDN w:val="0"/>
      <w:adjustRightInd w:val="0"/>
    </w:pPr>
    <w:rPr>
      <w:rFonts w:cs="Calibri"/>
      <w:color w:val="000000"/>
      <w:sz w:val="24"/>
      <w:szCs w:val="24"/>
      <w:lang w:eastAsia="en-US"/>
    </w:rPr>
  </w:style>
  <w:style w:type="character" w:customStyle="1" w:styleId="Bold">
    <w:name w:val="Bold"/>
    <w:qFormat/>
    <w:rPr>
      <w:b/>
    </w:rPr>
  </w:style>
  <w:style w:type="paragraph" w:customStyle="1" w:styleId="Copyrightpageheading">
    <w:name w:val="Copyright page heading"/>
    <w:next w:val="Normal"/>
    <w:link w:val="CopyrightpageheadingChar"/>
    <w:uiPriority w:val="99"/>
    <w:qFormat/>
    <w:pPr>
      <w:spacing w:after="60"/>
    </w:pPr>
    <w:rPr>
      <w:b/>
      <w:sz w:val="18"/>
      <w:szCs w:val="22"/>
      <w:lang w:eastAsia="en-US"/>
    </w:rPr>
  </w:style>
  <w:style w:type="character" w:customStyle="1" w:styleId="TabletextChar">
    <w:name w:val="Table text Char"/>
    <w:link w:val="Tabletext"/>
    <w:uiPriority w:val="27"/>
    <w:rPr>
      <w:sz w:val="18"/>
      <w:szCs w:val="22"/>
      <w:lang w:eastAsia="en-US"/>
    </w:rPr>
  </w:style>
  <w:style w:type="character" w:customStyle="1" w:styleId="CopyrightpageheadingChar">
    <w:name w:val="Copyright page heading Char"/>
    <w:link w:val="Copyrightpageheading"/>
    <w:uiPriority w:val="99"/>
    <w:rPr>
      <w:b/>
      <w:sz w:val="18"/>
      <w:szCs w:val="22"/>
      <w:lang w:val="en-AU" w:eastAsia="en-US" w:bidi="ar-SA"/>
    </w:rPr>
  </w:style>
  <w:style w:type="paragraph" w:styleId="Quote">
    <w:name w:val="Quote"/>
    <w:next w:val="Normal"/>
    <w:link w:val="QuoteChar"/>
    <w:uiPriority w:val="18"/>
    <w:qFormat/>
    <w:pPr>
      <w:spacing w:before="240" w:after="120"/>
      <w:ind w:left="851" w:right="851"/>
      <w:contextualSpacing/>
    </w:pPr>
    <w:rPr>
      <w:sz w:val="22"/>
      <w:szCs w:val="22"/>
      <w:lang w:eastAsia="en-US"/>
    </w:rPr>
  </w:style>
  <w:style w:type="character" w:customStyle="1" w:styleId="QuoteChar">
    <w:name w:val="Quote Char"/>
    <w:link w:val="Quote"/>
    <w:uiPriority w:val="18"/>
    <w:rPr>
      <w:sz w:val="22"/>
      <w:szCs w:val="22"/>
      <w:lang w:eastAsia="en-US"/>
    </w:rPr>
  </w:style>
  <w:style w:type="paragraph" w:styleId="PlainText">
    <w:name w:val="Plain Text"/>
    <w:basedOn w:val="Normal"/>
    <w:link w:val="PlainTextChar"/>
    <w:uiPriority w:val="99"/>
    <w:unhideWhenUsed/>
    <w:pPr>
      <w:tabs>
        <w:tab w:val="clear" w:pos="567"/>
      </w:tabs>
      <w:spacing w:before="0" w:after="0"/>
    </w:pPr>
    <w:rPr>
      <w:sz w:val="22"/>
      <w:szCs w:val="21"/>
    </w:rPr>
  </w:style>
  <w:style w:type="character" w:customStyle="1" w:styleId="PlainTextChar">
    <w:name w:val="Plain Text Char"/>
    <w:link w:val="PlainText"/>
    <w:uiPriority w:val="99"/>
    <w:rPr>
      <w:sz w:val="22"/>
      <w:szCs w:val="21"/>
      <w:lang w:eastAsia="en-US"/>
    </w:rPr>
  </w:style>
  <w:style w:type="paragraph" w:styleId="Revision">
    <w:name w:val="Revision"/>
    <w:hidden/>
    <w:uiPriority w:val="99"/>
    <w:semiHidden/>
    <w:rPr>
      <w:sz w:val="24"/>
      <w:szCs w:val="22"/>
      <w:lang w:eastAsia="en-US"/>
    </w:rPr>
  </w:style>
  <w:style w:type="numbering" w:customStyle="1" w:styleId="Part2">
    <w:name w:val="Part 2"/>
    <w:uiPriority w:val="99"/>
    <w:pPr>
      <w:numPr>
        <w:numId w:val="5"/>
      </w:numPr>
    </w:pPr>
  </w:style>
  <w:style w:type="numbering" w:customStyle="1" w:styleId="LFO8">
    <w:name w:val="LFO8"/>
    <w:basedOn w:val="NoList"/>
    <w:pPr>
      <w:numPr>
        <w:numId w:val="4"/>
      </w:numPr>
    </w:pPr>
  </w:style>
  <w:style w:type="paragraph" w:styleId="ListNumber2">
    <w:name w:val="List Number 2"/>
    <w:uiPriority w:val="99"/>
    <w:unhideWhenUsed/>
    <w:qFormat/>
    <w:pPr>
      <w:keepNext/>
      <w:numPr>
        <w:ilvl w:val="1"/>
        <w:numId w:val="13"/>
      </w:numPr>
      <w:spacing w:before="120"/>
      <w:ind w:left="1021"/>
    </w:pPr>
    <w:rPr>
      <w:sz w:val="24"/>
      <w:szCs w:val="22"/>
      <w:lang w:eastAsia="en-US"/>
    </w:rPr>
  </w:style>
  <w:style w:type="paragraph" w:customStyle="1" w:styleId="TableHeading0">
    <w:name w:val="Table Heading"/>
    <w:basedOn w:val="Tabletext"/>
    <w:uiPriority w:val="14"/>
    <w:qFormat/>
    <w:pPr>
      <w:keepNext/>
      <w:tabs>
        <w:tab w:val="clear" w:pos="567"/>
      </w:tabs>
    </w:pPr>
    <w:rPr>
      <w:rFonts w:ascii="Cambria" w:hAnsi="Cambria"/>
      <w:b/>
    </w:rPr>
  </w:style>
  <w:style w:type="table" w:styleId="GridTable1Light-Accent3">
    <w:name w:val="Grid Table 1 Light Accent 3"/>
    <w:basedOn w:val="TableNormal"/>
    <w:uiPriority w:val="46"/>
    <w:rPr>
      <w:rFonts w:asciiTheme="minorHAnsi" w:eastAsiaTheme="minorHAnsi" w:hAnsiTheme="minorHAnsi" w:cstheme="minorBidi"/>
      <w:sz w:val="22"/>
      <w:szCs w:val="22"/>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pPr>
      <w:tabs>
        <w:tab w:val="clear" w:pos="567"/>
      </w:tabs>
      <w:spacing w:before="0" w:after="100" w:line="259" w:lineRule="auto"/>
      <w:ind w:left="660"/>
    </w:pPr>
    <w:rPr>
      <w:rFonts w:eastAsiaTheme="minorEastAsia" w:cstheme="minorBidi"/>
      <w:sz w:val="22"/>
      <w:lang w:eastAsia="en-AU"/>
    </w:rPr>
  </w:style>
  <w:style w:type="paragraph" w:styleId="TOC5">
    <w:name w:val="toc 5"/>
    <w:basedOn w:val="Normal"/>
    <w:next w:val="Normal"/>
    <w:autoRedefine/>
    <w:uiPriority w:val="39"/>
    <w:unhideWhenUsed/>
    <w:pPr>
      <w:tabs>
        <w:tab w:val="clear" w:pos="567"/>
      </w:tabs>
      <w:spacing w:before="0" w:after="100" w:line="259" w:lineRule="auto"/>
      <w:ind w:left="880"/>
    </w:pPr>
    <w:rPr>
      <w:rFonts w:eastAsiaTheme="minorEastAsia" w:cstheme="minorBidi"/>
      <w:sz w:val="22"/>
      <w:lang w:eastAsia="en-AU"/>
    </w:rPr>
  </w:style>
  <w:style w:type="numbering" w:customStyle="1" w:styleId="List1">
    <w:name w:val="List1"/>
    <w:basedOn w:val="NoList"/>
    <w:uiPriority w:val="99"/>
    <w:pPr>
      <w:numPr>
        <w:numId w:val="6"/>
      </w:numPr>
    </w:pPr>
  </w:style>
  <w:style w:type="paragraph" w:styleId="ListNumber3">
    <w:name w:val="List Number 3"/>
    <w:uiPriority w:val="11"/>
    <w:qFormat/>
    <w:pPr>
      <w:spacing w:before="120" w:after="120" w:line="264" w:lineRule="auto"/>
      <w:ind w:left="1077" w:hanging="170"/>
    </w:pPr>
    <w:rPr>
      <w:rFonts w:ascii="Cambria" w:eastAsia="Times New Roman" w:hAnsi="Cambria"/>
      <w:sz w:val="22"/>
      <w:szCs w:val="24"/>
      <w:lang w:eastAsia="en-US"/>
    </w:rPr>
  </w:style>
  <w:style w:type="paragraph" w:customStyle="1" w:styleId="DisseminationLimitingMarker">
    <w:name w:val="Dissemination Limiting Marker"/>
    <w:next w:val="Normal"/>
    <w:uiPriority w:val="27"/>
    <w:pPr>
      <w:tabs>
        <w:tab w:val="center" w:pos="4820"/>
      </w:tabs>
      <w:jc w:val="center"/>
    </w:pPr>
    <w:rPr>
      <w:b/>
      <w:color w:val="FF0000"/>
      <w:sz w:val="36"/>
      <w:szCs w:val="36"/>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tabs>
        <w:tab w:val="clear" w:pos="567"/>
      </w:tabs>
    </w:pPr>
    <w:rPr>
      <w:rFonts w:ascii="Cambria" w:hAnsi="Cambria"/>
      <w:sz w:val="20"/>
    </w:rPr>
  </w:style>
  <w:style w:type="paragraph" w:customStyle="1" w:styleId="FigureTableNoteSource">
    <w:name w:val="Figure/Table Note/Source"/>
    <w:basedOn w:val="Normal"/>
    <w:next w:val="Normal"/>
    <w:uiPriority w:val="16"/>
    <w:qFormat/>
    <w:pPr>
      <w:tabs>
        <w:tab w:val="clear" w:pos="567"/>
      </w:tabs>
      <w:spacing w:after="0" w:line="264" w:lineRule="auto"/>
      <w:contextualSpacing/>
    </w:pPr>
    <w:rPr>
      <w:rFonts w:ascii="Cambria" w:hAnsi="Cambria"/>
      <w:sz w:val="18"/>
    </w:rPr>
  </w:style>
  <w:style w:type="paragraph" w:customStyle="1" w:styleId="BasicParagraph">
    <w:name w:val="[Basic Paragraph]"/>
    <w:basedOn w:val="Normal"/>
    <w:uiPriority w:val="99"/>
    <w:pPr>
      <w:widowControl w:val="0"/>
      <w:tabs>
        <w:tab w:val="clear" w:pos="567"/>
      </w:tabs>
      <w:autoSpaceDE w:val="0"/>
      <w:autoSpaceDN w:val="0"/>
      <w:adjustRightInd w:val="0"/>
      <w:spacing w:before="0" w:after="0" w:line="288" w:lineRule="auto"/>
      <w:textAlignment w:val="center"/>
    </w:pPr>
    <w:rPr>
      <w:rFonts w:ascii="MinionPro-Regular" w:eastAsiaTheme="minorEastAsia" w:hAnsi="MinionPro-Regular" w:cs="MinionPro-Regular"/>
      <w:color w:val="000000"/>
      <w:szCs w:val="24"/>
      <w:lang w:val="en-US"/>
    </w:rPr>
  </w:style>
  <w:style w:type="paragraph" w:customStyle="1" w:styleId="TableText0">
    <w:name w:val="Table Text"/>
    <w:basedOn w:val="Normal"/>
    <w:uiPriority w:val="13"/>
    <w:pPr>
      <w:tabs>
        <w:tab w:val="clear" w:pos="567"/>
      </w:tabs>
      <w:spacing w:before="60" w:after="60"/>
    </w:pPr>
    <w:rPr>
      <w:rFonts w:ascii="Cambria" w:hAnsi="Cambria"/>
      <w:sz w:val="18"/>
    </w:rPr>
  </w:style>
  <w:style w:type="numbering" w:customStyle="1" w:styleId="Headings">
    <w:name w:val="Headings"/>
    <w:uiPriority w:val="99"/>
    <w:pPr>
      <w:numPr>
        <w:numId w:val="11"/>
      </w:numPr>
    </w:pPr>
  </w:style>
  <w:style w:type="paragraph" w:customStyle="1" w:styleId="Preliminarycontentheading">
    <w:name w:val="Preliminary content heading"/>
    <w:link w:val="PreliminarycontentheadingChar"/>
    <w:uiPriority w:val="28"/>
    <w:qFormat/>
    <w:pPr>
      <w:pageBreakBefore/>
    </w:pPr>
    <w:rPr>
      <w:rFonts w:eastAsia="Times New Roman"/>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Pr>
      <w:rFonts w:eastAsia="Times New Roman"/>
      <w:bCs/>
      <w:color w:val="000000"/>
      <w:sz w:val="56"/>
      <w:szCs w:val="28"/>
      <w:lang w:eastAsia="ja-JP"/>
    </w:rPr>
  </w:style>
  <w:style w:type="paragraph" w:customStyle="1" w:styleId="BoxTextBullet">
    <w:name w:val="Box Text Bullet"/>
    <w:basedOn w:val="BoxText"/>
    <w:uiPriority w:val="21"/>
    <w:qFormat/>
    <w:pPr>
      <w:numPr>
        <w:numId w:val="7"/>
      </w:numPr>
      <w:tabs>
        <w:tab w:val="left" w:pos="227"/>
      </w:tabs>
    </w:pPr>
  </w:style>
  <w:style w:type="paragraph" w:customStyle="1" w:styleId="TableBullet">
    <w:name w:val="Table Bullet"/>
    <w:basedOn w:val="TableText0"/>
    <w:uiPriority w:val="15"/>
    <w:qFormat/>
    <w:pPr>
      <w:ind w:left="720" w:hanging="360"/>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lear" w:pos="567"/>
        <w:tab w:val="center" w:pos="4820"/>
      </w:tabs>
      <w:spacing w:after="0"/>
      <w:jc w:val="center"/>
    </w:pPr>
    <w:rPr>
      <w:rFonts w:ascii="Cambria" w:hAnsi="Cambria"/>
      <w:b/>
      <w:caps/>
      <w:color w:val="FF0000"/>
      <w:sz w:val="36"/>
      <w:szCs w:val="36"/>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Appendix">
    <w:name w:val="Appendix"/>
    <w:uiPriority w:val="99"/>
    <w:pPr>
      <w:numPr>
        <w:numId w:val="12"/>
      </w:numPr>
    </w:pPr>
  </w:style>
  <w:style w:type="numbering" w:customStyle="1" w:styleId="ListBullets">
    <w:name w:val="ListBullets"/>
    <w:uiPriority w:val="99"/>
    <w:pPr>
      <w:numPr>
        <w:numId w:val="8"/>
      </w:numPr>
    </w:pPr>
  </w:style>
  <w:style w:type="paragraph" w:styleId="ListBullet4">
    <w:name w:val="List Bullet 4"/>
    <w:basedOn w:val="Normal"/>
    <w:uiPriority w:val="99"/>
    <w:unhideWhenUsed/>
    <w:pPr>
      <w:numPr>
        <w:numId w:val="9"/>
      </w:numPr>
      <w:tabs>
        <w:tab w:val="clear" w:pos="567"/>
      </w:tabs>
      <w:spacing w:after="0"/>
      <w:contextualSpacing/>
    </w:pPr>
    <w:rPr>
      <w:rFonts w:ascii="Cambria" w:hAnsi="Cambria"/>
      <w:sz w:val="22"/>
    </w:rPr>
  </w:style>
  <w:style w:type="paragraph" w:styleId="ListBullet3">
    <w:name w:val="List Bullet 3"/>
    <w:basedOn w:val="Normal"/>
    <w:uiPriority w:val="99"/>
    <w:unhideWhenUsed/>
    <w:pPr>
      <w:numPr>
        <w:ilvl w:val="2"/>
        <w:numId w:val="6"/>
      </w:numPr>
      <w:tabs>
        <w:tab w:val="clear" w:pos="567"/>
      </w:tabs>
      <w:spacing w:after="0"/>
      <w:contextualSpacing/>
    </w:pPr>
    <w:rPr>
      <w:rFonts w:ascii="Cambria" w:hAnsi="Cambria"/>
      <w:sz w:val="22"/>
    </w:rPr>
  </w:style>
  <w:style w:type="numbering" w:customStyle="1" w:styleId="ListNumbers">
    <w:name w:val="ListNumbers"/>
    <w:uiPriority w:val="99"/>
    <w:pPr>
      <w:numPr>
        <w:numId w:val="10"/>
      </w:numPr>
    </w:pPr>
  </w:style>
  <w:style w:type="paragraph" w:customStyle="1" w:styleId="Picture">
    <w:name w:val="Picture"/>
    <w:qFormat/>
    <w:rPr>
      <w:rFonts w:eastAsiaTheme="minorEastAsia" w:cstheme="minorBidi"/>
      <w:bCs/>
      <w:color w:val="000000"/>
      <w:sz w:val="22"/>
      <w:szCs w:val="28"/>
      <w:lang w:eastAsia="ja-JP"/>
    </w:rPr>
  </w:style>
  <w:style w:type="paragraph" w:styleId="Subtitle">
    <w:name w:val="Subtitle"/>
    <w:basedOn w:val="Normal"/>
    <w:next w:val="Normal"/>
    <w:link w:val="SubtitleChar"/>
    <w:uiPriority w:val="23"/>
    <w:qFormat/>
    <w:pPr>
      <w:tabs>
        <w:tab w:val="clear" w:pos="567"/>
      </w:tabs>
      <w:spacing w:after="0"/>
      <w:ind w:left="1701"/>
    </w:pPr>
    <w:rPr>
      <w:rFonts w:ascii="Cambria" w:hAnsi="Cambria"/>
      <w:sz w:val="40"/>
      <w:szCs w:val="40"/>
      <w:lang w:eastAsia="ja-JP"/>
    </w:rPr>
  </w:style>
  <w:style w:type="character" w:customStyle="1" w:styleId="SubtitleChar">
    <w:name w:val="Subtitle Char"/>
    <w:basedOn w:val="DefaultParagraphFont"/>
    <w:link w:val="Subtitle"/>
    <w:uiPriority w:val="23"/>
    <w:rPr>
      <w:rFonts w:ascii="Cambria" w:hAnsi="Cambria"/>
      <w:sz w:val="40"/>
      <w:szCs w:val="40"/>
      <w:lang w:eastAsia="ja-JP"/>
    </w:rPr>
  </w:style>
  <w:style w:type="paragraph" w:styleId="Date">
    <w:name w:val="Date"/>
    <w:basedOn w:val="Normal"/>
    <w:next w:val="Normal"/>
    <w:link w:val="DateChar"/>
    <w:uiPriority w:val="99"/>
    <w:unhideWhenUsed/>
    <w:pPr>
      <w:pBdr>
        <w:top w:val="single" w:sz="4" w:space="1" w:color="auto"/>
      </w:pBdr>
      <w:tabs>
        <w:tab w:val="clear" w:pos="567"/>
      </w:tabs>
      <w:spacing w:after="0"/>
      <w:ind w:left="1701"/>
      <w:jc w:val="right"/>
    </w:pPr>
    <w:rPr>
      <w:rFonts w:ascii="Cambria" w:hAnsi="Cambria"/>
      <w:sz w:val="28"/>
      <w:szCs w:val="28"/>
    </w:rPr>
  </w:style>
  <w:style w:type="character" w:customStyle="1" w:styleId="DateChar">
    <w:name w:val="Date Char"/>
    <w:basedOn w:val="DefaultParagraphFont"/>
    <w:link w:val="Date"/>
    <w:uiPriority w:val="99"/>
    <w:rPr>
      <w:rFonts w:ascii="Cambria" w:hAnsi="Cambria"/>
      <w:sz w:val="28"/>
      <w:szCs w:val="28"/>
      <w:lang w:eastAsia="en-US"/>
    </w:rPr>
  </w:style>
  <w:style w:type="table" w:customStyle="1" w:styleId="TableGrid8">
    <w:name w:val="Table Grid8"/>
    <w:basedOn w:val="TableNormal"/>
    <w:next w:val="TableGrid"/>
    <w:uiPriority w:val="59"/>
    <w:rPr>
      <w:rFonts w:asciiTheme="minorHAnsi" w:eastAsiaTheme="minorHAnsi" w:hAnsiTheme="minorHAnsi" w:cstheme="minorBidi"/>
      <w:sz w:val="22"/>
      <w:szCs w:val="22"/>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pPr>
      <w:spacing w:before="0" w:after="0"/>
    </w:pPr>
    <w:rPr>
      <w:sz w:val="20"/>
      <w:szCs w:val="20"/>
    </w:rPr>
  </w:style>
  <w:style w:type="character" w:customStyle="1" w:styleId="EndnoteTextChar">
    <w:name w:val="Endnote Text Char"/>
    <w:basedOn w:val="DefaultParagraphFont"/>
    <w:link w:val="EndnoteText"/>
    <w:uiPriority w:val="99"/>
    <w:rPr>
      <w:lang w:eastAsia="en-US"/>
    </w:rPr>
  </w:style>
  <w:style w:type="character" w:styleId="EndnoteReference">
    <w:name w:val="endnote reference"/>
    <w:basedOn w:val="DefaultParagraphFont"/>
    <w:uiPriority w:val="99"/>
    <w:semiHidden/>
    <w:unhideWhenUsed/>
    <w:rPr>
      <w:vertAlign w:val="superscript"/>
    </w:rPr>
  </w:style>
  <w:style w:type="paragraph" w:customStyle="1" w:styleId="AuthorOrganisationAffiliation">
    <w:name w:val="Author Organisation/Affiliation"/>
    <w:basedOn w:val="Normal"/>
    <w:next w:val="Normal"/>
    <w:uiPriority w:val="25"/>
    <w:qFormat/>
    <w:pPr>
      <w:tabs>
        <w:tab w:val="clear" w:pos="567"/>
      </w:tabs>
      <w:spacing w:after="200"/>
    </w:pPr>
    <w:rPr>
      <w:rFonts w:eastAsiaTheme="minorHAnsi" w:cstheme="minorBidi"/>
      <w:sz w:val="22"/>
    </w:rPr>
  </w:style>
  <w:style w:type="paragraph" w:customStyle="1" w:styleId="Author">
    <w:name w:val="Author"/>
    <w:basedOn w:val="Normal"/>
    <w:next w:val="Normal"/>
    <w:uiPriority w:val="24"/>
    <w:qFormat/>
    <w:pPr>
      <w:tabs>
        <w:tab w:val="clear" w:pos="567"/>
      </w:tabs>
      <w:spacing w:before="0" w:after="60"/>
    </w:pPr>
    <w:rPr>
      <w:rFonts w:eastAsiaTheme="minorHAnsi" w:cstheme="minorBidi"/>
      <w:b/>
      <w:sz w:val="28"/>
      <w:szCs w:val="28"/>
    </w:rPr>
  </w:style>
  <w:style w:type="paragraph" w:styleId="FootnoteText">
    <w:name w:val="footnote text"/>
    <w:basedOn w:val="Normal"/>
    <w:link w:val="FootnoteTextChar"/>
    <w:uiPriority w:val="99"/>
    <w:semiHidden/>
    <w:unhideWhenUsed/>
    <w:pPr>
      <w:spacing w:before="0" w:after="0"/>
    </w:pPr>
    <w:rPr>
      <w:sz w:val="20"/>
      <w:szCs w:val="20"/>
    </w:rPr>
  </w:style>
  <w:style w:type="character" w:customStyle="1" w:styleId="FootnoteTextChar">
    <w:name w:val="Footnote Text Char"/>
    <w:basedOn w:val="DefaultParagraphFont"/>
    <w:link w:val="FootnoteText"/>
    <w:uiPriority w:val="99"/>
    <w:semiHidden/>
    <w:rPr>
      <w:rFonts w:asciiTheme="minorHAnsi" w:hAnsiTheme="minorHAnsi"/>
      <w:lang w:eastAsia="en-US"/>
    </w:rPr>
  </w:style>
  <w:style w:type="character" w:styleId="FootnoteReference">
    <w:name w:val="footnote reference"/>
    <w:basedOn w:val="DefaultParagraphFont"/>
    <w:uiPriority w:val="99"/>
    <w:semiHidden/>
    <w:unhideWhenUsed/>
    <w:rPr>
      <w:vertAlign w:val="superscript"/>
    </w:rPr>
  </w:style>
  <w:style w:type="paragraph" w:customStyle="1" w:styleId="Endmattercontentheading">
    <w:name w:val="Endmatter content heading"/>
    <w:basedOn w:val="Preliminarycontentheading"/>
    <w:qFormat/>
    <w:rPr>
      <w:rFonts w:ascii="Times New Roman" w:hAnsi="Times New Roman"/>
    </w:rPr>
  </w:style>
  <w:style w:type="character" w:customStyle="1" w:styleId="mixed-citation">
    <w:name w:val="mixed-citation"/>
    <w:basedOn w:val="DefaultParagraphFont"/>
  </w:style>
  <w:style w:type="paragraph" w:styleId="TOC6">
    <w:name w:val="toc 6"/>
    <w:basedOn w:val="Normal"/>
    <w:next w:val="Normal"/>
    <w:autoRedefine/>
    <w:uiPriority w:val="39"/>
    <w:unhideWhenUsed/>
    <w:pPr>
      <w:tabs>
        <w:tab w:val="clear" w:pos="567"/>
      </w:tabs>
      <w:spacing w:before="0" w:after="100" w:line="259" w:lineRule="auto"/>
      <w:ind w:left="1100"/>
    </w:pPr>
    <w:rPr>
      <w:rFonts w:eastAsiaTheme="minorEastAsia" w:cstheme="minorBidi"/>
      <w:sz w:val="22"/>
      <w:lang w:eastAsia="en-AU"/>
    </w:rPr>
  </w:style>
  <w:style w:type="paragraph" w:styleId="TOC7">
    <w:name w:val="toc 7"/>
    <w:basedOn w:val="Normal"/>
    <w:next w:val="Normal"/>
    <w:autoRedefine/>
    <w:uiPriority w:val="39"/>
    <w:unhideWhenUsed/>
    <w:pPr>
      <w:tabs>
        <w:tab w:val="clear" w:pos="567"/>
      </w:tabs>
      <w:spacing w:before="0" w:after="100" w:line="259" w:lineRule="auto"/>
      <w:ind w:left="1320"/>
    </w:pPr>
    <w:rPr>
      <w:rFonts w:eastAsiaTheme="minorEastAsia" w:cstheme="minorBidi"/>
      <w:sz w:val="22"/>
      <w:lang w:eastAsia="en-AU"/>
    </w:rPr>
  </w:style>
  <w:style w:type="paragraph" w:styleId="TOC8">
    <w:name w:val="toc 8"/>
    <w:basedOn w:val="Normal"/>
    <w:next w:val="Normal"/>
    <w:autoRedefine/>
    <w:uiPriority w:val="39"/>
    <w:unhideWhenUsed/>
    <w:pPr>
      <w:tabs>
        <w:tab w:val="clear" w:pos="567"/>
      </w:tabs>
      <w:spacing w:before="0" w:after="100" w:line="259" w:lineRule="auto"/>
      <w:ind w:left="1540"/>
    </w:pPr>
    <w:rPr>
      <w:rFonts w:eastAsiaTheme="minorEastAsia" w:cstheme="minorBidi"/>
      <w:sz w:val="22"/>
      <w:lang w:eastAsia="en-AU"/>
    </w:rPr>
  </w:style>
  <w:style w:type="paragraph" w:styleId="TOC9">
    <w:name w:val="toc 9"/>
    <w:basedOn w:val="Normal"/>
    <w:next w:val="Normal"/>
    <w:autoRedefine/>
    <w:uiPriority w:val="39"/>
    <w:unhideWhenUsed/>
    <w:pPr>
      <w:tabs>
        <w:tab w:val="clear" w:pos="567"/>
      </w:tabs>
      <w:spacing w:before="0" w:after="100" w:line="259" w:lineRule="auto"/>
      <w:ind w:left="1760"/>
    </w:pPr>
    <w:rPr>
      <w:rFonts w:eastAsiaTheme="minorEastAsia" w:cstheme="minorBidi"/>
      <w:sz w:val="22"/>
      <w:lang w:eastAsia="en-AU"/>
    </w:rPr>
  </w:style>
  <w:style w:type="paragraph" w:styleId="ListParagraph">
    <w:name w:val="List Paragraph"/>
    <w:basedOn w:val="Normal"/>
    <w:uiPriority w:val="99"/>
    <w:qFormat/>
    <w:pPr>
      <w:ind w:left="426"/>
      <w:contextualSpacing/>
    </w:pPr>
    <w:rPr>
      <w:lang w:eastAsia="en-AU"/>
    </w:rPr>
  </w:style>
  <w:style w:type="character" w:customStyle="1" w:styleId="pest-scientific-name2">
    <w:name w:val="pest-scientific-name2"/>
    <w:basedOn w:val="DefaultParagraphFont"/>
    <w:rPr>
      <w:b/>
      <w:bCs/>
      <w:i/>
      <w:iCs/>
    </w:rPr>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1">
    <w:name w:val="Style1"/>
    <w:basedOn w:val="LightShading1"/>
    <w:uiPriority w:val="99"/>
    <w:rPr>
      <w:sz w:val="22"/>
    </w:rPr>
    <w:tblPr/>
    <w:tcPr>
      <w:shd w:val="clear" w:color="auto" w:fill="auto"/>
    </w:tcPr>
    <w:tblStylePr w:type="firstRow">
      <w:pPr>
        <w:spacing w:before="0" w:after="0" w:line="240" w:lineRule="auto"/>
      </w:pPr>
      <w:rPr>
        <w:b/>
        <w:bCs/>
      </w:rPr>
      <w:tblPr/>
      <w:tcPr>
        <w:tcBorders>
          <w:top w:val="single" w:sz="8" w:space="0" w:color="000000"/>
          <w:left w:val="nil"/>
          <w:bottom w:val="nil"/>
          <w:right w:val="nil"/>
          <w:insideH w:val="nil"/>
          <w:insideV w:val="nil"/>
        </w:tcBorders>
        <w:shd w:val="clear" w:color="auto" w:fill="auto"/>
      </w:tcPr>
    </w:tblStylePr>
    <w:tblStylePr w:type="lastRow">
      <w:pPr>
        <w:spacing w:before="0" w:after="0" w:line="240" w:lineRule="auto"/>
      </w:pPr>
      <w:rPr>
        <w:b w:val="0"/>
        <w:bCs/>
      </w:rPr>
      <w:tblPr/>
      <w:tcPr>
        <w:tcBorders>
          <w:top w:val="nil"/>
          <w:left w:val="nil"/>
          <w:bottom w:val="single" w:sz="8" w:space="0" w:color="000000"/>
          <w:right w:val="nil"/>
          <w:insideH w:val="nil"/>
          <w:insideV w:val="nil"/>
        </w:tcBorders>
        <w:shd w:val="clear" w:color="auto" w:fill="auto"/>
      </w:tcPr>
    </w:tblStylePr>
    <w:tblStylePr w:type="firstCol">
      <w:rPr>
        <w:rFonts w:asciiTheme="minorHAnsi" w:hAnsiTheme="minorHAnsi"/>
        <w:b w:val="0"/>
        <w:bCs/>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Col">
      <w:rPr>
        <w:b w:val="0"/>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tblStylePr w:type="swCell">
      <w:tblPr/>
      <w:tcPr>
        <w:tcBorders>
          <w:top w:val="nil"/>
          <w:left w:val="nil"/>
          <w:bottom w:val="single" w:sz="4" w:space="0" w:color="auto"/>
          <w:right w:val="nil"/>
          <w:insideH w:val="nil"/>
          <w:insideV w:val="nil"/>
          <w:tl2br w:val="nil"/>
          <w:tr2bl w:val="nil"/>
        </w:tcBorders>
        <w:shd w:val="clear" w:color="auto" w:fill="auto"/>
      </w:tcPr>
    </w:tblStylePr>
  </w:style>
  <w:style w:type="table" w:styleId="PlainTable5">
    <w:name w:val="Plain Table 5"/>
    <w:basedOn w:val="TableNormal"/>
    <w:uiPriority w:val="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next w:val="TableGridLight"/>
    <w:uiPriority w:val="40"/>
    <w:rPr>
      <w:rFonts w:ascii="Cambria" w:hAnsi="Cambr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aptionChar">
    <w:name w:val="Caption Char"/>
    <w:basedOn w:val="DefaultParagraphFont"/>
    <w:link w:val="Caption"/>
    <w:uiPriority w:val="35"/>
    <w:rPr>
      <w:rFonts w:asciiTheme="minorHAnsi" w:hAnsiTheme="minorHAnsi"/>
      <w:b/>
      <w:bCs/>
      <w:color w:val="404040"/>
      <w:sz w:val="24"/>
      <w:szCs w:val="18"/>
      <w:lang w:eastAsia="en-US"/>
    </w:rPr>
  </w:style>
  <w:style w:type="paragraph" w:customStyle="1" w:styleId="EndNoteBibliographyTitle">
    <w:name w:val="EndNote Bibliography Title"/>
    <w:basedOn w:val="Normal"/>
    <w:link w:val="EndNoteBibliographyTitleChar"/>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Pr>
      <w:noProof/>
      <w:sz w:val="24"/>
      <w:szCs w:val="22"/>
      <w:lang w:val="en-US" w:eastAsia="en-US"/>
    </w:rPr>
  </w:style>
  <w:style w:type="paragraph" w:customStyle="1" w:styleId="EndNoteBibliography">
    <w:name w:val="EndNote Bibliography"/>
    <w:basedOn w:val="Normal"/>
    <w:link w:val="EndNoteBibliographyChar"/>
    <w:rPr>
      <w:rFonts w:ascii="Calibri" w:hAnsi="Calibri"/>
      <w:noProof/>
      <w:lang w:val="en-US"/>
    </w:rPr>
  </w:style>
  <w:style w:type="character" w:customStyle="1" w:styleId="EndNoteBibliographyChar">
    <w:name w:val="EndNote Bibliography Char"/>
    <w:basedOn w:val="DefaultParagraphFont"/>
    <w:link w:val="EndNoteBibliography"/>
    <w:rPr>
      <w:noProof/>
      <w:sz w:val="24"/>
      <w:szCs w:val="22"/>
      <w:lang w:val="en-US" w:eastAsia="en-US"/>
    </w:rPr>
  </w:style>
  <w:style w:type="table" w:styleId="PlainTable2">
    <w:name w:val="Plain Table 2"/>
    <w:basedOn w:val="Table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ash">
    <w:name w:val="Dash"/>
    <w:basedOn w:val="Normal"/>
    <w:pPr>
      <w:numPr>
        <w:numId w:val="43"/>
      </w:numPr>
      <w:tabs>
        <w:tab w:val="clear" w:pos="567"/>
      </w:tabs>
      <w:spacing w:after="0"/>
    </w:pPr>
    <w:rPr>
      <w:rFonts w:ascii="Times New Roman" w:eastAsia="Times New Roman" w:hAnsi="Times New Roman"/>
      <w:szCs w:val="20"/>
      <w:lang w:val="en-GB"/>
    </w:rPr>
  </w:style>
  <w:style w:type="paragraph" w:styleId="BodyText">
    <w:name w:val="Body Text"/>
    <w:basedOn w:val="Normal"/>
    <w:link w:val="BodyTextChar"/>
    <w:uiPriority w:val="99"/>
    <w:semiHidden/>
    <w:unhideWhenUsed/>
  </w:style>
  <w:style w:type="character" w:customStyle="1" w:styleId="BodyTextChar">
    <w:name w:val="Body Text Char"/>
    <w:basedOn w:val="DefaultParagraphFont"/>
    <w:link w:val="BodyText"/>
    <w:uiPriority w:val="99"/>
    <w:semiHidden/>
    <w:rPr>
      <w:rFonts w:asciiTheme="minorHAnsi" w:hAnsiTheme="minorHAnsi"/>
      <w:sz w:val="24"/>
      <w:szCs w:val="22"/>
      <w:lang w:eastAsia="en-US"/>
    </w:rPr>
  </w:style>
  <w:style w:type="paragraph" w:customStyle="1" w:styleId="Normalsmall">
    <w:name w:val="Normal small"/>
    <w:qFormat/>
    <w:pPr>
      <w:spacing w:after="120" w:line="276" w:lineRule="auto"/>
    </w:pPr>
    <w:rPr>
      <w:rFonts w:ascii="Cambria" w:eastAsiaTheme="minorHAnsi" w:hAnsi="Cambria" w:cstheme="minorBidi"/>
      <w:sz w:val="18"/>
      <w:szCs w:val="18"/>
      <w:lang w:eastAsia="en-US"/>
    </w:rPr>
  </w:style>
  <w:style w:type="numbering" w:customStyle="1" w:styleId="List11">
    <w:name w:val="List11"/>
    <w:basedOn w:val="NoList"/>
    <w:uiPriority w:val="99"/>
  </w:style>
  <w:style w:type="numbering" w:customStyle="1" w:styleId="ListBullets1">
    <w:name w:val="ListBullets1"/>
    <w:uiPriority w:val="99"/>
  </w:style>
  <w:style w:type="paragraph" w:styleId="NormalWeb">
    <w:name w:val="Normal (Web)"/>
    <w:basedOn w:val="Normal"/>
    <w:uiPriority w:val="99"/>
    <w:semiHidden/>
    <w:unhideWhenUsed/>
    <w:rsid w:val="00F21B3D"/>
    <w:pPr>
      <w:tabs>
        <w:tab w:val="clear" w:pos="567"/>
      </w:tabs>
      <w:spacing w:before="100" w:beforeAutospacing="1" w:after="100" w:afterAutospacing="1"/>
    </w:pPr>
    <w:rPr>
      <w:rFonts w:ascii="Times New Roman" w:eastAsiaTheme="minorEastAsia" w:hAnsi="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4940">
      <w:bodyDiv w:val="1"/>
      <w:marLeft w:val="0"/>
      <w:marRight w:val="0"/>
      <w:marTop w:val="0"/>
      <w:marBottom w:val="0"/>
      <w:divBdr>
        <w:top w:val="none" w:sz="0" w:space="0" w:color="auto"/>
        <w:left w:val="none" w:sz="0" w:space="0" w:color="auto"/>
        <w:bottom w:val="none" w:sz="0" w:space="0" w:color="auto"/>
        <w:right w:val="none" w:sz="0" w:space="0" w:color="auto"/>
      </w:divBdr>
    </w:div>
    <w:div w:id="55249229">
      <w:bodyDiv w:val="1"/>
      <w:marLeft w:val="0"/>
      <w:marRight w:val="0"/>
      <w:marTop w:val="0"/>
      <w:marBottom w:val="0"/>
      <w:divBdr>
        <w:top w:val="none" w:sz="0" w:space="0" w:color="auto"/>
        <w:left w:val="none" w:sz="0" w:space="0" w:color="auto"/>
        <w:bottom w:val="none" w:sz="0" w:space="0" w:color="auto"/>
        <w:right w:val="none" w:sz="0" w:space="0" w:color="auto"/>
      </w:divBdr>
    </w:div>
    <w:div w:id="270434187">
      <w:bodyDiv w:val="1"/>
      <w:marLeft w:val="0"/>
      <w:marRight w:val="0"/>
      <w:marTop w:val="0"/>
      <w:marBottom w:val="0"/>
      <w:divBdr>
        <w:top w:val="none" w:sz="0" w:space="0" w:color="auto"/>
        <w:left w:val="none" w:sz="0" w:space="0" w:color="auto"/>
        <w:bottom w:val="none" w:sz="0" w:space="0" w:color="auto"/>
        <w:right w:val="none" w:sz="0" w:space="0" w:color="auto"/>
      </w:divBdr>
    </w:div>
    <w:div w:id="330912246">
      <w:bodyDiv w:val="1"/>
      <w:marLeft w:val="0"/>
      <w:marRight w:val="0"/>
      <w:marTop w:val="0"/>
      <w:marBottom w:val="0"/>
      <w:divBdr>
        <w:top w:val="none" w:sz="0" w:space="0" w:color="auto"/>
        <w:left w:val="none" w:sz="0" w:space="0" w:color="auto"/>
        <w:bottom w:val="none" w:sz="0" w:space="0" w:color="auto"/>
        <w:right w:val="none" w:sz="0" w:space="0" w:color="auto"/>
      </w:divBdr>
      <w:divsChild>
        <w:div w:id="355615439">
          <w:marLeft w:val="0"/>
          <w:marRight w:val="0"/>
          <w:marTop w:val="0"/>
          <w:marBottom w:val="0"/>
          <w:divBdr>
            <w:top w:val="single" w:sz="6" w:space="0" w:color="EBEBEB"/>
            <w:left w:val="none" w:sz="0" w:space="0" w:color="auto"/>
            <w:bottom w:val="none" w:sz="0" w:space="0" w:color="auto"/>
            <w:right w:val="none" w:sz="0" w:space="0" w:color="auto"/>
          </w:divBdr>
          <w:divsChild>
            <w:div w:id="1729959885">
              <w:marLeft w:val="0"/>
              <w:marRight w:val="0"/>
              <w:marTop w:val="0"/>
              <w:marBottom w:val="0"/>
              <w:divBdr>
                <w:top w:val="none" w:sz="0" w:space="0" w:color="auto"/>
                <w:left w:val="none" w:sz="0" w:space="0" w:color="auto"/>
                <w:bottom w:val="none" w:sz="0" w:space="0" w:color="auto"/>
                <w:right w:val="none" w:sz="0" w:space="0" w:color="auto"/>
              </w:divBdr>
              <w:divsChild>
                <w:div w:id="1620452150">
                  <w:marLeft w:val="0"/>
                  <w:marRight w:val="0"/>
                  <w:marTop w:val="0"/>
                  <w:marBottom w:val="0"/>
                  <w:divBdr>
                    <w:top w:val="none" w:sz="0" w:space="0" w:color="auto"/>
                    <w:left w:val="none" w:sz="0" w:space="0" w:color="auto"/>
                    <w:bottom w:val="none" w:sz="0" w:space="0" w:color="auto"/>
                    <w:right w:val="none" w:sz="0" w:space="0" w:color="auto"/>
                  </w:divBdr>
                  <w:divsChild>
                    <w:div w:id="485433549">
                      <w:marLeft w:val="0"/>
                      <w:marRight w:val="0"/>
                      <w:marTop w:val="630"/>
                      <w:marBottom w:val="0"/>
                      <w:divBdr>
                        <w:top w:val="none" w:sz="0" w:space="0" w:color="auto"/>
                        <w:left w:val="none" w:sz="0" w:space="0" w:color="auto"/>
                        <w:bottom w:val="none" w:sz="0" w:space="0" w:color="auto"/>
                        <w:right w:val="none" w:sz="0" w:space="0" w:color="auto"/>
                      </w:divBdr>
                      <w:divsChild>
                        <w:div w:id="1839684718">
                          <w:marLeft w:val="0"/>
                          <w:marRight w:val="0"/>
                          <w:marTop w:val="0"/>
                          <w:marBottom w:val="0"/>
                          <w:divBdr>
                            <w:top w:val="none" w:sz="0" w:space="0" w:color="auto"/>
                            <w:left w:val="none" w:sz="0" w:space="0" w:color="auto"/>
                            <w:bottom w:val="none" w:sz="0" w:space="0" w:color="auto"/>
                            <w:right w:val="none" w:sz="0" w:space="0" w:color="auto"/>
                          </w:divBdr>
                          <w:divsChild>
                            <w:div w:id="1850097695">
                              <w:marLeft w:val="0"/>
                              <w:marRight w:val="150"/>
                              <w:marTop w:val="0"/>
                              <w:marBottom w:val="90"/>
                              <w:divBdr>
                                <w:top w:val="none" w:sz="0" w:space="0" w:color="auto"/>
                                <w:left w:val="none" w:sz="0" w:space="0" w:color="auto"/>
                                <w:bottom w:val="none" w:sz="0" w:space="0" w:color="auto"/>
                                <w:right w:val="none" w:sz="0" w:space="0" w:color="auto"/>
                              </w:divBdr>
                              <w:divsChild>
                                <w:div w:id="161690867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308449">
      <w:bodyDiv w:val="1"/>
      <w:marLeft w:val="0"/>
      <w:marRight w:val="0"/>
      <w:marTop w:val="0"/>
      <w:marBottom w:val="0"/>
      <w:divBdr>
        <w:top w:val="none" w:sz="0" w:space="0" w:color="auto"/>
        <w:left w:val="none" w:sz="0" w:space="0" w:color="auto"/>
        <w:bottom w:val="none" w:sz="0" w:space="0" w:color="auto"/>
        <w:right w:val="none" w:sz="0" w:space="0" w:color="auto"/>
      </w:divBdr>
    </w:div>
    <w:div w:id="349383144">
      <w:bodyDiv w:val="1"/>
      <w:marLeft w:val="0"/>
      <w:marRight w:val="0"/>
      <w:marTop w:val="0"/>
      <w:marBottom w:val="0"/>
      <w:divBdr>
        <w:top w:val="none" w:sz="0" w:space="0" w:color="auto"/>
        <w:left w:val="none" w:sz="0" w:space="0" w:color="auto"/>
        <w:bottom w:val="none" w:sz="0" w:space="0" w:color="auto"/>
        <w:right w:val="none" w:sz="0" w:space="0" w:color="auto"/>
      </w:divBdr>
      <w:divsChild>
        <w:div w:id="1502744644">
          <w:marLeft w:val="0"/>
          <w:marRight w:val="0"/>
          <w:marTop w:val="0"/>
          <w:marBottom w:val="0"/>
          <w:divBdr>
            <w:top w:val="none" w:sz="0" w:space="0" w:color="auto"/>
            <w:left w:val="none" w:sz="0" w:space="0" w:color="auto"/>
            <w:bottom w:val="none" w:sz="0" w:space="0" w:color="auto"/>
            <w:right w:val="none" w:sz="0" w:space="0" w:color="auto"/>
          </w:divBdr>
          <w:divsChild>
            <w:div w:id="1228300030">
              <w:marLeft w:val="0"/>
              <w:marRight w:val="0"/>
              <w:marTop w:val="100"/>
              <w:marBottom w:val="100"/>
              <w:divBdr>
                <w:top w:val="none" w:sz="0" w:space="0" w:color="auto"/>
                <w:left w:val="none" w:sz="0" w:space="0" w:color="auto"/>
                <w:bottom w:val="none" w:sz="0" w:space="0" w:color="auto"/>
                <w:right w:val="none" w:sz="0" w:space="0" w:color="auto"/>
              </w:divBdr>
              <w:divsChild>
                <w:div w:id="1108741546">
                  <w:marLeft w:val="0"/>
                  <w:marRight w:val="0"/>
                  <w:marTop w:val="0"/>
                  <w:marBottom w:val="0"/>
                  <w:divBdr>
                    <w:top w:val="none" w:sz="0" w:space="0" w:color="auto"/>
                    <w:left w:val="none" w:sz="0" w:space="0" w:color="auto"/>
                    <w:bottom w:val="none" w:sz="0" w:space="0" w:color="auto"/>
                    <w:right w:val="none" w:sz="0" w:space="0" w:color="auto"/>
                  </w:divBdr>
                  <w:divsChild>
                    <w:div w:id="1485705299">
                      <w:marLeft w:val="0"/>
                      <w:marRight w:val="0"/>
                      <w:marTop w:val="0"/>
                      <w:marBottom w:val="0"/>
                      <w:divBdr>
                        <w:top w:val="none" w:sz="0" w:space="0" w:color="auto"/>
                        <w:left w:val="none" w:sz="0" w:space="0" w:color="auto"/>
                        <w:bottom w:val="none" w:sz="0" w:space="0" w:color="auto"/>
                        <w:right w:val="none" w:sz="0" w:space="0" w:color="auto"/>
                      </w:divBdr>
                      <w:divsChild>
                        <w:div w:id="1101953432">
                          <w:marLeft w:val="0"/>
                          <w:marRight w:val="0"/>
                          <w:marTop w:val="0"/>
                          <w:marBottom w:val="0"/>
                          <w:divBdr>
                            <w:top w:val="none" w:sz="0" w:space="0" w:color="auto"/>
                            <w:left w:val="none" w:sz="0" w:space="0" w:color="auto"/>
                            <w:bottom w:val="none" w:sz="0" w:space="0" w:color="auto"/>
                            <w:right w:val="none" w:sz="0" w:space="0" w:color="auto"/>
                          </w:divBdr>
                          <w:divsChild>
                            <w:div w:id="314652257">
                              <w:marLeft w:val="0"/>
                              <w:marRight w:val="0"/>
                              <w:marTop w:val="0"/>
                              <w:marBottom w:val="0"/>
                              <w:divBdr>
                                <w:top w:val="none" w:sz="0" w:space="0" w:color="auto"/>
                                <w:left w:val="none" w:sz="0" w:space="0" w:color="auto"/>
                                <w:bottom w:val="none" w:sz="0" w:space="0" w:color="auto"/>
                                <w:right w:val="none" w:sz="0" w:space="0" w:color="auto"/>
                              </w:divBdr>
                              <w:divsChild>
                                <w:div w:id="90057004">
                                  <w:marLeft w:val="0"/>
                                  <w:marRight w:val="0"/>
                                  <w:marTop w:val="0"/>
                                  <w:marBottom w:val="0"/>
                                  <w:divBdr>
                                    <w:top w:val="none" w:sz="0" w:space="0" w:color="auto"/>
                                    <w:left w:val="none" w:sz="0" w:space="0" w:color="auto"/>
                                    <w:bottom w:val="none" w:sz="0" w:space="0" w:color="auto"/>
                                    <w:right w:val="none" w:sz="0" w:space="0" w:color="auto"/>
                                  </w:divBdr>
                                  <w:divsChild>
                                    <w:div w:id="452405244">
                                      <w:marLeft w:val="0"/>
                                      <w:marRight w:val="0"/>
                                      <w:marTop w:val="0"/>
                                      <w:marBottom w:val="0"/>
                                      <w:divBdr>
                                        <w:top w:val="none" w:sz="0" w:space="0" w:color="auto"/>
                                        <w:left w:val="none" w:sz="0" w:space="0" w:color="auto"/>
                                        <w:bottom w:val="none" w:sz="0" w:space="0" w:color="auto"/>
                                        <w:right w:val="none" w:sz="0" w:space="0" w:color="auto"/>
                                      </w:divBdr>
                                      <w:divsChild>
                                        <w:div w:id="1341735131">
                                          <w:marLeft w:val="0"/>
                                          <w:marRight w:val="0"/>
                                          <w:marTop w:val="0"/>
                                          <w:marBottom w:val="0"/>
                                          <w:divBdr>
                                            <w:top w:val="none" w:sz="0" w:space="0" w:color="auto"/>
                                            <w:left w:val="none" w:sz="0" w:space="0" w:color="auto"/>
                                            <w:bottom w:val="none" w:sz="0" w:space="0" w:color="auto"/>
                                            <w:right w:val="none" w:sz="0" w:space="0" w:color="auto"/>
                                          </w:divBdr>
                                          <w:divsChild>
                                            <w:div w:id="1112020041">
                                              <w:marLeft w:val="165"/>
                                              <w:marRight w:val="165"/>
                                              <w:marTop w:val="0"/>
                                              <w:marBottom w:val="0"/>
                                              <w:divBdr>
                                                <w:top w:val="none" w:sz="0" w:space="0" w:color="auto"/>
                                                <w:left w:val="none" w:sz="0" w:space="0" w:color="auto"/>
                                                <w:bottom w:val="none" w:sz="0" w:space="0" w:color="auto"/>
                                                <w:right w:val="none" w:sz="0" w:space="0" w:color="auto"/>
                                              </w:divBdr>
                                              <w:divsChild>
                                                <w:div w:id="828324350">
                                                  <w:marLeft w:val="0"/>
                                                  <w:marRight w:val="0"/>
                                                  <w:marTop w:val="0"/>
                                                  <w:marBottom w:val="0"/>
                                                  <w:divBdr>
                                                    <w:top w:val="none" w:sz="0" w:space="0" w:color="auto"/>
                                                    <w:left w:val="none" w:sz="0" w:space="0" w:color="auto"/>
                                                    <w:bottom w:val="none" w:sz="0" w:space="0" w:color="auto"/>
                                                    <w:right w:val="none" w:sz="0" w:space="0" w:color="auto"/>
                                                  </w:divBdr>
                                                </w:div>
                                                <w:div w:id="166423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8817525">
      <w:bodyDiv w:val="1"/>
      <w:marLeft w:val="0"/>
      <w:marRight w:val="0"/>
      <w:marTop w:val="0"/>
      <w:marBottom w:val="0"/>
      <w:divBdr>
        <w:top w:val="none" w:sz="0" w:space="0" w:color="auto"/>
        <w:left w:val="none" w:sz="0" w:space="0" w:color="auto"/>
        <w:bottom w:val="none" w:sz="0" w:space="0" w:color="auto"/>
        <w:right w:val="none" w:sz="0" w:space="0" w:color="auto"/>
      </w:divBdr>
      <w:divsChild>
        <w:div w:id="826746423">
          <w:marLeft w:val="0"/>
          <w:marRight w:val="0"/>
          <w:marTop w:val="0"/>
          <w:marBottom w:val="0"/>
          <w:divBdr>
            <w:top w:val="none" w:sz="0" w:space="0" w:color="auto"/>
            <w:left w:val="none" w:sz="0" w:space="0" w:color="auto"/>
            <w:bottom w:val="none" w:sz="0" w:space="0" w:color="auto"/>
            <w:right w:val="none" w:sz="0" w:space="0" w:color="auto"/>
          </w:divBdr>
          <w:divsChild>
            <w:div w:id="2054109526">
              <w:marLeft w:val="0"/>
              <w:marRight w:val="0"/>
              <w:marTop w:val="0"/>
              <w:marBottom w:val="0"/>
              <w:divBdr>
                <w:top w:val="none" w:sz="0" w:space="0" w:color="auto"/>
                <w:left w:val="none" w:sz="0" w:space="0" w:color="auto"/>
                <w:bottom w:val="none" w:sz="0" w:space="0" w:color="auto"/>
                <w:right w:val="none" w:sz="0" w:space="0" w:color="auto"/>
              </w:divBdr>
              <w:divsChild>
                <w:div w:id="1968582923">
                  <w:marLeft w:val="0"/>
                  <w:marRight w:val="0"/>
                  <w:marTop w:val="0"/>
                  <w:marBottom w:val="0"/>
                  <w:divBdr>
                    <w:top w:val="none" w:sz="0" w:space="0" w:color="auto"/>
                    <w:left w:val="none" w:sz="0" w:space="0" w:color="auto"/>
                    <w:bottom w:val="none" w:sz="0" w:space="0" w:color="auto"/>
                    <w:right w:val="none" w:sz="0" w:space="0" w:color="auto"/>
                  </w:divBdr>
                  <w:divsChild>
                    <w:div w:id="1205101294">
                      <w:marLeft w:val="0"/>
                      <w:marRight w:val="0"/>
                      <w:marTop w:val="0"/>
                      <w:marBottom w:val="0"/>
                      <w:divBdr>
                        <w:top w:val="none" w:sz="0" w:space="0" w:color="auto"/>
                        <w:left w:val="none" w:sz="0" w:space="0" w:color="auto"/>
                        <w:bottom w:val="none" w:sz="0" w:space="0" w:color="auto"/>
                        <w:right w:val="none" w:sz="0" w:space="0" w:color="auto"/>
                      </w:divBdr>
                      <w:divsChild>
                        <w:div w:id="79556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038403">
      <w:bodyDiv w:val="1"/>
      <w:marLeft w:val="0"/>
      <w:marRight w:val="0"/>
      <w:marTop w:val="0"/>
      <w:marBottom w:val="0"/>
      <w:divBdr>
        <w:top w:val="none" w:sz="0" w:space="0" w:color="auto"/>
        <w:left w:val="none" w:sz="0" w:space="0" w:color="auto"/>
        <w:bottom w:val="none" w:sz="0" w:space="0" w:color="auto"/>
        <w:right w:val="none" w:sz="0" w:space="0" w:color="auto"/>
      </w:divBdr>
    </w:div>
    <w:div w:id="452409612">
      <w:bodyDiv w:val="1"/>
      <w:marLeft w:val="0"/>
      <w:marRight w:val="0"/>
      <w:marTop w:val="0"/>
      <w:marBottom w:val="0"/>
      <w:divBdr>
        <w:top w:val="none" w:sz="0" w:space="0" w:color="auto"/>
        <w:left w:val="none" w:sz="0" w:space="0" w:color="auto"/>
        <w:bottom w:val="none" w:sz="0" w:space="0" w:color="auto"/>
        <w:right w:val="none" w:sz="0" w:space="0" w:color="auto"/>
      </w:divBdr>
    </w:div>
    <w:div w:id="505946778">
      <w:bodyDiv w:val="1"/>
      <w:marLeft w:val="0"/>
      <w:marRight w:val="0"/>
      <w:marTop w:val="0"/>
      <w:marBottom w:val="0"/>
      <w:divBdr>
        <w:top w:val="none" w:sz="0" w:space="0" w:color="auto"/>
        <w:left w:val="none" w:sz="0" w:space="0" w:color="auto"/>
        <w:bottom w:val="none" w:sz="0" w:space="0" w:color="auto"/>
        <w:right w:val="none" w:sz="0" w:space="0" w:color="auto"/>
      </w:divBdr>
    </w:div>
    <w:div w:id="541022182">
      <w:bodyDiv w:val="1"/>
      <w:marLeft w:val="0"/>
      <w:marRight w:val="0"/>
      <w:marTop w:val="0"/>
      <w:marBottom w:val="0"/>
      <w:divBdr>
        <w:top w:val="none" w:sz="0" w:space="0" w:color="auto"/>
        <w:left w:val="none" w:sz="0" w:space="0" w:color="auto"/>
        <w:bottom w:val="none" w:sz="0" w:space="0" w:color="auto"/>
        <w:right w:val="none" w:sz="0" w:space="0" w:color="auto"/>
      </w:divBdr>
    </w:div>
    <w:div w:id="542670772">
      <w:bodyDiv w:val="1"/>
      <w:marLeft w:val="0"/>
      <w:marRight w:val="0"/>
      <w:marTop w:val="0"/>
      <w:marBottom w:val="0"/>
      <w:divBdr>
        <w:top w:val="none" w:sz="0" w:space="0" w:color="auto"/>
        <w:left w:val="none" w:sz="0" w:space="0" w:color="auto"/>
        <w:bottom w:val="none" w:sz="0" w:space="0" w:color="auto"/>
        <w:right w:val="none" w:sz="0" w:space="0" w:color="auto"/>
      </w:divBdr>
      <w:divsChild>
        <w:div w:id="967785544">
          <w:marLeft w:val="0"/>
          <w:marRight w:val="0"/>
          <w:marTop w:val="0"/>
          <w:marBottom w:val="0"/>
          <w:divBdr>
            <w:top w:val="single" w:sz="2" w:space="0" w:color="2E2E2E"/>
            <w:left w:val="single" w:sz="2" w:space="0" w:color="2E2E2E"/>
            <w:bottom w:val="single" w:sz="2" w:space="0" w:color="2E2E2E"/>
            <w:right w:val="single" w:sz="2" w:space="0" w:color="2E2E2E"/>
          </w:divBdr>
          <w:divsChild>
            <w:div w:id="27609922">
              <w:marLeft w:val="0"/>
              <w:marRight w:val="0"/>
              <w:marTop w:val="0"/>
              <w:marBottom w:val="0"/>
              <w:divBdr>
                <w:top w:val="single" w:sz="6" w:space="0" w:color="C9C9C9"/>
                <w:left w:val="none" w:sz="0" w:space="0" w:color="auto"/>
                <w:bottom w:val="none" w:sz="0" w:space="0" w:color="auto"/>
                <w:right w:val="none" w:sz="0" w:space="0" w:color="auto"/>
              </w:divBdr>
              <w:divsChild>
                <w:div w:id="1431777030">
                  <w:marLeft w:val="0"/>
                  <w:marRight w:val="0"/>
                  <w:marTop w:val="0"/>
                  <w:marBottom w:val="0"/>
                  <w:divBdr>
                    <w:top w:val="none" w:sz="0" w:space="0" w:color="auto"/>
                    <w:left w:val="none" w:sz="0" w:space="0" w:color="auto"/>
                    <w:bottom w:val="none" w:sz="0" w:space="0" w:color="auto"/>
                    <w:right w:val="none" w:sz="0" w:space="0" w:color="auto"/>
                  </w:divBdr>
                  <w:divsChild>
                    <w:div w:id="1175924791">
                      <w:marLeft w:val="0"/>
                      <w:marRight w:val="0"/>
                      <w:marTop w:val="0"/>
                      <w:marBottom w:val="0"/>
                      <w:divBdr>
                        <w:top w:val="none" w:sz="0" w:space="0" w:color="auto"/>
                        <w:left w:val="none" w:sz="0" w:space="0" w:color="auto"/>
                        <w:bottom w:val="none" w:sz="0" w:space="0" w:color="auto"/>
                        <w:right w:val="none" w:sz="0" w:space="0" w:color="auto"/>
                      </w:divBdr>
                      <w:divsChild>
                        <w:div w:id="128129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727023">
      <w:bodyDiv w:val="1"/>
      <w:marLeft w:val="0"/>
      <w:marRight w:val="0"/>
      <w:marTop w:val="0"/>
      <w:marBottom w:val="0"/>
      <w:divBdr>
        <w:top w:val="none" w:sz="0" w:space="0" w:color="auto"/>
        <w:left w:val="none" w:sz="0" w:space="0" w:color="auto"/>
        <w:bottom w:val="none" w:sz="0" w:space="0" w:color="auto"/>
        <w:right w:val="none" w:sz="0" w:space="0" w:color="auto"/>
      </w:divBdr>
    </w:div>
    <w:div w:id="705103121">
      <w:bodyDiv w:val="1"/>
      <w:marLeft w:val="0"/>
      <w:marRight w:val="0"/>
      <w:marTop w:val="0"/>
      <w:marBottom w:val="0"/>
      <w:divBdr>
        <w:top w:val="none" w:sz="0" w:space="0" w:color="auto"/>
        <w:left w:val="none" w:sz="0" w:space="0" w:color="auto"/>
        <w:bottom w:val="none" w:sz="0" w:space="0" w:color="auto"/>
        <w:right w:val="none" w:sz="0" w:space="0" w:color="auto"/>
      </w:divBdr>
      <w:divsChild>
        <w:div w:id="1632248445">
          <w:marLeft w:val="0"/>
          <w:marRight w:val="0"/>
          <w:marTop w:val="0"/>
          <w:marBottom w:val="0"/>
          <w:divBdr>
            <w:top w:val="none" w:sz="0" w:space="0" w:color="auto"/>
            <w:left w:val="none" w:sz="0" w:space="0" w:color="auto"/>
            <w:bottom w:val="none" w:sz="0" w:space="0" w:color="auto"/>
            <w:right w:val="none" w:sz="0" w:space="0" w:color="auto"/>
          </w:divBdr>
          <w:divsChild>
            <w:div w:id="1991864911">
              <w:marLeft w:val="300"/>
              <w:marRight w:val="300"/>
              <w:marTop w:val="300"/>
              <w:marBottom w:val="300"/>
              <w:divBdr>
                <w:top w:val="none" w:sz="0" w:space="0" w:color="auto"/>
                <w:left w:val="none" w:sz="0" w:space="0" w:color="auto"/>
                <w:bottom w:val="none" w:sz="0" w:space="0" w:color="auto"/>
                <w:right w:val="none" w:sz="0" w:space="0" w:color="auto"/>
              </w:divBdr>
              <w:divsChild>
                <w:div w:id="2071536992">
                  <w:marLeft w:val="0"/>
                  <w:marRight w:val="0"/>
                  <w:marTop w:val="0"/>
                  <w:marBottom w:val="0"/>
                  <w:divBdr>
                    <w:top w:val="none" w:sz="0" w:space="0" w:color="auto"/>
                    <w:left w:val="none" w:sz="0" w:space="0" w:color="auto"/>
                    <w:bottom w:val="none" w:sz="0" w:space="0" w:color="auto"/>
                    <w:right w:val="none" w:sz="0" w:space="0" w:color="auto"/>
                  </w:divBdr>
                  <w:divsChild>
                    <w:div w:id="114720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269225">
      <w:bodyDiv w:val="1"/>
      <w:marLeft w:val="0"/>
      <w:marRight w:val="0"/>
      <w:marTop w:val="0"/>
      <w:marBottom w:val="0"/>
      <w:divBdr>
        <w:top w:val="none" w:sz="0" w:space="0" w:color="auto"/>
        <w:left w:val="none" w:sz="0" w:space="0" w:color="auto"/>
        <w:bottom w:val="none" w:sz="0" w:space="0" w:color="auto"/>
        <w:right w:val="none" w:sz="0" w:space="0" w:color="auto"/>
      </w:divBdr>
    </w:div>
    <w:div w:id="717122494">
      <w:bodyDiv w:val="1"/>
      <w:marLeft w:val="0"/>
      <w:marRight w:val="0"/>
      <w:marTop w:val="0"/>
      <w:marBottom w:val="0"/>
      <w:divBdr>
        <w:top w:val="none" w:sz="0" w:space="0" w:color="auto"/>
        <w:left w:val="none" w:sz="0" w:space="0" w:color="auto"/>
        <w:bottom w:val="none" w:sz="0" w:space="0" w:color="auto"/>
        <w:right w:val="none" w:sz="0" w:space="0" w:color="auto"/>
      </w:divBdr>
    </w:div>
    <w:div w:id="718432122">
      <w:bodyDiv w:val="1"/>
      <w:marLeft w:val="0"/>
      <w:marRight w:val="0"/>
      <w:marTop w:val="0"/>
      <w:marBottom w:val="0"/>
      <w:divBdr>
        <w:top w:val="none" w:sz="0" w:space="0" w:color="auto"/>
        <w:left w:val="none" w:sz="0" w:space="0" w:color="auto"/>
        <w:bottom w:val="none" w:sz="0" w:space="0" w:color="auto"/>
        <w:right w:val="none" w:sz="0" w:space="0" w:color="auto"/>
      </w:divBdr>
    </w:div>
    <w:div w:id="801465031">
      <w:bodyDiv w:val="1"/>
      <w:marLeft w:val="0"/>
      <w:marRight w:val="0"/>
      <w:marTop w:val="0"/>
      <w:marBottom w:val="0"/>
      <w:divBdr>
        <w:top w:val="none" w:sz="0" w:space="0" w:color="auto"/>
        <w:left w:val="none" w:sz="0" w:space="0" w:color="auto"/>
        <w:bottom w:val="none" w:sz="0" w:space="0" w:color="auto"/>
        <w:right w:val="none" w:sz="0" w:space="0" w:color="auto"/>
      </w:divBdr>
    </w:div>
    <w:div w:id="920602986">
      <w:bodyDiv w:val="1"/>
      <w:marLeft w:val="0"/>
      <w:marRight w:val="0"/>
      <w:marTop w:val="0"/>
      <w:marBottom w:val="0"/>
      <w:divBdr>
        <w:top w:val="none" w:sz="0" w:space="0" w:color="auto"/>
        <w:left w:val="none" w:sz="0" w:space="0" w:color="auto"/>
        <w:bottom w:val="none" w:sz="0" w:space="0" w:color="auto"/>
        <w:right w:val="none" w:sz="0" w:space="0" w:color="auto"/>
      </w:divBdr>
      <w:divsChild>
        <w:div w:id="1668483654">
          <w:marLeft w:val="0"/>
          <w:marRight w:val="0"/>
          <w:marTop w:val="0"/>
          <w:marBottom w:val="0"/>
          <w:divBdr>
            <w:top w:val="none" w:sz="0" w:space="0" w:color="auto"/>
            <w:left w:val="none" w:sz="0" w:space="0" w:color="auto"/>
            <w:bottom w:val="none" w:sz="0" w:space="0" w:color="auto"/>
            <w:right w:val="none" w:sz="0" w:space="0" w:color="auto"/>
          </w:divBdr>
          <w:divsChild>
            <w:div w:id="627053348">
              <w:marLeft w:val="300"/>
              <w:marRight w:val="300"/>
              <w:marTop w:val="300"/>
              <w:marBottom w:val="300"/>
              <w:divBdr>
                <w:top w:val="none" w:sz="0" w:space="0" w:color="auto"/>
                <w:left w:val="none" w:sz="0" w:space="0" w:color="auto"/>
                <w:bottom w:val="none" w:sz="0" w:space="0" w:color="auto"/>
                <w:right w:val="none" w:sz="0" w:space="0" w:color="auto"/>
              </w:divBdr>
              <w:divsChild>
                <w:div w:id="1356230765">
                  <w:marLeft w:val="0"/>
                  <w:marRight w:val="0"/>
                  <w:marTop w:val="0"/>
                  <w:marBottom w:val="0"/>
                  <w:divBdr>
                    <w:top w:val="none" w:sz="0" w:space="0" w:color="auto"/>
                    <w:left w:val="none" w:sz="0" w:space="0" w:color="auto"/>
                    <w:bottom w:val="none" w:sz="0" w:space="0" w:color="auto"/>
                    <w:right w:val="none" w:sz="0" w:space="0" w:color="auto"/>
                  </w:divBdr>
                  <w:divsChild>
                    <w:div w:id="10388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119830">
      <w:bodyDiv w:val="1"/>
      <w:marLeft w:val="0"/>
      <w:marRight w:val="0"/>
      <w:marTop w:val="0"/>
      <w:marBottom w:val="0"/>
      <w:divBdr>
        <w:top w:val="none" w:sz="0" w:space="0" w:color="auto"/>
        <w:left w:val="none" w:sz="0" w:space="0" w:color="auto"/>
        <w:bottom w:val="none" w:sz="0" w:space="0" w:color="auto"/>
        <w:right w:val="none" w:sz="0" w:space="0" w:color="auto"/>
      </w:divBdr>
    </w:div>
    <w:div w:id="980500432">
      <w:bodyDiv w:val="1"/>
      <w:marLeft w:val="0"/>
      <w:marRight w:val="0"/>
      <w:marTop w:val="0"/>
      <w:marBottom w:val="0"/>
      <w:divBdr>
        <w:top w:val="none" w:sz="0" w:space="0" w:color="auto"/>
        <w:left w:val="none" w:sz="0" w:space="0" w:color="auto"/>
        <w:bottom w:val="none" w:sz="0" w:space="0" w:color="auto"/>
        <w:right w:val="none" w:sz="0" w:space="0" w:color="auto"/>
      </w:divBdr>
      <w:divsChild>
        <w:div w:id="422607108">
          <w:marLeft w:val="0"/>
          <w:marRight w:val="0"/>
          <w:marTop w:val="0"/>
          <w:marBottom w:val="0"/>
          <w:divBdr>
            <w:top w:val="none" w:sz="0" w:space="0" w:color="auto"/>
            <w:left w:val="none" w:sz="0" w:space="0" w:color="auto"/>
            <w:bottom w:val="none" w:sz="0" w:space="0" w:color="auto"/>
            <w:right w:val="none" w:sz="0" w:space="0" w:color="auto"/>
          </w:divBdr>
          <w:divsChild>
            <w:div w:id="916092003">
              <w:marLeft w:val="0"/>
              <w:marRight w:val="0"/>
              <w:marTop w:val="0"/>
              <w:marBottom w:val="0"/>
              <w:divBdr>
                <w:top w:val="none" w:sz="0" w:space="0" w:color="auto"/>
                <w:left w:val="none" w:sz="0" w:space="0" w:color="auto"/>
                <w:bottom w:val="none" w:sz="0" w:space="0" w:color="auto"/>
                <w:right w:val="none" w:sz="0" w:space="0" w:color="auto"/>
              </w:divBdr>
              <w:divsChild>
                <w:div w:id="2079672223">
                  <w:marLeft w:val="0"/>
                  <w:marRight w:val="0"/>
                  <w:marTop w:val="0"/>
                  <w:marBottom w:val="0"/>
                  <w:divBdr>
                    <w:top w:val="none" w:sz="0" w:space="0" w:color="auto"/>
                    <w:left w:val="none" w:sz="0" w:space="0" w:color="auto"/>
                    <w:bottom w:val="none" w:sz="0" w:space="0" w:color="auto"/>
                    <w:right w:val="none" w:sz="0" w:space="0" w:color="auto"/>
                  </w:divBdr>
                  <w:divsChild>
                    <w:div w:id="1315180031">
                      <w:marLeft w:val="0"/>
                      <w:marRight w:val="0"/>
                      <w:marTop w:val="0"/>
                      <w:marBottom w:val="0"/>
                      <w:divBdr>
                        <w:top w:val="none" w:sz="0" w:space="0" w:color="auto"/>
                        <w:left w:val="none" w:sz="0" w:space="0" w:color="auto"/>
                        <w:bottom w:val="none" w:sz="0" w:space="0" w:color="auto"/>
                        <w:right w:val="none" w:sz="0" w:space="0" w:color="auto"/>
                      </w:divBdr>
                      <w:divsChild>
                        <w:div w:id="184597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76478">
      <w:bodyDiv w:val="1"/>
      <w:marLeft w:val="0"/>
      <w:marRight w:val="0"/>
      <w:marTop w:val="0"/>
      <w:marBottom w:val="0"/>
      <w:divBdr>
        <w:top w:val="none" w:sz="0" w:space="0" w:color="auto"/>
        <w:left w:val="none" w:sz="0" w:space="0" w:color="auto"/>
        <w:bottom w:val="none" w:sz="0" w:space="0" w:color="auto"/>
        <w:right w:val="none" w:sz="0" w:space="0" w:color="auto"/>
      </w:divBdr>
      <w:divsChild>
        <w:div w:id="969895795">
          <w:marLeft w:val="0"/>
          <w:marRight w:val="0"/>
          <w:marTop w:val="0"/>
          <w:marBottom w:val="0"/>
          <w:divBdr>
            <w:top w:val="none" w:sz="0" w:space="0" w:color="auto"/>
            <w:left w:val="none" w:sz="0" w:space="0" w:color="auto"/>
            <w:bottom w:val="none" w:sz="0" w:space="0" w:color="auto"/>
            <w:right w:val="none" w:sz="0" w:space="0" w:color="auto"/>
          </w:divBdr>
          <w:divsChild>
            <w:div w:id="1253201587">
              <w:marLeft w:val="0"/>
              <w:marRight w:val="0"/>
              <w:marTop w:val="0"/>
              <w:marBottom w:val="0"/>
              <w:divBdr>
                <w:top w:val="none" w:sz="0" w:space="0" w:color="auto"/>
                <w:left w:val="none" w:sz="0" w:space="0" w:color="auto"/>
                <w:bottom w:val="none" w:sz="0" w:space="0" w:color="auto"/>
                <w:right w:val="none" w:sz="0" w:space="0" w:color="auto"/>
              </w:divBdr>
              <w:divsChild>
                <w:div w:id="1616711122">
                  <w:marLeft w:val="0"/>
                  <w:marRight w:val="0"/>
                  <w:marTop w:val="0"/>
                  <w:marBottom w:val="0"/>
                  <w:divBdr>
                    <w:top w:val="none" w:sz="0" w:space="0" w:color="auto"/>
                    <w:left w:val="none" w:sz="0" w:space="0" w:color="auto"/>
                    <w:bottom w:val="none" w:sz="0" w:space="0" w:color="auto"/>
                    <w:right w:val="none" w:sz="0" w:space="0" w:color="auto"/>
                  </w:divBdr>
                  <w:divsChild>
                    <w:div w:id="721711995">
                      <w:marLeft w:val="0"/>
                      <w:marRight w:val="0"/>
                      <w:marTop w:val="0"/>
                      <w:marBottom w:val="0"/>
                      <w:divBdr>
                        <w:top w:val="none" w:sz="0" w:space="0" w:color="auto"/>
                        <w:left w:val="none" w:sz="0" w:space="0" w:color="auto"/>
                        <w:bottom w:val="none" w:sz="0" w:space="0" w:color="auto"/>
                        <w:right w:val="none" w:sz="0" w:space="0" w:color="auto"/>
                      </w:divBdr>
                      <w:divsChild>
                        <w:div w:id="580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028713">
      <w:bodyDiv w:val="1"/>
      <w:marLeft w:val="0"/>
      <w:marRight w:val="0"/>
      <w:marTop w:val="0"/>
      <w:marBottom w:val="0"/>
      <w:divBdr>
        <w:top w:val="none" w:sz="0" w:space="0" w:color="auto"/>
        <w:left w:val="none" w:sz="0" w:space="0" w:color="auto"/>
        <w:bottom w:val="none" w:sz="0" w:space="0" w:color="auto"/>
        <w:right w:val="none" w:sz="0" w:space="0" w:color="auto"/>
      </w:divBdr>
      <w:divsChild>
        <w:div w:id="375861537">
          <w:marLeft w:val="0"/>
          <w:marRight w:val="0"/>
          <w:marTop w:val="0"/>
          <w:marBottom w:val="0"/>
          <w:divBdr>
            <w:top w:val="none" w:sz="0" w:space="0" w:color="auto"/>
            <w:left w:val="none" w:sz="0" w:space="0" w:color="auto"/>
            <w:bottom w:val="none" w:sz="0" w:space="0" w:color="auto"/>
            <w:right w:val="none" w:sz="0" w:space="0" w:color="auto"/>
          </w:divBdr>
          <w:divsChild>
            <w:div w:id="511727699">
              <w:marLeft w:val="0"/>
              <w:marRight w:val="0"/>
              <w:marTop w:val="0"/>
              <w:marBottom w:val="0"/>
              <w:divBdr>
                <w:top w:val="none" w:sz="0" w:space="0" w:color="auto"/>
                <w:left w:val="none" w:sz="0" w:space="0" w:color="auto"/>
                <w:bottom w:val="none" w:sz="0" w:space="0" w:color="auto"/>
                <w:right w:val="none" w:sz="0" w:space="0" w:color="auto"/>
              </w:divBdr>
              <w:divsChild>
                <w:div w:id="1377780918">
                  <w:marLeft w:val="0"/>
                  <w:marRight w:val="0"/>
                  <w:marTop w:val="0"/>
                  <w:marBottom w:val="0"/>
                  <w:divBdr>
                    <w:top w:val="none" w:sz="0" w:space="0" w:color="auto"/>
                    <w:left w:val="none" w:sz="0" w:space="0" w:color="auto"/>
                    <w:bottom w:val="none" w:sz="0" w:space="0" w:color="auto"/>
                    <w:right w:val="none" w:sz="0" w:space="0" w:color="auto"/>
                  </w:divBdr>
                  <w:divsChild>
                    <w:div w:id="1181625166">
                      <w:marLeft w:val="0"/>
                      <w:marRight w:val="0"/>
                      <w:marTop w:val="0"/>
                      <w:marBottom w:val="0"/>
                      <w:divBdr>
                        <w:top w:val="none" w:sz="0" w:space="0" w:color="auto"/>
                        <w:left w:val="none" w:sz="0" w:space="0" w:color="auto"/>
                        <w:bottom w:val="none" w:sz="0" w:space="0" w:color="auto"/>
                        <w:right w:val="none" w:sz="0" w:space="0" w:color="auto"/>
                      </w:divBdr>
                      <w:divsChild>
                        <w:div w:id="85657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546671">
      <w:bodyDiv w:val="1"/>
      <w:marLeft w:val="0"/>
      <w:marRight w:val="0"/>
      <w:marTop w:val="0"/>
      <w:marBottom w:val="0"/>
      <w:divBdr>
        <w:top w:val="none" w:sz="0" w:space="0" w:color="auto"/>
        <w:left w:val="none" w:sz="0" w:space="0" w:color="auto"/>
        <w:bottom w:val="none" w:sz="0" w:space="0" w:color="auto"/>
        <w:right w:val="none" w:sz="0" w:space="0" w:color="auto"/>
      </w:divBdr>
      <w:divsChild>
        <w:div w:id="28535360">
          <w:marLeft w:val="0"/>
          <w:marRight w:val="0"/>
          <w:marTop w:val="0"/>
          <w:marBottom w:val="0"/>
          <w:divBdr>
            <w:top w:val="none" w:sz="0" w:space="0" w:color="auto"/>
            <w:left w:val="none" w:sz="0" w:space="0" w:color="auto"/>
            <w:bottom w:val="none" w:sz="0" w:space="0" w:color="auto"/>
            <w:right w:val="none" w:sz="0" w:space="0" w:color="auto"/>
          </w:divBdr>
          <w:divsChild>
            <w:div w:id="636643422">
              <w:marLeft w:val="0"/>
              <w:marRight w:val="0"/>
              <w:marTop w:val="0"/>
              <w:marBottom w:val="0"/>
              <w:divBdr>
                <w:top w:val="none" w:sz="0" w:space="0" w:color="auto"/>
                <w:left w:val="none" w:sz="0" w:space="0" w:color="auto"/>
                <w:bottom w:val="none" w:sz="0" w:space="0" w:color="auto"/>
                <w:right w:val="none" w:sz="0" w:space="0" w:color="auto"/>
              </w:divBdr>
              <w:divsChild>
                <w:div w:id="34278892">
                  <w:marLeft w:val="0"/>
                  <w:marRight w:val="0"/>
                  <w:marTop w:val="0"/>
                  <w:marBottom w:val="0"/>
                  <w:divBdr>
                    <w:top w:val="none" w:sz="0" w:space="0" w:color="auto"/>
                    <w:left w:val="none" w:sz="0" w:space="0" w:color="auto"/>
                    <w:bottom w:val="none" w:sz="0" w:space="0" w:color="auto"/>
                    <w:right w:val="none" w:sz="0" w:space="0" w:color="auto"/>
                  </w:divBdr>
                  <w:divsChild>
                    <w:div w:id="94524252">
                      <w:marLeft w:val="0"/>
                      <w:marRight w:val="0"/>
                      <w:marTop w:val="0"/>
                      <w:marBottom w:val="0"/>
                      <w:divBdr>
                        <w:top w:val="none" w:sz="0" w:space="0" w:color="auto"/>
                        <w:left w:val="none" w:sz="0" w:space="0" w:color="auto"/>
                        <w:bottom w:val="none" w:sz="0" w:space="0" w:color="auto"/>
                        <w:right w:val="none" w:sz="0" w:space="0" w:color="auto"/>
                      </w:divBdr>
                      <w:divsChild>
                        <w:div w:id="17905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778080">
      <w:bodyDiv w:val="1"/>
      <w:marLeft w:val="0"/>
      <w:marRight w:val="0"/>
      <w:marTop w:val="0"/>
      <w:marBottom w:val="0"/>
      <w:divBdr>
        <w:top w:val="none" w:sz="0" w:space="0" w:color="auto"/>
        <w:left w:val="none" w:sz="0" w:space="0" w:color="auto"/>
        <w:bottom w:val="none" w:sz="0" w:space="0" w:color="auto"/>
        <w:right w:val="none" w:sz="0" w:space="0" w:color="auto"/>
      </w:divBdr>
    </w:div>
    <w:div w:id="1272279343">
      <w:bodyDiv w:val="1"/>
      <w:marLeft w:val="0"/>
      <w:marRight w:val="0"/>
      <w:marTop w:val="0"/>
      <w:marBottom w:val="0"/>
      <w:divBdr>
        <w:top w:val="none" w:sz="0" w:space="0" w:color="auto"/>
        <w:left w:val="none" w:sz="0" w:space="0" w:color="auto"/>
        <w:bottom w:val="none" w:sz="0" w:space="0" w:color="auto"/>
        <w:right w:val="none" w:sz="0" w:space="0" w:color="auto"/>
      </w:divBdr>
    </w:div>
    <w:div w:id="1275360887">
      <w:bodyDiv w:val="1"/>
      <w:marLeft w:val="0"/>
      <w:marRight w:val="0"/>
      <w:marTop w:val="0"/>
      <w:marBottom w:val="0"/>
      <w:divBdr>
        <w:top w:val="none" w:sz="0" w:space="0" w:color="auto"/>
        <w:left w:val="none" w:sz="0" w:space="0" w:color="auto"/>
        <w:bottom w:val="none" w:sz="0" w:space="0" w:color="auto"/>
        <w:right w:val="none" w:sz="0" w:space="0" w:color="auto"/>
      </w:divBdr>
    </w:div>
    <w:div w:id="1308632345">
      <w:bodyDiv w:val="1"/>
      <w:marLeft w:val="0"/>
      <w:marRight w:val="0"/>
      <w:marTop w:val="0"/>
      <w:marBottom w:val="0"/>
      <w:divBdr>
        <w:top w:val="none" w:sz="0" w:space="0" w:color="auto"/>
        <w:left w:val="none" w:sz="0" w:space="0" w:color="auto"/>
        <w:bottom w:val="none" w:sz="0" w:space="0" w:color="auto"/>
        <w:right w:val="none" w:sz="0" w:space="0" w:color="auto"/>
      </w:divBdr>
    </w:div>
    <w:div w:id="1358895449">
      <w:bodyDiv w:val="1"/>
      <w:marLeft w:val="0"/>
      <w:marRight w:val="0"/>
      <w:marTop w:val="0"/>
      <w:marBottom w:val="0"/>
      <w:divBdr>
        <w:top w:val="none" w:sz="0" w:space="0" w:color="auto"/>
        <w:left w:val="none" w:sz="0" w:space="0" w:color="auto"/>
        <w:bottom w:val="none" w:sz="0" w:space="0" w:color="auto"/>
        <w:right w:val="none" w:sz="0" w:space="0" w:color="auto"/>
      </w:divBdr>
    </w:div>
    <w:div w:id="1380008553">
      <w:bodyDiv w:val="1"/>
      <w:marLeft w:val="0"/>
      <w:marRight w:val="0"/>
      <w:marTop w:val="0"/>
      <w:marBottom w:val="0"/>
      <w:divBdr>
        <w:top w:val="none" w:sz="0" w:space="0" w:color="auto"/>
        <w:left w:val="none" w:sz="0" w:space="0" w:color="auto"/>
        <w:bottom w:val="none" w:sz="0" w:space="0" w:color="auto"/>
        <w:right w:val="none" w:sz="0" w:space="0" w:color="auto"/>
      </w:divBdr>
    </w:div>
    <w:div w:id="1416897904">
      <w:bodyDiv w:val="1"/>
      <w:marLeft w:val="0"/>
      <w:marRight w:val="0"/>
      <w:marTop w:val="0"/>
      <w:marBottom w:val="0"/>
      <w:divBdr>
        <w:top w:val="none" w:sz="0" w:space="0" w:color="auto"/>
        <w:left w:val="none" w:sz="0" w:space="0" w:color="auto"/>
        <w:bottom w:val="none" w:sz="0" w:space="0" w:color="auto"/>
        <w:right w:val="none" w:sz="0" w:space="0" w:color="auto"/>
      </w:divBdr>
      <w:divsChild>
        <w:div w:id="358819381">
          <w:marLeft w:val="0"/>
          <w:marRight w:val="0"/>
          <w:marTop w:val="0"/>
          <w:marBottom w:val="0"/>
          <w:divBdr>
            <w:top w:val="none" w:sz="0" w:space="0" w:color="auto"/>
            <w:left w:val="none" w:sz="0" w:space="0" w:color="auto"/>
            <w:bottom w:val="none" w:sz="0" w:space="0" w:color="auto"/>
            <w:right w:val="none" w:sz="0" w:space="0" w:color="auto"/>
          </w:divBdr>
          <w:divsChild>
            <w:div w:id="1449742572">
              <w:marLeft w:val="0"/>
              <w:marRight w:val="0"/>
              <w:marTop w:val="0"/>
              <w:marBottom w:val="0"/>
              <w:divBdr>
                <w:top w:val="none" w:sz="0" w:space="0" w:color="auto"/>
                <w:left w:val="none" w:sz="0" w:space="0" w:color="auto"/>
                <w:bottom w:val="none" w:sz="0" w:space="0" w:color="auto"/>
                <w:right w:val="none" w:sz="0" w:space="0" w:color="auto"/>
              </w:divBdr>
              <w:divsChild>
                <w:div w:id="965937196">
                  <w:marLeft w:val="0"/>
                  <w:marRight w:val="0"/>
                  <w:marTop w:val="0"/>
                  <w:marBottom w:val="0"/>
                  <w:divBdr>
                    <w:top w:val="none" w:sz="0" w:space="0" w:color="auto"/>
                    <w:left w:val="none" w:sz="0" w:space="0" w:color="auto"/>
                    <w:bottom w:val="none" w:sz="0" w:space="0" w:color="auto"/>
                    <w:right w:val="none" w:sz="0" w:space="0" w:color="auto"/>
                  </w:divBdr>
                  <w:divsChild>
                    <w:div w:id="27224697">
                      <w:marLeft w:val="540"/>
                      <w:marRight w:val="0"/>
                      <w:marTop w:val="90"/>
                      <w:marBottom w:val="0"/>
                      <w:divBdr>
                        <w:top w:val="none" w:sz="0" w:space="0" w:color="auto"/>
                        <w:left w:val="none" w:sz="0" w:space="0" w:color="auto"/>
                        <w:bottom w:val="none" w:sz="0" w:space="0" w:color="auto"/>
                        <w:right w:val="none" w:sz="0" w:space="0" w:color="auto"/>
                      </w:divBdr>
                    </w:div>
                    <w:div w:id="1714765531">
                      <w:marLeft w:val="54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38548161">
          <w:marLeft w:val="0"/>
          <w:marRight w:val="0"/>
          <w:marTop w:val="0"/>
          <w:marBottom w:val="0"/>
          <w:divBdr>
            <w:top w:val="none" w:sz="0" w:space="0" w:color="auto"/>
            <w:left w:val="none" w:sz="0" w:space="0" w:color="auto"/>
            <w:bottom w:val="none" w:sz="0" w:space="0" w:color="auto"/>
            <w:right w:val="none" w:sz="0" w:space="0" w:color="auto"/>
          </w:divBdr>
          <w:divsChild>
            <w:div w:id="602691872">
              <w:marLeft w:val="540"/>
              <w:marRight w:val="0"/>
              <w:marTop w:val="90"/>
              <w:marBottom w:val="0"/>
              <w:divBdr>
                <w:top w:val="none" w:sz="0" w:space="0" w:color="auto"/>
                <w:left w:val="none" w:sz="0" w:space="0" w:color="auto"/>
                <w:bottom w:val="none" w:sz="0" w:space="0" w:color="auto"/>
                <w:right w:val="none" w:sz="0" w:space="0" w:color="auto"/>
              </w:divBdr>
            </w:div>
            <w:div w:id="1312978027">
              <w:marLeft w:val="540"/>
              <w:marRight w:val="0"/>
              <w:marTop w:val="90"/>
              <w:marBottom w:val="0"/>
              <w:divBdr>
                <w:top w:val="none" w:sz="0" w:space="0" w:color="auto"/>
                <w:left w:val="none" w:sz="0" w:space="0" w:color="auto"/>
                <w:bottom w:val="none" w:sz="0" w:space="0" w:color="auto"/>
                <w:right w:val="none" w:sz="0" w:space="0" w:color="auto"/>
              </w:divBdr>
            </w:div>
            <w:div w:id="1841461431">
              <w:marLeft w:val="540"/>
              <w:marRight w:val="0"/>
              <w:marTop w:val="90"/>
              <w:marBottom w:val="0"/>
              <w:divBdr>
                <w:top w:val="none" w:sz="0" w:space="0" w:color="auto"/>
                <w:left w:val="none" w:sz="0" w:space="0" w:color="auto"/>
                <w:bottom w:val="none" w:sz="0" w:space="0" w:color="auto"/>
                <w:right w:val="none" w:sz="0" w:space="0" w:color="auto"/>
              </w:divBdr>
              <w:divsChild>
                <w:div w:id="9888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18042">
      <w:bodyDiv w:val="1"/>
      <w:marLeft w:val="0"/>
      <w:marRight w:val="0"/>
      <w:marTop w:val="0"/>
      <w:marBottom w:val="0"/>
      <w:divBdr>
        <w:top w:val="none" w:sz="0" w:space="0" w:color="auto"/>
        <w:left w:val="none" w:sz="0" w:space="0" w:color="auto"/>
        <w:bottom w:val="none" w:sz="0" w:space="0" w:color="auto"/>
        <w:right w:val="none" w:sz="0" w:space="0" w:color="auto"/>
      </w:divBdr>
    </w:div>
    <w:div w:id="1529610440">
      <w:bodyDiv w:val="1"/>
      <w:marLeft w:val="0"/>
      <w:marRight w:val="0"/>
      <w:marTop w:val="0"/>
      <w:marBottom w:val="0"/>
      <w:divBdr>
        <w:top w:val="none" w:sz="0" w:space="0" w:color="auto"/>
        <w:left w:val="none" w:sz="0" w:space="0" w:color="auto"/>
        <w:bottom w:val="none" w:sz="0" w:space="0" w:color="auto"/>
        <w:right w:val="none" w:sz="0" w:space="0" w:color="auto"/>
      </w:divBdr>
    </w:div>
    <w:div w:id="1566915534">
      <w:bodyDiv w:val="1"/>
      <w:marLeft w:val="0"/>
      <w:marRight w:val="0"/>
      <w:marTop w:val="0"/>
      <w:marBottom w:val="0"/>
      <w:divBdr>
        <w:top w:val="none" w:sz="0" w:space="0" w:color="auto"/>
        <w:left w:val="none" w:sz="0" w:space="0" w:color="auto"/>
        <w:bottom w:val="none" w:sz="0" w:space="0" w:color="auto"/>
        <w:right w:val="none" w:sz="0" w:space="0" w:color="auto"/>
      </w:divBdr>
    </w:div>
    <w:div w:id="1587810981">
      <w:bodyDiv w:val="1"/>
      <w:marLeft w:val="0"/>
      <w:marRight w:val="0"/>
      <w:marTop w:val="0"/>
      <w:marBottom w:val="0"/>
      <w:divBdr>
        <w:top w:val="none" w:sz="0" w:space="0" w:color="auto"/>
        <w:left w:val="none" w:sz="0" w:space="0" w:color="auto"/>
        <w:bottom w:val="none" w:sz="0" w:space="0" w:color="auto"/>
        <w:right w:val="none" w:sz="0" w:space="0" w:color="auto"/>
      </w:divBdr>
      <w:divsChild>
        <w:div w:id="2099252951">
          <w:marLeft w:val="0"/>
          <w:marRight w:val="0"/>
          <w:marTop w:val="0"/>
          <w:marBottom w:val="0"/>
          <w:divBdr>
            <w:top w:val="none" w:sz="0" w:space="0" w:color="auto"/>
            <w:left w:val="none" w:sz="0" w:space="0" w:color="auto"/>
            <w:bottom w:val="none" w:sz="0" w:space="0" w:color="auto"/>
            <w:right w:val="none" w:sz="0" w:space="0" w:color="auto"/>
          </w:divBdr>
          <w:divsChild>
            <w:div w:id="1981693272">
              <w:marLeft w:val="0"/>
              <w:marRight w:val="0"/>
              <w:marTop w:val="100"/>
              <w:marBottom w:val="100"/>
              <w:divBdr>
                <w:top w:val="none" w:sz="0" w:space="0" w:color="auto"/>
                <w:left w:val="none" w:sz="0" w:space="0" w:color="auto"/>
                <w:bottom w:val="none" w:sz="0" w:space="0" w:color="auto"/>
                <w:right w:val="none" w:sz="0" w:space="0" w:color="auto"/>
              </w:divBdr>
              <w:divsChild>
                <w:div w:id="1653175974">
                  <w:marLeft w:val="0"/>
                  <w:marRight w:val="0"/>
                  <w:marTop w:val="0"/>
                  <w:marBottom w:val="0"/>
                  <w:divBdr>
                    <w:top w:val="none" w:sz="0" w:space="0" w:color="auto"/>
                    <w:left w:val="none" w:sz="0" w:space="0" w:color="auto"/>
                    <w:bottom w:val="none" w:sz="0" w:space="0" w:color="auto"/>
                    <w:right w:val="none" w:sz="0" w:space="0" w:color="auto"/>
                  </w:divBdr>
                  <w:divsChild>
                    <w:div w:id="744182709">
                      <w:marLeft w:val="0"/>
                      <w:marRight w:val="0"/>
                      <w:marTop w:val="0"/>
                      <w:marBottom w:val="0"/>
                      <w:divBdr>
                        <w:top w:val="none" w:sz="0" w:space="0" w:color="auto"/>
                        <w:left w:val="none" w:sz="0" w:space="0" w:color="auto"/>
                        <w:bottom w:val="none" w:sz="0" w:space="0" w:color="auto"/>
                        <w:right w:val="none" w:sz="0" w:space="0" w:color="auto"/>
                      </w:divBdr>
                      <w:divsChild>
                        <w:div w:id="190922507">
                          <w:marLeft w:val="0"/>
                          <w:marRight w:val="0"/>
                          <w:marTop w:val="0"/>
                          <w:marBottom w:val="0"/>
                          <w:divBdr>
                            <w:top w:val="none" w:sz="0" w:space="0" w:color="auto"/>
                            <w:left w:val="none" w:sz="0" w:space="0" w:color="auto"/>
                            <w:bottom w:val="none" w:sz="0" w:space="0" w:color="auto"/>
                            <w:right w:val="none" w:sz="0" w:space="0" w:color="auto"/>
                          </w:divBdr>
                          <w:divsChild>
                            <w:div w:id="1837960346">
                              <w:marLeft w:val="0"/>
                              <w:marRight w:val="0"/>
                              <w:marTop w:val="0"/>
                              <w:marBottom w:val="0"/>
                              <w:divBdr>
                                <w:top w:val="none" w:sz="0" w:space="0" w:color="auto"/>
                                <w:left w:val="none" w:sz="0" w:space="0" w:color="auto"/>
                                <w:bottom w:val="none" w:sz="0" w:space="0" w:color="auto"/>
                                <w:right w:val="none" w:sz="0" w:space="0" w:color="auto"/>
                              </w:divBdr>
                              <w:divsChild>
                                <w:div w:id="2123838480">
                                  <w:marLeft w:val="0"/>
                                  <w:marRight w:val="0"/>
                                  <w:marTop w:val="0"/>
                                  <w:marBottom w:val="0"/>
                                  <w:divBdr>
                                    <w:top w:val="none" w:sz="0" w:space="0" w:color="auto"/>
                                    <w:left w:val="none" w:sz="0" w:space="0" w:color="auto"/>
                                    <w:bottom w:val="none" w:sz="0" w:space="0" w:color="auto"/>
                                    <w:right w:val="none" w:sz="0" w:space="0" w:color="auto"/>
                                  </w:divBdr>
                                  <w:divsChild>
                                    <w:div w:id="559512785">
                                      <w:marLeft w:val="0"/>
                                      <w:marRight w:val="0"/>
                                      <w:marTop w:val="0"/>
                                      <w:marBottom w:val="0"/>
                                      <w:divBdr>
                                        <w:top w:val="none" w:sz="0" w:space="0" w:color="auto"/>
                                        <w:left w:val="none" w:sz="0" w:space="0" w:color="auto"/>
                                        <w:bottom w:val="none" w:sz="0" w:space="0" w:color="auto"/>
                                        <w:right w:val="none" w:sz="0" w:space="0" w:color="auto"/>
                                      </w:divBdr>
                                      <w:divsChild>
                                        <w:div w:id="1603105541">
                                          <w:marLeft w:val="0"/>
                                          <w:marRight w:val="0"/>
                                          <w:marTop w:val="0"/>
                                          <w:marBottom w:val="0"/>
                                          <w:divBdr>
                                            <w:top w:val="none" w:sz="0" w:space="0" w:color="auto"/>
                                            <w:left w:val="none" w:sz="0" w:space="0" w:color="auto"/>
                                            <w:bottom w:val="none" w:sz="0" w:space="0" w:color="auto"/>
                                            <w:right w:val="none" w:sz="0" w:space="0" w:color="auto"/>
                                          </w:divBdr>
                                          <w:divsChild>
                                            <w:div w:id="1126779044">
                                              <w:marLeft w:val="165"/>
                                              <w:marRight w:val="165"/>
                                              <w:marTop w:val="0"/>
                                              <w:marBottom w:val="0"/>
                                              <w:divBdr>
                                                <w:top w:val="none" w:sz="0" w:space="0" w:color="auto"/>
                                                <w:left w:val="none" w:sz="0" w:space="0" w:color="auto"/>
                                                <w:bottom w:val="none" w:sz="0" w:space="0" w:color="auto"/>
                                                <w:right w:val="none" w:sz="0" w:space="0" w:color="auto"/>
                                              </w:divBdr>
                                              <w:divsChild>
                                                <w:div w:id="1072392121">
                                                  <w:marLeft w:val="0"/>
                                                  <w:marRight w:val="0"/>
                                                  <w:marTop w:val="0"/>
                                                  <w:marBottom w:val="0"/>
                                                  <w:divBdr>
                                                    <w:top w:val="none" w:sz="0" w:space="0" w:color="auto"/>
                                                    <w:left w:val="none" w:sz="0" w:space="0" w:color="auto"/>
                                                    <w:bottom w:val="none" w:sz="0" w:space="0" w:color="auto"/>
                                                    <w:right w:val="none" w:sz="0" w:space="0" w:color="auto"/>
                                                  </w:divBdr>
                                                </w:div>
                                                <w:div w:id="16894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584926">
      <w:bodyDiv w:val="1"/>
      <w:marLeft w:val="0"/>
      <w:marRight w:val="0"/>
      <w:marTop w:val="0"/>
      <w:marBottom w:val="0"/>
      <w:divBdr>
        <w:top w:val="none" w:sz="0" w:space="0" w:color="auto"/>
        <w:left w:val="none" w:sz="0" w:space="0" w:color="auto"/>
        <w:bottom w:val="none" w:sz="0" w:space="0" w:color="auto"/>
        <w:right w:val="none" w:sz="0" w:space="0" w:color="auto"/>
      </w:divBdr>
    </w:div>
    <w:div w:id="1636914717">
      <w:bodyDiv w:val="1"/>
      <w:marLeft w:val="0"/>
      <w:marRight w:val="0"/>
      <w:marTop w:val="0"/>
      <w:marBottom w:val="0"/>
      <w:divBdr>
        <w:top w:val="none" w:sz="0" w:space="0" w:color="auto"/>
        <w:left w:val="none" w:sz="0" w:space="0" w:color="auto"/>
        <w:bottom w:val="none" w:sz="0" w:space="0" w:color="auto"/>
        <w:right w:val="none" w:sz="0" w:space="0" w:color="auto"/>
      </w:divBdr>
    </w:div>
    <w:div w:id="1644777686">
      <w:bodyDiv w:val="1"/>
      <w:marLeft w:val="0"/>
      <w:marRight w:val="0"/>
      <w:marTop w:val="0"/>
      <w:marBottom w:val="0"/>
      <w:divBdr>
        <w:top w:val="none" w:sz="0" w:space="0" w:color="auto"/>
        <w:left w:val="none" w:sz="0" w:space="0" w:color="auto"/>
        <w:bottom w:val="none" w:sz="0" w:space="0" w:color="auto"/>
        <w:right w:val="none" w:sz="0" w:space="0" w:color="auto"/>
      </w:divBdr>
    </w:div>
    <w:div w:id="1670711242">
      <w:bodyDiv w:val="1"/>
      <w:marLeft w:val="0"/>
      <w:marRight w:val="0"/>
      <w:marTop w:val="0"/>
      <w:marBottom w:val="0"/>
      <w:divBdr>
        <w:top w:val="none" w:sz="0" w:space="0" w:color="auto"/>
        <w:left w:val="none" w:sz="0" w:space="0" w:color="auto"/>
        <w:bottom w:val="none" w:sz="0" w:space="0" w:color="auto"/>
        <w:right w:val="none" w:sz="0" w:space="0" w:color="auto"/>
      </w:divBdr>
      <w:divsChild>
        <w:div w:id="1870215815">
          <w:marLeft w:val="0"/>
          <w:marRight w:val="0"/>
          <w:marTop w:val="0"/>
          <w:marBottom w:val="0"/>
          <w:divBdr>
            <w:top w:val="none" w:sz="0" w:space="0" w:color="auto"/>
            <w:left w:val="none" w:sz="0" w:space="0" w:color="auto"/>
            <w:bottom w:val="none" w:sz="0" w:space="0" w:color="auto"/>
            <w:right w:val="none" w:sz="0" w:space="0" w:color="auto"/>
          </w:divBdr>
        </w:div>
      </w:divsChild>
    </w:div>
    <w:div w:id="1697658987">
      <w:bodyDiv w:val="1"/>
      <w:marLeft w:val="0"/>
      <w:marRight w:val="0"/>
      <w:marTop w:val="0"/>
      <w:marBottom w:val="0"/>
      <w:divBdr>
        <w:top w:val="none" w:sz="0" w:space="0" w:color="auto"/>
        <w:left w:val="none" w:sz="0" w:space="0" w:color="auto"/>
        <w:bottom w:val="none" w:sz="0" w:space="0" w:color="auto"/>
        <w:right w:val="none" w:sz="0" w:space="0" w:color="auto"/>
      </w:divBdr>
      <w:divsChild>
        <w:div w:id="868495376">
          <w:marLeft w:val="0"/>
          <w:marRight w:val="0"/>
          <w:marTop w:val="0"/>
          <w:marBottom w:val="0"/>
          <w:divBdr>
            <w:top w:val="none" w:sz="0" w:space="0" w:color="auto"/>
            <w:left w:val="none" w:sz="0" w:space="0" w:color="auto"/>
            <w:bottom w:val="none" w:sz="0" w:space="0" w:color="auto"/>
            <w:right w:val="none" w:sz="0" w:space="0" w:color="auto"/>
          </w:divBdr>
          <w:divsChild>
            <w:div w:id="1546218725">
              <w:marLeft w:val="0"/>
              <w:marRight w:val="0"/>
              <w:marTop w:val="0"/>
              <w:marBottom w:val="0"/>
              <w:divBdr>
                <w:top w:val="none" w:sz="0" w:space="0" w:color="auto"/>
                <w:left w:val="none" w:sz="0" w:space="0" w:color="auto"/>
                <w:bottom w:val="none" w:sz="0" w:space="0" w:color="auto"/>
                <w:right w:val="none" w:sz="0" w:space="0" w:color="auto"/>
              </w:divBdr>
              <w:divsChild>
                <w:div w:id="393548927">
                  <w:marLeft w:val="0"/>
                  <w:marRight w:val="0"/>
                  <w:marTop w:val="0"/>
                  <w:marBottom w:val="0"/>
                  <w:divBdr>
                    <w:top w:val="none" w:sz="0" w:space="0" w:color="auto"/>
                    <w:left w:val="none" w:sz="0" w:space="0" w:color="auto"/>
                    <w:bottom w:val="none" w:sz="0" w:space="0" w:color="auto"/>
                    <w:right w:val="none" w:sz="0" w:space="0" w:color="auto"/>
                  </w:divBdr>
                  <w:divsChild>
                    <w:div w:id="1578054627">
                      <w:marLeft w:val="0"/>
                      <w:marRight w:val="0"/>
                      <w:marTop w:val="0"/>
                      <w:marBottom w:val="0"/>
                      <w:divBdr>
                        <w:top w:val="none" w:sz="0" w:space="0" w:color="auto"/>
                        <w:left w:val="none" w:sz="0" w:space="0" w:color="auto"/>
                        <w:bottom w:val="none" w:sz="0" w:space="0" w:color="auto"/>
                        <w:right w:val="none" w:sz="0" w:space="0" w:color="auto"/>
                      </w:divBdr>
                      <w:divsChild>
                        <w:div w:id="1684088290">
                          <w:marLeft w:val="0"/>
                          <w:marRight w:val="0"/>
                          <w:marTop w:val="0"/>
                          <w:marBottom w:val="0"/>
                          <w:divBdr>
                            <w:top w:val="none" w:sz="0" w:space="0" w:color="auto"/>
                            <w:left w:val="none" w:sz="0" w:space="0" w:color="auto"/>
                            <w:bottom w:val="none" w:sz="0" w:space="0" w:color="auto"/>
                            <w:right w:val="none" w:sz="0" w:space="0" w:color="auto"/>
                          </w:divBdr>
                          <w:divsChild>
                            <w:div w:id="351959158">
                              <w:marLeft w:val="0"/>
                              <w:marRight w:val="0"/>
                              <w:marTop w:val="0"/>
                              <w:marBottom w:val="0"/>
                              <w:divBdr>
                                <w:top w:val="none" w:sz="0" w:space="0" w:color="auto"/>
                                <w:left w:val="none" w:sz="0" w:space="0" w:color="auto"/>
                                <w:bottom w:val="none" w:sz="0" w:space="0" w:color="auto"/>
                                <w:right w:val="none" w:sz="0" w:space="0" w:color="auto"/>
                              </w:divBdr>
                              <w:divsChild>
                                <w:div w:id="733547818">
                                  <w:marLeft w:val="0"/>
                                  <w:marRight w:val="0"/>
                                  <w:marTop w:val="0"/>
                                  <w:marBottom w:val="0"/>
                                  <w:divBdr>
                                    <w:top w:val="none" w:sz="0" w:space="0" w:color="auto"/>
                                    <w:left w:val="none" w:sz="0" w:space="0" w:color="auto"/>
                                    <w:bottom w:val="none" w:sz="0" w:space="0" w:color="auto"/>
                                    <w:right w:val="none" w:sz="0" w:space="0" w:color="auto"/>
                                  </w:divBdr>
                                  <w:divsChild>
                                    <w:div w:id="973414106">
                                      <w:marLeft w:val="0"/>
                                      <w:marRight w:val="0"/>
                                      <w:marTop w:val="0"/>
                                      <w:marBottom w:val="0"/>
                                      <w:divBdr>
                                        <w:top w:val="none" w:sz="0" w:space="0" w:color="auto"/>
                                        <w:left w:val="none" w:sz="0" w:space="0" w:color="auto"/>
                                        <w:bottom w:val="none" w:sz="0" w:space="0" w:color="auto"/>
                                        <w:right w:val="none" w:sz="0" w:space="0" w:color="auto"/>
                                      </w:divBdr>
                                      <w:divsChild>
                                        <w:div w:id="1307390197">
                                          <w:marLeft w:val="0"/>
                                          <w:marRight w:val="0"/>
                                          <w:marTop w:val="0"/>
                                          <w:marBottom w:val="0"/>
                                          <w:divBdr>
                                            <w:top w:val="none" w:sz="0" w:space="0" w:color="auto"/>
                                            <w:left w:val="none" w:sz="0" w:space="0" w:color="auto"/>
                                            <w:bottom w:val="none" w:sz="0" w:space="0" w:color="auto"/>
                                            <w:right w:val="none" w:sz="0" w:space="0" w:color="auto"/>
                                          </w:divBdr>
                                          <w:divsChild>
                                            <w:div w:id="1624775233">
                                              <w:marLeft w:val="0"/>
                                              <w:marRight w:val="0"/>
                                              <w:marTop w:val="0"/>
                                              <w:marBottom w:val="0"/>
                                              <w:divBdr>
                                                <w:top w:val="none" w:sz="0" w:space="0" w:color="auto"/>
                                                <w:left w:val="none" w:sz="0" w:space="0" w:color="auto"/>
                                                <w:bottom w:val="none" w:sz="0" w:space="0" w:color="auto"/>
                                                <w:right w:val="none" w:sz="0" w:space="0" w:color="auto"/>
                                              </w:divBdr>
                                              <w:divsChild>
                                                <w:div w:id="953945375">
                                                  <w:marLeft w:val="0"/>
                                                  <w:marRight w:val="0"/>
                                                  <w:marTop w:val="0"/>
                                                  <w:marBottom w:val="0"/>
                                                  <w:divBdr>
                                                    <w:top w:val="none" w:sz="0" w:space="0" w:color="auto"/>
                                                    <w:left w:val="none" w:sz="0" w:space="0" w:color="auto"/>
                                                    <w:bottom w:val="none" w:sz="0" w:space="0" w:color="auto"/>
                                                    <w:right w:val="none" w:sz="0" w:space="0" w:color="auto"/>
                                                  </w:divBdr>
                                                  <w:divsChild>
                                                    <w:div w:id="1825780671">
                                                      <w:marLeft w:val="0"/>
                                                      <w:marRight w:val="0"/>
                                                      <w:marTop w:val="0"/>
                                                      <w:marBottom w:val="0"/>
                                                      <w:divBdr>
                                                        <w:top w:val="none" w:sz="0" w:space="0" w:color="auto"/>
                                                        <w:left w:val="none" w:sz="0" w:space="0" w:color="auto"/>
                                                        <w:bottom w:val="none" w:sz="0" w:space="0" w:color="auto"/>
                                                        <w:right w:val="none" w:sz="0" w:space="0" w:color="auto"/>
                                                      </w:divBdr>
                                                      <w:divsChild>
                                                        <w:div w:id="1689601659">
                                                          <w:marLeft w:val="0"/>
                                                          <w:marRight w:val="0"/>
                                                          <w:marTop w:val="0"/>
                                                          <w:marBottom w:val="0"/>
                                                          <w:divBdr>
                                                            <w:top w:val="none" w:sz="0" w:space="0" w:color="auto"/>
                                                            <w:left w:val="none" w:sz="0" w:space="0" w:color="auto"/>
                                                            <w:bottom w:val="none" w:sz="0" w:space="0" w:color="auto"/>
                                                            <w:right w:val="none" w:sz="0" w:space="0" w:color="auto"/>
                                                          </w:divBdr>
                                                          <w:divsChild>
                                                            <w:div w:id="1864784491">
                                                              <w:marLeft w:val="0"/>
                                                              <w:marRight w:val="0"/>
                                                              <w:marTop w:val="0"/>
                                                              <w:marBottom w:val="0"/>
                                                              <w:divBdr>
                                                                <w:top w:val="none" w:sz="0" w:space="0" w:color="auto"/>
                                                                <w:left w:val="none" w:sz="0" w:space="0" w:color="auto"/>
                                                                <w:bottom w:val="none" w:sz="0" w:space="0" w:color="auto"/>
                                                                <w:right w:val="none" w:sz="0" w:space="0" w:color="auto"/>
                                                              </w:divBdr>
                                                              <w:divsChild>
                                                                <w:div w:id="309678108">
                                                                  <w:marLeft w:val="0"/>
                                                                  <w:marRight w:val="0"/>
                                                                  <w:marTop w:val="0"/>
                                                                  <w:marBottom w:val="0"/>
                                                                  <w:divBdr>
                                                                    <w:top w:val="none" w:sz="0" w:space="0" w:color="auto"/>
                                                                    <w:left w:val="none" w:sz="0" w:space="0" w:color="auto"/>
                                                                    <w:bottom w:val="none" w:sz="0" w:space="0" w:color="auto"/>
                                                                    <w:right w:val="none" w:sz="0" w:space="0" w:color="auto"/>
                                                                  </w:divBdr>
                                                                  <w:divsChild>
                                                                    <w:div w:id="549540553">
                                                                      <w:marLeft w:val="0"/>
                                                                      <w:marRight w:val="0"/>
                                                                      <w:marTop w:val="0"/>
                                                                      <w:marBottom w:val="0"/>
                                                                      <w:divBdr>
                                                                        <w:top w:val="none" w:sz="0" w:space="0" w:color="auto"/>
                                                                        <w:left w:val="none" w:sz="0" w:space="0" w:color="auto"/>
                                                                        <w:bottom w:val="none" w:sz="0" w:space="0" w:color="auto"/>
                                                                        <w:right w:val="none" w:sz="0" w:space="0" w:color="auto"/>
                                                                      </w:divBdr>
                                                                      <w:divsChild>
                                                                        <w:div w:id="34739592">
                                                                          <w:marLeft w:val="0"/>
                                                                          <w:marRight w:val="0"/>
                                                                          <w:marTop w:val="0"/>
                                                                          <w:marBottom w:val="0"/>
                                                                          <w:divBdr>
                                                                            <w:top w:val="none" w:sz="0" w:space="0" w:color="auto"/>
                                                                            <w:left w:val="none" w:sz="0" w:space="0" w:color="auto"/>
                                                                            <w:bottom w:val="none" w:sz="0" w:space="0" w:color="auto"/>
                                                                            <w:right w:val="none" w:sz="0" w:space="0" w:color="auto"/>
                                                                          </w:divBdr>
                                                                          <w:divsChild>
                                                                            <w:div w:id="5889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680275">
      <w:bodyDiv w:val="1"/>
      <w:marLeft w:val="0"/>
      <w:marRight w:val="0"/>
      <w:marTop w:val="0"/>
      <w:marBottom w:val="0"/>
      <w:divBdr>
        <w:top w:val="none" w:sz="0" w:space="0" w:color="auto"/>
        <w:left w:val="none" w:sz="0" w:space="0" w:color="auto"/>
        <w:bottom w:val="none" w:sz="0" w:space="0" w:color="auto"/>
        <w:right w:val="none" w:sz="0" w:space="0" w:color="auto"/>
      </w:divBdr>
    </w:div>
    <w:div w:id="1768771362">
      <w:bodyDiv w:val="1"/>
      <w:marLeft w:val="0"/>
      <w:marRight w:val="0"/>
      <w:marTop w:val="0"/>
      <w:marBottom w:val="0"/>
      <w:divBdr>
        <w:top w:val="none" w:sz="0" w:space="0" w:color="auto"/>
        <w:left w:val="none" w:sz="0" w:space="0" w:color="auto"/>
        <w:bottom w:val="none" w:sz="0" w:space="0" w:color="auto"/>
        <w:right w:val="none" w:sz="0" w:space="0" w:color="auto"/>
      </w:divBdr>
    </w:div>
    <w:div w:id="1790079658">
      <w:bodyDiv w:val="1"/>
      <w:marLeft w:val="0"/>
      <w:marRight w:val="0"/>
      <w:marTop w:val="0"/>
      <w:marBottom w:val="0"/>
      <w:divBdr>
        <w:top w:val="none" w:sz="0" w:space="0" w:color="auto"/>
        <w:left w:val="none" w:sz="0" w:space="0" w:color="auto"/>
        <w:bottom w:val="none" w:sz="0" w:space="0" w:color="auto"/>
        <w:right w:val="none" w:sz="0" w:space="0" w:color="auto"/>
      </w:divBdr>
    </w:div>
    <w:div w:id="1840077008">
      <w:bodyDiv w:val="1"/>
      <w:marLeft w:val="0"/>
      <w:marRight w:val="0"/>
      <w:marTop w:val="0"/>
      <w:marBottom w:val="0"/>
      <w:divBdr>
        <w:top w:val="none" w:sz="0" w:space="0" w:color="auto"/>
        <w:left w:val="none" w:sz="0" w:space="0" w:color="auto"/>
        <w:bottom w:val="none" w:sz="0" w:space="0" w:color="auto"/>
        <w:right w:val="none" w:sz="0" w:space="0" w:color="auto"/>
      </w:divBdr>
      <w:divsChild>
        <w:div w:id="5520658">
          <w:marLeft w:val="0"/>
          <w:marRight w:val="0"/>
          <w:marTop w:val="0"/>
          <w:marBottom w:val="0"/>
          <w:divBdr>
            <w:top w:val="single" w:sz="2" w:space="0" w:color="2E2E2E"/>
            <w:left w:val="single" w:sz="2" w:space="0" w:color="2E2E2E"/>
            <w:bottom w:val="single" w:sz="2" w:space="0" w:color="2E2E2E"/>
            <w:right w:val="single" w:sz="2" w:space="0" w:color="2E2E2E"/>
          </w:divBdr>
          <w:divsChild>
            <w:div w:id="1663579573">
              <w:marLeft w:val="0"/>
              <w:marRight w:val="0"/>
              <w:marTop w:val="0"/>
              <w:marBottom w:val="0"/>
              <w:divBdr>
                <w:top w:val="single" w:sz="6" w:space="0" w:color="C9C9C9"/>
                <w:left w:val="none" w:sz="0" w:space="0" w:color="auto"/>
                <w:bottom w:val="none" w:sz="0" w:space="0" w:color="auto"/>
                <w:right w:val="none" w:sz="0" w:space="0" w:color="auto"/>
              </w:divBdr>
              <w:divsChild>
                <w:div w:id="352608339">
                  <w:marLeft w:val="0"/>
                  <w:marRight w:val="0"/>
                  <w:marTop w:val="0"/>
                  <w:marBottom w:val="0"/>
                  <w:divBdr>
                    <w:top w:val="none" w:sz="0" w:space="0" w:color="auto"/>
                    <w:left w:val="none" w:sz="0" w:space="0" w:color="auto"/>
                    <w:bottom w:val="none" w:sz="0" w:space="0" w:color="auto"/>
                    <w:right w:val="none" w:sz="0" w:space="0" w:color="auto"/>
                  </w:divBdr>
                  <w:divsChild>
                    <w:div w:id="619604803">
                      <w:marLeft w:val="0"/>
                      <w:marRight w:val="0"/>
                      <w:marTop w:val="0"/>
                      <w:marBottom w:val="0"/>
                      <w:divBdr>
                        <w:top w:val="none" w:sz="0" w:space="0" w:color="auto"/>
                        <w:left w:val="none" w:sz="0" w:space="0" w:color="auto"/>
                        <w:bottom w:val="none" w:sz="0" w:space="0" w:color="auto"/>
                        <w:right w:val="none" w:sz="0" w:space="0" w:color="auto"/>
                      </w:divBdr>
                      <w:divsChild>
                        <w:div w:id="14909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211276">
      <w:bodyDiv w:val="1"/>
      <w:marLeft w:val="0"/>
      <w:marRight w:val="0"/>
      <w:marTop w:val="0"/>
      <w:marBottom w:val="0"/>
      <w:divBdr>
        <w:top w:val="none" w:sz="0" w:space="0" w:color="auto"/>
        <w:left w:val="none" w:sz="0" w:space="0" w:color="auto"/>
        <w:bottom w:val="none" w:sz="0" w:space="0" w:color="auto"/>
        <w:right w:val="none" w:sz="0" w:space="0" w:color="auto"/>
      </w:divBdr>
    </w:div>
    <w:div w:id="2050835606">
      <w:bodyDiv w:val="1"/>
      <w:marLeft w:val="0"/>
      <w:marRight w:val="0"/>
      <w:marTop w:val="0"/>
      <w:marBottom w:val="0"/>
      <w:divBdr>
        <w:top w:val="none" w:sz="0" w:space="0" w:color="auto"/>
        <w:left w:val="none" w:sz="0" w:space="0" w:color="auto"/>
        <w:bottom w:val="none" w:sz="0" w:space="0" w:color="auto"/>
        <w:right w:val="none" w:sz="0" w:space="0" w:color="auto"/>
      </w:divBdr>
      <w:divsChild>
        <w:div w:id="712079488">
          <w:marLeft w:val="0"/>
          <w:marRight w:val="0"/>
          <w:marTop w:val="0"/>
          <w:marBottom w:val="0"/>
          <w:divBdr>
            <w:top w:val="none" w:sz="0" w:space="0" w:color="auto"/>
            <w:left w:val="none" w:sz="0" w:space="0" w:color="auto"/>
            <w:bottom w:val="none" w:sz="0" w:space="0" w:color="auto"/>
            <w:right w:val="none" w:sz="0" w:space="0" w:color="auto"/>
          </w:divBdr>
          <w:divsChild>
            <w:div w:id="34963109">
              <w:marLeft w:val="0"/>
              <w:marRight w:val="0"/>
              <w:marTop w:val="0"/>
              <w:marBottom w:val="0"/>
              <w:divBdr>
                <w:top w:val="none" w:sz="0" w:space="0" w:color="auto"/>
                <w:left w:val="none" w:sz="0" w:space="0" w:color="auto"/>
                <w:bottom w:val="none" w:sz="0" w:space="0" w:color="auto"/>
                <w:right w:val="none" w:sz="0" w:space="0" w:color="auto"/>
              </w:divBdr>
              <w:divsChild>
                <w:div w:id="121654874">
                  <w:marLeft w:val="0"/>
                  <w:marRight w:val="0"/>
                  <w:marTop w:val="0"/>
                  <w:marBottom w:val="0"/>
                  <w:divBdr>
                    <w:top w:val="none" w:sz="0" w:space="0" w:color="auto"/>
                    <w:left w:val="none" w:sz="0" w:space="0" w:color="auto"/>
                    <w:bottom w:val="none" w:sz="0" w:space="0" w:color="auto"/>
                    <w:right w:val="none" w:sz="0" w:space="0" w:color="auto"/>
                  </w:divBdr>
                  <w:divsChild>
                    <w:div w:id="266542342">
                      <w:marLeft w:val="0"/>
                      <w:marRight w:val="0"/>
                      <w:marTop w:val="0"/>
                      <w:marBottom w:val="0"/>
                      <w:divBdr>
                        <w:top w:val="none" w:sz="0" w:space="0" w:color="auto"/>
                        <w:left w:val="none" w:sz="0" w:space="0" w:color="auto"/>
                        <w:bottom w:val="none" w:sz="0" w:space="0" w:color="auto"/>
                        <w:right w:val="none" w:sz="0" w:space="0" w:color="auto"/>
                      </w:divBdr>
                      <w:divsChild>
                        <w:div w:id="141512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681206">
      <w:bodyDiv w:val="1"/>
      <w:marLeft w:val="0"/>
      <w:marRight w:val="0"/>
      <w:marTop w:val="0"/>
      <w:marBottom w:val="0"/>
      <w:divBdr>
        <w:top w:val="none" w:sz="0" w:space="0" w:color="auto"/>
        <w:left w:val="none" w:sz="0" w:space="0" w:color="auto"/>
        <w:bottom w:val="none" w:sz="0" w:space="0" w:color="auto"/>
        <w:right w:val="none" w:sz="0" w:space="0" w:color="auto"/>
      </w:divBdr>
    </w:div>
    <w:div w:id="2107341909">
      <w:bodyDiv w:val="1"/>
      <w:marLeft w:val="0"/>
      <w:marRight w:val="0"/>
      <w:marTop w:val="0"/>
      <w:marBottom w:val="0"/>
      <w:divBdr>
        <w:top w:val="none" w:sz="0" w:space="0" w:color="auto"/>
        <w:left w:val="none" w:sz="0" w:space="0" w:color="auto"/>
        <w:bottom w:val="none" w:sz="0" w:space="0" w:color="auto"/>
        <w:right w:val="none" w:sz="0" w:space="0" w:color="auto"/>
      </w:divBdr>
    </w:div>
    <w:div w:id="2143302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gb.gov.au/Pages/completed-audits-and-reviews.aspx" TargetMode="External"/><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hyperlink" Target="https://www2.unece.org/wiki/display/TransportSustainableCTUCode/Chapter+2.+Definitions"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emf"/><Relationship Id="rId50" Type="http://schemas.openxmlformats.org/officeDocument/2006/relationships/hyperlink" Target="https://logisticsmagazine.com.au/sea-container-washing-system-sets-a-benchmark-3/"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1.jpeg"/><Relationship Id="rId11" Type="http://schemas.openxmlformats.org/officeDocument/2006/relationships/hyperlink" Target="mailto:copyright@agriculture.gov.au" TargetMode="Externa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spgenbiosecurity@agriculture.gov.au" TargetMode="External"/><Relationship Id="rId22" Type="http://schemas.openxmlformats.org/officeDocument/2006/relationships/image" Target="media/image5.png"/><Relationship Id="rId27" Type="http://schemas.openxmlformats.org/officeDocument/2006/relationships/chart" Target="charts/chart1.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em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dpi.nsw.gov.au/about-us/media-centre/releases/2018/further-evidence-of-yellow-crazy-ant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emf"/><Relationship Id="rId59" Type="http://schemas.microsoft.com/office/2016/09/relationships/commentsIds" Target="commentsIds.xml"/><Relationship Id="rId20" Type="http://schemas.openxmlformats.org/officeDocument/2006/relationships/image" Target="media/image4.jpeg"/><Relationship Id="rId41" Type="http://schemas.openxmlformats.org/officeDocument/2006/relationships/image" Target="media/image23.jpeg"/><Relationship Id="rId54" Type="http://schemas.openxmlformats.org/officeDocument/2006/relationships/footer" Target="footer3.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gb.gov.au/Pages/default.aspx"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emf"/><Relationship Id="rId10" Type="http://schemas.openxmlformats.org/officeDocument/2006/relationships/hyperlink" Target="https://creativecommons.org/licenses/by/4.0/legalcode"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hyperlink" Target="https://www.pbcrc.com.au/sites/default/files/managed/file-attach/media/PBCRC%20Media%20Release%20-%20National%20Tramp%20Ant%20Workshop%20-%208%20November%202016.pdf" TargetMode="External"/><Relationship Id="rId60"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3" Type="http://schemas.openxmlformats.org/officeDocument/2006/relationships/oleObject" Target="file:///\\act001cl04fs02\IGB$\Current%20reviews\01.%20Hitchhikers%20and%20contaminants\03.%20Data%20and%20information%20request\Copy%20of%20Container%20%20Blk%20count%201%20Jan%202010%20to%2031%20Dec%20201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layout/>
              <c:tx>
                <c:rich>
                  <a:bodyPr/>
                  <a:lstStyle/>
                  <a:p>
                    <a:r>
                      <a:rPr lang="en-US"/>
                      <a:t>47.5%</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8.7%</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5.6%</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5.3%</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4.7%</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28.2%</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Container!$A$3:$A$8</c:f>
              <c:strCache>
                <c:ptCount val="6"/>
                <c:pt idx="0">
                  <c:v>China</c:v>
                </c:pt>
                <c:pt idx="1">
                  <c:v>United States</c:v>
                </c:pt>
                <c:pt idx="2">
                  <c:v>New Zealand</c:v>
                </c:pt>
                <c:pt idx="3">
                  <c:v>Thailand</c:v>
                </c:pt>
                <c:pt idx="4">
                  <c:v>Malaysia</c:v>
                </c:pt>
                <c:pt idx="5">
                  <c:v>Other</c:v>
                </c:pt>
              </c:strCache>
            </c:strRef>
          </c:cat>
          <c:val>
            <c:numRef>
              <c:f>Container!$B$3:$B$8</c:f>
              <c:numCache>
                <c:formatCode>#,##0</c:formatCode>
                <c:ptCount val="6"/>
                <c:pt idx="0">
                  <c:v>8758496</c:v>
                </c:pt>
                <c:pt idx="1">
                  <c:v>1596401</c:v>
                </c:pt>
                <c:pt idx="2">
                  <c:v>1038075</c:v>
                </c:pt>
                <c:pt idx="3">
                  <c:v>974283</c:v>
                </c:pt>
                <c:pt idx="4">
                  <c:v>869460</c:v>
                </c:pt>
                <c:pt idx="5">
                  <c:v>5197808</c:v>
                </c:pt>
              </c:numCache>
            </c:numRef>
          </c:val>
        </c:ser>
        <c:dLbls>
          <c:showLegendKey val="0"/>
          <c:showVal val="0"/>
          <c:showCatName val="0"/>
          <c:showSerName val="0"/>
          <c:showPercent val="0"/>
          <c:showBubbleSize val="0"/>
        </c:dLbls>
        <c:gapWidth val="219"/>
        <c:overlap val="-27"/>
        <c:axId val="9623240"/>
        <c:axId val="315611096"/>
      </c:barChart>
      <c:catAx>
        <c:axId val="9623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15611096"/>
        <c:crosses val="autoZero"/>
        <c:auto val="1"/>
        <c:lblAlgn val="ctr"/>
        <c:lblOffset val="100"/>
        <c:noMultiLvlLbl val="0"/>
      </c:catAx>
      <c:valAx>
        <c:axId val="315611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623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2C1E0A855421449C0CE0CFE8FBF984" ma:contentTypeVersion="2" ma:contentTypeDescription="Create a new document." ma:contentTypeScope="" ma:versionID="5b17c3b7cecd7324a14d05aaad05edf2">
  <xsd:schema xmlns:xsd="http://www.w3.org/2001/XMLSchema" xmlns:xs="http://www.w3.org/2001/XMLSchema" xmlns:p="http://schemas.microsoft.com/office/2006/metadata/properties" xmlns:ns1="http://schemas.microsoft.com/sharepoint/v3" targetNamespace="http://schemas.microsoft.com/office/2006/metadata/properties" ma:root="true" ma:fieldsID="fc433f8d84b32dbd926f1ff0d8c915c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b:Source>
    <b:Tag>Toy10</b:Tag>
    <b:SourceType>JournalArticle</b:SourceType>
    <b:Guid>{0DD4EB66-F9F7-4FBA-9E47-ECF929ADAAB1}</b:Guid>
    <b:Author>
      <b:Author>
        <b:NameList>
          <b:Person>
            <b:Last>Toy</b:Last>
            <b:First>S</b:First>
            <b:Middle>J</b:Middle>
          </b:Person>
          <b:Person>
            <b:Last>Newfield</b:Last>
            <b:First>M</b:First>
            <b:Middle>J</b:Middle>
          </b:Person>
        </b:NameList>
      </b:Author>
    </b:Author>
    <b:Title>The accidental introduction of invasive animals as hitchhikers through inanimate pathways: A New Zealand perspective</b:Title>
    <b:JournalName>OIE Review</b:JournalName>
    <b:Year>2010</b:Year>
    <b:Pages>123-133</b:Pages>
    <b:Volume>29</b:Volume>
    <b:Issue>1</b:Issue>
    <b:RefOrder>2</b:RefOrder>
  </b:Source>
  <b:Source>
    <b:Tag>Day16</b:Tag>
    <b:SourceType>Report</b:SourceType>
    <b:Guid>{D3E0EC5E-2101-4AD9-99B3-51FFA57331BF}</b:Guid>
    <b:Author>
      <b:Author>
        <b:NameList>
          <b:Person>
            <b:Last>Day</b:Last>
            <b:First>C</b:First>
          </b:Person>
          <b:Person>
            <b:Last>White</b:Last>
            <b:First>B</b:First>
          </b:Person>
        </b:NameList>
      </b:Author>
    </b:Author>
    <b:Title>Khapra beetle, Trogoderma granarium interceptions and eradications in Australia and around the world</b:Title>
    <b:Year>2016</b:Year>
    <b:City>Crawley, Australia</b:City>
    <b:Publisher>School of Agriculture and Resource Economics, University of Western Australia</b:Publisher>
    <b:RefOrder>3</b:RefOrder>
  </b:Source>
  <b:Source>
    <b:Tag>Dep17</b:Tag>
    <b:SourceType>DocumentFromInternetSite</b:SourceType>
    <b:Guid>{B1AD871D-164E-4094-9A73-9D489FA8088E}</b:Guid>
    <b:Title>Biosecurity Matters</b:Title>
    <b:Year>2017</b:Year>
    <b:Author>
      <b:Author>
        <b:Corporate>Department of Agriculture and Water Resources</b:Corporate>
      </b:Author>
    </b:Author>
    <b:Month>March</b:Month>
    <b:YearAccessed>2018</b:YearAccessed>
    <b:MonthAccessed>January</b:MonthAccessed>
    <b:DayAccessed>18</b:DayAccessed>
    <b:URL>http://www.agriculture.gov.au/biosecurity/australia/reports-pubs/biosecurity-matters/2017-03</b:URL>
    <b:RefOrder>4</b:RefOrder>
  </b:Source>
  <b:Source>
    <b:Tag>BIT14</b:Tag>
    <b:SourceType>Report</b:SourceType>
    <b:Guid>{C8EBF09F-49AD-4289-BE0A-65391F1FBE8C}</b:Guid>
    <b:Author>
      <b:Author>
        <b:Corporate>BITRE</b:Corporate>
      </b:Author>
    </b:Author>
    <b:Title>Containerised and non-containerised trade through Australian ports to 2032-33</b:Title>
    <b:Year>2014</b:Year>
    <b:City>Canberra, ACT</b:City>
    <b:RefOrder>5</b:RefOrder>
  </b:Source>
  <b:Source>
    <b:Tag>Sol02</b:Tag>
    <b:SourceType>JournalArticle</b:SourceType>
    <b:Guid>{E28CADC5-6A4F-4729-861C-C8483A05DD59}</b:Guid>
    <b:Title>Anaphylaxis due to Red Imported Fire Ant sting</b:Title>
    <b:Year>2002</b:Year>
    <b:Author>
      <b:Author>
        <b:NameList>
          <b:Person>
            <b:Last>Solley</b:Last>
            <b:First>G</b:First>
            <b:Middle>O</b:Middle>
          </b:Person>
          <b:Person>
            <b:Last>Vanderwoude</b:Last>
            <b:First>C</b:First>
          </b:Person>
          <b:Person>
            <b:Last>Knight</b:Last>
            <b:First>G</b:First>
            <b:Middle>K</b:Middle>
          </b:Person>
        </b:NameList>
      </b:Author>
    </b:Author>
    <b:JournalName>The Medical Journal of Australia</b:JournalName>
    <b:Pages>521-523</b:Pages>
    <b:Volume>176</b:Volume>
    <b:RefOrder>6</b:RefOrder>
  </b:Source>
  <b:Source>
    <b:Tag>Wyl161</b:Tag>
    <b:SourceType>JournalArticle</b:SourceType>
    <b:Guid>{9DCD2B0A-C450-42DA-BC3A-38EF3981751C}</b:Guid>
    <b:Author>
      <b:Author>
        <b:NameList>
          <b:Person>
            <b:Last>Wylie</b:Last>
            <b:First>F</b:First>
            <b:Middle>R</b:Middle>
          </b:Person>
          <b:Person>
            <b:Last>Janssen-May</b:Last>
            <b:First>S</b:First>
          </b:Person>
        </b:NameList>
      </b:Author>
    </b:Author>
    <b:Title>Red Imported Fire Ant in Australia: What if we lose the war?</b:Title>
    <b:JournalName>Ecological Management and Restoration</b:JournalName>
    <b:Year>2016</b:Year>
    <b:Pages>1-13</b:Pages>
    <b:Volume>18</b:Volume>
    <b:Issue>1</b:Issue>
    <b:RefOrder>7</b:RefOrder>
  </b:Source>
  <b:Source>
    <b:Tag>NZM13</b:Tag>
    <b:SourceType>DocumentFromInternetSite</b:SourceType>
    <b:Guid>{E5EE28F8-7AF0-48DE-BF70-E259F98484D1}</b:Guid>
    <b:Author>
      <b:Author>
        <b:Corporate>NZ MPI</b:Corporate>
      </b:Author>
    </b:Author>
    <b:Title>Giant African Snail</b:Title>
    <b:Year>2013</b:Year>
    <b:Month>March</b:Month>
    <b:YearAccessed>2018</b:YearAccessed>
    <b:MonthAccessed>January</b:MonthAccessed>
    <b:DayAccessed>17</b:DayAccessed>
    <b:URL>https://mpi.govt.nz/document-vault/3588</b:URL>
    <b:RefOrder>8</b:RefOrder>
  </b:Source>
  <b:Source>
    <b:Tag>Tur67</b:Tag>
    <b:SourceType>JournalArticle</b:SourceType>
    <b:Guid>{35FC7E95-5A1F-4A85-9AA9-400974495301}</b:Guid>
    <b:Author>
      <b:Author>
        <b:NameList>
          <b:Person>
            <b:Last>Turner</b:Last>
            <b:First>G</b:First>
            <b:Middle>I</b:Middle>
          </b:Person>
        </b:NameList>
      </b:Author>
    </b:Author>
    <b:Title>Snail transmission of species of Phytophthora with special reference to root rot of Piper nigrum</b:Title>
    <b:Year>1967</b:Year>
    <b:JournalName>Mycological Research</b:JournalName>
    <b:Pages>251-258</b:Pages>
    <b:Volume>50</b:Volume>
    <b:RefOrder>9</b:RefOrder>
  </b:Source>
  <b:Source>
    <b:Tag>CAB13</b:Tag>
    <b:SourceType>DocumentFromInternetSite</b:SourceType>
    <b:Guid>{265C3075-4C76-4641-9D7C-B039B53926EF}</b:Guid>
    <b:Title>CABI Invasive Species Compendium</b:Title>
    <b:Year>2013</b:Year>
    <b:Month>October</b:Month>
    <b:Day>16</b:Day>
    <b:YearAccessed>2018</b:YearAccessed>
    <b:MonthAccessed>January</b:MonthAccessed>
    <b:DayAccessed>17</b:DayAccessed>
    <b:URL>https://www.cabi.org/isc/datasheet/2640</b:URL>
    <b:Author>
      <b:Author>
        <b:Corporate>CABI</b:Corporate>
      </b:Author>
    </b:Author>
    <b:RefOrder>10</b:RefOrder>
  </b:Source>
  <b:Source>
    <b:Tag>Thi07</b:Tag>
    <b:SourceType>JournalArticle</b:SourceType>
    <b:Guid>{83367E72-BE0D-4EB5-A47A-C03CF97D48C3}</b:Guid>
    <b:Author>
      <b:Author>
        <b:NameList>
          <b:Person>
            <b:Last>Thiengo</b:Last>
            <b:First>S</b:First>
            <b:Middle>C</b:Middle>
          </b:Person>
          <b:Person>
            <b:Last>Faraco</b:Last>
            <b:First>F</b:First>
            <b:Middle>A</b:Middle>
          </b:Person>
          <b:Person>
            <b:Last>Salgado</b:Last>
            <b:First>N</b:First>
            <b:Middle>C</b:Middle>
          </b:Person>
          <b:Person>
            <b:Last>Cowie</b:Last>
            <b:First>R</b:First>
            <b:Middle>H</b:Middle>
          </b:Person>
          <b:Person>
            <b:Last>Fernandez</b:Last>
            <b:First>M</b:First>
            <b:Middle>A</b:Middle>
          </b:Person>
        </b:NameList>
      </b:Author>
    </b:Author>
    <b:Title>Rapid spread of an invasive snail in South America: the giant African snail, Achatina fulica in Brazil</b:Title>
    <b:JournalName>Biological Invasions</b:JournalName>
    <b:Year>2007</b:Year>
    <b:Pages>693-702</b:Pages>
    <b:Volume>9</b:Volume>
    <b:RefOrder>11</b:RefOrder>
  </b:Source>
  <b:Source>
    <b:Tag>CAB18</b:Tag>
    <b:SourceType>DocumentFromInternetSite</b:SourceType>
    <b:Guid>{87C318BC-410E-4A8F-825E-D81D504FA418}</b:Guid>
    <b:Author>
      <b:Author>
        <b:Corporate>CABI</b:Corporate>
      </b:Author>
    </b:Author>
    <b:Title>CABI Invasive Species Compendium</b:Title>
    <b:Year>2018</b:Year>
    <b:Month>January</b:Month>
    <b:Day>11</b:Day>
    <b:YearAccessed>2018</b:YearAccessed>
    <b:MonthAccessed>January</b:MonthAccessed>
    <b:DayAccessed>17</b:DayAccessed>
    <b:URL>https://www.cabi.org/isc/datasheet/27377</b:URL>
    <b:RefOrder>12</b:RefOrder>
  </b:Source>
  <b:Source>
    <b:Tag>Jac15</b:Tag>
    <b:SourceType>DocumentFromInternetSite</b:SourceType>
    <b:Guid>{8C1DF6E9-018F-4B4B-854F-B38C7C6DF381}</b:Guid>
    <b:Title>Brown Marmorated Stink Bug: Halyomorpha halys</b:Title>
    <b:Year>2015</b:Year>
    <b:YearAccessed>2017</b:YearAccessed>
    <b:URL>http://ento.psu.edu/extension/factsheets/brown-marmorated-stink-bug</b:URL>
    <b:Author>
      <b:Author>
        <b:NameList>
          <b:Person>
            <b:Last>Jacobs</b:Last>
            <b:First>S</b:First>
          </b:Person>
        </b:NameList>
      </b:Author>
    </b:Author>
    <b:Publisher>PennState</b:Publisher>
    <b:RefOrder>13</b:RefOrder>
  </b:Source>
  <b:Source>
    <b:Tag>Hol07</b:Tag>
    <b:SourceType>JournalArticle</b:SourceType>
    <b:Guid>{B0882282-2994-4770-AD6A-7B98D726B80F}</b:Guid>
    <b:Title>Distribution of Parmarion cf. martensi (Pulmonata: Helicarionidae), a new semi-slug pest on Hawai'i Island, and its potential as a vector for human angiostrongyliasis</b:Title>
    <b:JournalName>Pacific Science</b:JournalName>
    <b:Year>2007</b:Year>
    <b:Pages>457-467</b:Pages>
    <b:Volume>61</b:Volume>
    <b:Issue>4</b:Issue>
    <b:Author>
      <b:Author>
        <b:NameList>
          <b:Person>
            <b:Last>Hollingsworth</b:Last>
            <b:First>R</b:First>
            <b:Middle>G</b:Middle>
          </b:Person>
          <b:Person>
            <b:Last>Kaneta</b:Last>
            <b:First>R</b:First>
          </b:Person>
          <b:Person>
            <b:Last>Sullivan</b:Last>
            <b:First>J</b:First>
            <b:Middle>J</b:Middle>
          </b:Person>
          <b:Person>
            <b:Last>Bishop</b:Last>
            <b:First>H</b:First>
            <b:Middle>S</b:Middle>
          </b:Person>
          <b:Person>
            <b:Last>Qvarnstrom</b:Last>
            <b:First>Y</b:First>
          </b:Person>
          <b:Person>
            <b:Last>da Silva</b:Last>
            <b:First>A</b:First>
            <b:Middle>J</b:Middle>
          </b:Person>
          <b:Person>
            <b:Last>Robinson</b:Last>
            <b:First>D</b:First>
            <b:Middle>G</b:Middle>
          </b:Person>
        </b:NameList>
      </b:Author>
    </b:Author>
    <b:RefOrder>14</b:RefOrder>
  </b:Source>
  <b:Source>
    <b:Tag>Ree09</b:Tag>
    <b:SourceType>Report</b:SourceType>
    <b:Guid>{7B0D1924-A2E2-4912-B5B4-2DC3B9C4B27B}</b:Guid>
    <b:Author>
      <b:Author>
        <b:NameList>
          <b:Person>
            <b:Last>Reed</b:Last>
            <b:First>R</b:First>
            <b:Middle>N</b:Middle>
          </b:Person>
          <b:Person>
            <b:Last>Rodda</b:Last>
            <b:First>G</b:First>
            <b:Middle>H</b:Middle>
          </b:Person>
        </b:NameList>
      </b:Author>
    </b:Author>
    <b:Title>Giant constrictors: biological and management profiles and an establishment risk assessment for nine large species of pythons, anacondas and the boa constrictor</b:Title>
    <b:Year>2009</b:Year>
    <b:Publisher>US Geological Survey</b:Publisher>
    <b:RefOrder>15</b:RefOrder>
  </b:Source>
  <b:Source>
    <b:Tag>Chr16</b:Tag>
    <b:SourceType>Report</b:SourceType>
    <b:Guid>{96D7ABAD-E092-48D7-8B30-2B7555A1C9F4}</b:Guid>
    <b:Title>National Incursion Response Plan for Terrestrial Snakes</b:Title>
    <b:Year>2016</b:Year>
    <b:Author>
      <b:Author>
        <b:NameList>
          <b:Person>
            <b:Last>Christy</b:Last>
            <b:First>M</b:First>
            <b:Middle>T</b:Middle>
          </b:Person>
        </b:NameList>
      </b:Author>
    </b:Author>
    <b:Publisher>Invasive Animals Cooperative Research Centre</b:Publisher>
    <b:City>Canberra, Australia</b:City>
    <b:RefOrder>16</b:RefOrder>
  </b:Source>
  <b:Source>
    <b:Tag>Nat96</b:Tag>
    <b:SourceType>Book</b:SourceType>
    <b:Guid>{F7A16795-089D-4D86-86E5-6365416C1066}</b:Guid>
    <b:Title>Stemming the Tide: Controlling Introductions of Nonindigenous Species by Ships' Ballast Water</b:Title>
    <b:Year>1996</b:Year>
    <b:Author>
      <b:Author>
        <b:Corporate>National Research Council</b:Corporate>
      </b:Author>
    </b:Author>
    <b:City>Washington, DC</b:City>
    <b:Publisher>The National Academies Press</b:Publisher>
    <b:RefOrder>17</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5D8D6A5-59A1-4CD5-8313-E84759C37ADC}"/>
</file>

<file path=customXml/itemProps2.xml><?xml version="1.0" encoding="utf-8"?>
<ds:datastoreItem xmlns:ds="http://schemas.openxmlformats.org/officeDocument/2006/customXml" ds:itemID="{A474EDF6-CA92-4080-A828-661DEB7298A1}"/>
</file>

<file path=customXml/itemProps3.xml><?xml version="1.0" encoding="utf-8"?>
<ds:datastoreItem xmlns:ds="http://schemas.openxmlformats.org/officeDocument/2006/customXml" ds:itemID="{DD53BBDC-6A76-460F-AE64-F3E24EE8B34A}"/>
</file>

<file path=customXml/itemProps4.xml><?xml version="1.0" encoding="utf-8"?>
<ds:datastoreItem xmlns:ds="http://schemas.openxmlformats.org/officeDocument/2006/customXml" ds:itemID="{D2818D4C-6868-45B8-A201-2EEE5104F645}"/>
</file>

<file path=docProps/app.xml><?xml version="1.0" encoding="utf-8"?>
<Properties xmlns="http://schemas.openxmlformats.org/officeDocument/2006/extended-properties" xmlns:vt="http://schemas.openxmlformats.org/officeDocument/2006/docPropsVTypes">
  <Template>Normal.dotm</Template>
  <TotalTime>6</TotalTime>
  <Pages>75</Pages>
  <Words>26766</Words>
  <Characters>152572</Characters>
  <Application>Microsoft Office Word</Application>
  <DocSecurity>0</DocSecurity>
  <Lines>1271</Lines>
  <Paragraphs>357</Paragraphs>
  <ScaleCrop>false</ScaleCrop>
  <HeadingPairs>
    <vt:vector size="2" baseType="variant">
      <vt:variant>
        <vt:lpstr>Title</vt:lpstr>
      </vt:variant>
      <vt:variant>
        <vt:i4>1</vt:i4>
      </vt:variant>
    </vt:vector>
  </HeadingPairs>
  <TitlesOfParts>
    <vt:vector size="1" baseType="lpstr">
      <vt:lpstr>Uncooked prawn imports: effectiveness of biosecurity controls</vt:lpstr>
    </vt:vector>
  </TitlesOfParts>
  <Company>Department of Agriculture Fisheries &amp; Forestry</Company>
  <LinksUpToDate>false</LinksUpToDate>
  <CharactersWithSpaces>178981</CharactersWithSpaces>
  <SharedDoc>false</SharedDoc>
  <HLinks>
    <vt:vector size="408" baseType="variant">
      <vt:variant>
        <vt:i4>5177431</vt:i4>
      </vt:variant>
      <vt:variant>
        <vt:i4>468</vt:i4>
      </vt:variant>
      <vt:variant>
        <vt:i4>0</vt:i4>
      </vt:variant>
      <vt:variant>
        <vt:i4>5</vt:i4>
      </vt:variant>
      <vt:variant>
        <vt:lpwstr>http://www.planthealthaustralia.com.au/national-programs/national-plant-biosecurity-strategy/</vt:lpwstr>
      </vt:variant>
      <vt:variant>
        <vt:lpwstr/>
      </vt:variant>
      <vt:variant>
        <vt:i4>5373969</vt:i4>
      </vt:variant>
      <vt:variant>
        <vt:i4>465</vt:i4>
      </vt:variant>
      <vt:variant>
        <vt:i4>0</vt:i4>
      </vt:variant>
      <vt:variant>
        <vt:i4>5</vt:i4>
      </vt:variant>
      <vt:variant>
        <vt:lpwstr>http://www.wageningenur.nl/en/Publication-details.htm?publicationId=publication-way-333431343037</vt:lpwstr>
      </vt:variant>
      <vt:variant>
        <vt:lpwstr/>
      </vt:variant>
      <vt:variant>
        <vt:i4>4718592</vt:i4>
      </vt:variant>
      <vt:variant>
        <vt:i4>462</vt:i4>
      </vt:variant>
      <vt:variant>
        <vt:i4>0</vt:i4>
      </vt:variant>
      <vt:variant>
        <vt:i4>5</vt:i4>
      </vt:variant>
      <vt:variant>
        <vt:lpwstr>https://www.ippc.int/static/media/files/publications/1292408061_1291027896_MC2010_12_Specificati.doc</vt:lpwstr>
      </vt:variant>
      <vt:variant>
        <vt:lpwstr/>
      </vt:variant>
      <vt:variant>
        <vt:i4>983042</vt:i4>
      </vt:variant>
      <vt:variant>
        <vt:i4>459</vt:i4>
      </vt:variant>
      <vt:variant>
        <vt:i4>0</vt:i4>
      </vt:variant>
      <vt:variant>
        <vt:i4>5</vt:i4>
      </vt:variant>
      <vt:variant>
        <vt:lpwstr>http://www.igb.gov.au/Pages/completed-audits-and-reviews.aspx</vt:lpwstr>
      </vt:variant>
      <vt:variant>
        <vt:lpwstr/>
      </vt:variant>
      <vt:variant>
        <vt:i4>983042</vt:i4>
      </vt:variant>
      <vt:variant>
        <vt:i4>456</vt:i4>
      </vt:variant>
      <vt:variant>
        <vt:i4>0</vt:i4>
      </vt:variant>
      <vt:variant>
        <vt:i4>5</vt:i4>
      </vt:variant>
      <vt:variant>
        <vt:lpwstr>http://www.igb.gov.au/Pages/completed-audits-and-reviews.aspx</vt:lpwstr>
      </vt:variant>
      <vt:variant>
        <vt:lpwstr/>
      </vt:variant>
      <vt:variant>
        <vt:i4>983042</vt:i4>
      </vt:variant>
      <vt:variant>
        <vt:i4>453</vt:i4>
      </vt:variant>
      <vt:variant>
        <vt:i4>0</vt:i4>
      </vt:variant>
      <vt:variant>
        <vt:i4>5</vt:i4>
      </vt:variant>
      <vt:variant>
        <vt:lpwstr>http://www.igb.gov.au/Pages/completed-audits-and-reviews.aspx</vt:lpwstr>
      </vt:variant>
      <vt:variant>
        <vt:lpwstr/>
      </vt:variant>
      <vt:variant>
        <vt:i4>983042</vt:i4>
      </vt:variant>
      <vt:variant>
        <vt:i4>450</vt:i4>
      </vt:variant>
      <vt:variant>
        <vt:i4>0</vt:i4>
      </vt:variant>
      <vt:variant>
        <vt:i4>5</vt:i4>
      </vt:variant>
      <vt:variant>
        <vt:lpwstr>http://www.igb.gov.au/Pages/completed-audits-and-reviews.aspx</vt:lpwstr>
      </vt:variant>
      <vt:variant>
        <vt:lpwstr/>
      </vt:variant>
      <vt:variant>
        <vt:i4>983042</vt:i4>
      </vt:variant>
      <vt:variant>
        <vt:i4>447</vt:i4>
      </vt:variant>
      <vt:variant>
        <vt:i4>0</vt:i4>
      </vt:variant>
      <vt:variant>
        <vt:i4>5</vt:i4>
      </vt:variant>
      <vt:variant>
        <vt:lpwstr>http://www.igb.gov.au/Pages/completed-audits-and-reviews.aspx</vt:lpwstr>
      </vt:variant>
      <vt:variant>
        <vt:lpwstr/>
      </vt:variant>
      <vt:variant>
        <vt:i4>3211324</vt:i4>
      </vt:variant>
      <vt:variant>
        <vt:i4>444</vt:i4>
      </vt:variant>
      <vt:variant>
        <vt:i4>0</vt:i4>
      </vt:variant>
      <vt:variant>
        <vt:i4>5</vt:i4>
      </vt:variant>
      <vt:variant>
        <vt:lpwstr>https://www.ippc.int/en/core-activities/standards-setting/ispms/</vt:lpwstr>
      </vt:variant>
      <vt:variant>
        <vt:lpwstr>592</vt:lpwstr>
      </vt:variant>
      <vt:variant>
        <vt:i4>3211324</vt:i4>
      </vt:variant>
      <vt:variant>
        <vt:i4>441</vt:i4>
      </vt:variant>
      <vt:variant>
        <vt:i4>0</vt:i4>
      </vt:variant>
      <vt:variant>
        <vt:i4>5</vt:i4>
      </vt:variant>
      <vt:variant>
        <vt:lpwstr>https://www.ippc.int/en/core-activities/standards-setting/ispms/</vt:lpwstr>
      </vt:variant>
      <vt:variant>
        <vt:lpwstr>592</vt:lpwstr>
      </vt:variant>
      <vt:variant>
        <vt:i4>2621564</vt:i4>
      </vt:variant>
      <vt:variant>
        <vt:i4>438</vt:i4>
      </vt:variant>
      <vt:variant>
        <vt:i4>0</vt:i4>
      </vt:variant>
      <vt:variant>
        <vt:i4>5</vt:i4>
      </vt:variant>
      <vt:variant>
        <vt:lpwstr>http://www.fao.org/3/contents/91c3b3ad-5abd-5b86-963d-bc893d2d82d3/i2731e00.htm</vt:lpwstr>
      </vt:variant>
      <vt:variant>
        <vt:lpwstr/>
      </vt:variant>
      <vt:variant>
        <vt:i4>3211324</vt:i4>
      </vt:variant>
      <vt:variant>
        <vt:i4>435</vt:i4>
      </vt:variant>
      <vt:variant>
        <vt:i4>0</vt:i4>
      </vt:variant>
      <vt:variant>
        <vt:i4>5</vt:i4>
      </vt:variant>
      <vt:variant>
        <vt:lpwstr>https://www.ippc.int/en/core-activities/standards-setting/ispms/</vt:lpwstr>
      </vt:variant>
      <vt:variant>
        <vt:lpwstr>592</vt:lpwstr>
      </vt:variant>
      <vt:variant>
        <vt:i4>3211324</vt:i4>
      </vt:variant>
      <vt:variant>
        <vt:i4>432</vt:i4>
      </vt:variant>
      <vt:variant>
        <vt:i4>0</vt:i4>
      </vt:variant>
      <vt:variant>
        <vt:i4>5</vt:i4>
      </vt:variant>
      <vt:variant>
        <vt:lpwstr>https://www.ippc.int/en/core-activities/standards-setting/ispms/</vt:lpwstr>
      </vt:variant>
      <vt:variant>
        <vt:lpwstr>592</vt:lpwstr>
      </vt:variant>
      <vt:variant>
        <vt:i4>3211324</vt:i4>
      </vt:variant>
      <vt:variant>
        <vt:i4>429</vt:i4>
      </vt:variant>
      <vt:variant>
        <vt:i4>0</vt:i4>
      </vt:variant>
      <vt:variant>
        <vt:i4>5</vt:i4>
      </vt:variant>
      <vt:variant>
        <vt:lpwstr>https://www.ippc.int/en/core-activities/standards-setting/ispms/</vt:lpwstr>
      </vt:variant>
      <vt:variant>
        <vt:lpwstr>592</vt:lpwstr>
      </vt:variant>
      <vt:variant>
        <vt:i4>3276853</vt:i4>
      </vt:variant>
      <vt:variant>
        <vt:i4>426</vt:i4>
      </vt:variant>
      <vt:variant>
        <vt:i4>0</vt:i4>
      </vt:variant>
      <vt:variant>
        <vt:i4>5</vt:i4>
      </vt:variant>
      <vt:variant>
        <vt:lpwstr>http://www.agriculture.gov.au/import/arrival/clearance-inspection/documentary-requirements/minimum-document-requirements-policy</vt:lpwstr>
      </vt:variant>
      <vt:variant>
        <vt:lpwstr/>
      </vt:variant>
      <vt:variant>
        <vt:i4>6684715</vt:i4>
      </vt:variant>
      <vt:variant>
        <vt:i4>423</vt:i4>
      </vt:variant>
      <vt:variant>
        <vt:i4>0</vt:i4>
      </vt:variant>
      <vt:variant>
        <vt:i4>5</vt:i4>
      </vt:variant>
      <vt:variant>
        <vt:lpwstr>http://www.agriculture.gov.au/biosecurity/risk-analysis/memos/ba2015-23</vt:lpwstr>
      </vt:variant>
      <vt:variant>
        <vt:lpwstr/>
      </vt:variant>
      <vt:variant>
        <vt:i4>8126588</vt:i4>
      </vt:variant>
      <vt:variant>
        <vt:i4>420</vt:i4>
      </vt:variant>
      <vt:variant>
        <vt:i4>0</vt:i4>
      </vt:variant>
      <vt:variant>
        <vt:i4>5</vt:i4>
      </vt:variant>
      <vt:variant>
        <vt:lpwstr>http://agwhitepaper.agriculture.gov.au/</vt:lpwstr>
      </vt:variant>
      <vt:variant>
        <vt:lpwstr/>
      </vt:variant>
      <vt:variant>
        <vt:i4>393246</vt:i4>
      </vt:variant>
      <vt:variant>
        <vt:i4>417</vt:i4>
      </vt:variant>
      <vt:variant>
        <vt:i4>0</vt:i4>
      </vt:variant>
      <vt:variant>
        <vt:i4>5</vt:i4>
      </vt:variant>
      <vt:variant>
        <vt:lpwstr>http://www.agriculture.gov.au/biosecurity/risk-analysis/ira/process-handbook</vt:lpwstr>
      </vt:variant>
      <vt:variant>
        <vt:lpwstr/>
      </vt:variant>
      <vt:variant>
        <vt:i4>2949225</vt:i4>
      </vt:variant>
      <vt:variant>
        <vt:i4>414</vt:i4>
      </vt:variant>
      <vt:variant>
        <vt:i4>0</vt:i4>
      </vt:variant>
      <vt:variant>
        <vt:i4>5</vt:i4>
      </vt:variant>
      <vt:variant>
        <vt:lpwstr>http://agriculture.gov.au/about/publications/quarantine-biosecurity-report-and-preliminary-response</vt:lpwstr>
      </vt:variant>
      <vt:variant>
        <vt:lpwstr/>
      </vt:variant>
      <vt:variant>
        <vt:i4>4915211</vt:i4>
      </vt:variant>
      <vt:variant>
        <vt:i4>411</vt:i4>
      </vt:variant>
      <vt:variant>
        <vt:i4>0</vt:i4>
      </vt:variant>
      <vt:variant>
        <vt:i4>5</vt:i4>
      </vt:variant>
      <vt:variant>
        <vt:lpwstr>http://www.ausveg.com.au/biosecurity/</vt:lpwstr>
      </vt:variant>
      <vt:variant>
        <vt:lpwstr/>
      </vt:variant>
      <vt:variant>
        <vt:i4>4390914</vt:i4>
      </vt:variant>
      <vt:variant>
        <vt:i4>408</vt:i4>
      </vt:variant>
      <vt:variant>
        <vt:i4>0</vt:i4>
      </vt:variant>
      <vt:variant>
        <vt:i4>5</vt:i4>
      </vt:variant>
      <vt:variant>
        <vt:lpwstr>http://www.hazera.us.com/under-construction/</vt:lpwstr>
      </vt:variant>
      <vt:variant>
        <vt:lpwstr/>
      </vt:variant>
      <vt:variant>
        <vt:i4>4915211</vt:i4>
      </vt:variant>
      <vt:variant>
        <vt:i4>372</vt:i4>
      </vt:variant>
      <vt:variant>
        <vt:i4>0</vt:i4>
      </vt:variant>
      <vt:variant>
        <vt:i4>5</vt:i4>
      </vt:variant>
      <vt:variant>
        <vt:lpwstr>http://www.ausveg.com.au/biosecurity/</vt:lpwstr>
      </vt:variant>
      <vt:variant>
        <vt:lpwstr/>
      </vt:variant>
      <vt:variant>
        <vt:i4>6357023</vt:i4>
      </vt:variant>
      <vt:variant>
        <vt:i4>369</vt:i4>
      </vt:variant>
      <vt:variant>
        <vt:i4>0</vt:i4>
      </vt:variant>
      <vt:variant>
        <vt:i4>5</vt:i4>
      </vt:variant>
      <vt:variant>
        <vt:lpwstr>http://www.planthealthaustralia.com.au/?page_id=126</vt:lpwstr>
      </vt:variant>
      <vt:variant>
        <vt:lpwstr/>
      </vt:variant>
      <vt:variant>
        <vt:i4>5046272</vt:i4>
      </vt:variant>
      <vt:variant>
        <vt:i4>366</vt:i4>
      </vt:variant>
      <vt:variant>
        <vt:i4>0</vt:i4>
      </vt:variant>
      <vt:variant>
        <vt:i4>5</vt:i4>
      </vt:variant>
      <vt:variant>
        <vt:lpwstr>http://www.planthealthaustralia.com.au/epprd/</vt:lpwstr>
      </vt:variant>
      <vt:variant>
        <vt:lpwstr/>
      </vt:variant>
      <vt:variant>
        <vt:i4>1835092</vt:i4>
      </vt:variant>
      <vt:variant>
        <vt:i4>363</vt:i4>
      </vt:variant>
      <vt:variant>
        <vt:i4>0</vt:i4>
      </vt:variant>
      <vt:variant>
        <vt:i4>5</vt:i4>
      </vt:variant>
      <vt:variant>
        <vt:lpwstr>http://www.aptrc.asn.au/</vt:lpwstr>
      </vt:variant>
      <vt:variant>
        <vt:lpwstr/>
      </vt:variant>
      <vt:variant>
        <vt:i4>3145853</vt:i4>
      </vt:variant>
      <vt:variant>
        <vt:i4>360</vt:i4>
      </vt:variant>
      <vt:variant>
        <vt:i4>0</vt:i4>
      </vt:variant>
      <vt:variant>
        <vt:i4>5</vt:i4>
      </vt:variant>
      <vt:variant>
        <vt:lpwstr>http://www.agriculture.gov.au/pests-diseases-weeds/plant/pests-disease-list</vt:lpwstr>
      </vt:variant>
      <vt:variant>
        <vt:lpwstr/>
      </vt:variant>
      <vt:variant>
        <vt:i4>589914</vt:i4>
      </vt:variant>
      <vt:variant>
        <vt:i4>357</vt:i4>
      </vt:variant>
      <vt:variant>
        <vt:i4>0</vt:i4>
      </vt:variant>
      <vt:variant>
        <vt:i4>5</vt:i4>
      </vt:variant>
      <vt:variant>
        <vt:lpwstr>http://biconnet.daff.gov.au/BICONWeb/ImportConditions/Questions/EvaluateCase?elementID=0000140371&amp;elementVersionID=30</vt:lpwstr>
      </vt:variant>
      <vt:variant>
        <vt:lpwstr/>
      </vt:variant>
      <vt:variant>
        <vt:i4>65623</vt:i4>
      </vt:variant>
      <vt:variant>
        <vt:i4>354</vt:i4>
      </vt:variant>
      <vt:variant>
        <vt:i4>0</vt:i4>
      </vt:variant>
      <vt:variant>
        <vt:i4>5</vt:i4>
      </vt:variant>
      <vt:variant>
        <vt:lpwstr>http://biconnet.daff.gov.au/BICONWeb/ImportConditions/Questions/EvaluateCase?elementID=0000098371&amp;elementVersionID=25</vt:lpwstr>
      </vt:variant>
      <vt:variant>
        <vt:lpwstr/>
      </vt:variant>
      <vt:variant>
        <vt:i4>2031695</vt:i4>
      </vt:variant>
      <vt:variant>
        <vt:i4>327</vt:i4>
      </vt:variant>
      <vt:variant>
        <vt:i4>0</vt:i4>
      </vt:variant>
      <vt:variant>
        <vt:i4>5</vt:i4>
      </vt:variant>
      <vt:variant>
        <vt:lpwstr>http://www.naktuinbouw.nl/sites/naktuinbouw.eu/files/Dutch Validation Guideline v1.0.pdf</vt:lpwstr>
      </vt:variant>
      <vt:variant>
        <vt:lpwstr/>
      </vt:variant>
      <vt:variant>
        <vt:i4>4063248</vt:i4>
      </vt:variant>
      <vt:variant>
        <vt:i4>324</vt:i4>
      </vt:variant>
      <vt:variant>
        <vt:i4>0</vt:i4>
      </vt:variant>
      <vt:variant>
        <vt:i4>5</vt:i4>
      </vt:variant>
      <vt:variant>
        <vt:lpwstr>https://www.seedtest.org/en/international-rules-_content---1--1083.html</vt:lpwstr>
      </vt:variant>
      <vt:variant>
        <vt:lpwstr/>
      </vt:variant>
      <vt:variant>
        <vt:i4>1245259</vt:i4>
      </vt:variant>
      <vt:variant>
        <vt:i4>321</vt:i4>
      </vt:variant>
      <vt:variant>
        <vt:i4>0</vt:i4>
      </vt:variant>
      <vt:variant>
        <vt:i4>5</vt:i4>
      </vt:variant>
      <vt:variant>
        <vt:lpwstr>http://www.naktuinbouw.eu/en/news/nal-and-asln-reliable-authorization-systems</vt:lpwstr>
      </vt:variant>
      <vt:variant>
        <vt:lpwstr>sthash.4un7Ik55.dpuf</vt:lpwstr>
      </vt:variant>
      <vt:variant>
        <vt:i4>851990</vt:i4>
      </vt:variant>
      <vt:variant>
        <vt:i4>315</vt:i4>
      </vt:variant>
      <vt:variant>
        <vt:i4>0</vt:i4>
      </vt:variant>
      <vt:variant>
        <vt:i4>5</vt:i4>
      </vt:variant>
      <vt:variant>
        <vt:lpwstr>http://www.naktuinbouw.nl/sites/naktuinbouw.eu/files/NAL Conditions 2016_def_dec 2015.pdf</vt:lpwstr>
      </vt:variant>
      <vt:variant>
        <vt:lpwstr/>
      </vt:variant>
      <vt:variant>
        <vt:i4>4390968</vt:i4>
      </vt:variant>
      <vt:variant>
        <vt:i4>312</vt:i4>
      </vt:variant>
      <vt:variant>
        <vt:i4>0</vt:i4>
      </vt:variant>
      <vt:variant>
        <vt:i4>5</vt:i4>
      </vt:variant>
      <vt:variant>
        <vt:lpwstr>http://ec.europa.eu/food/plant/plant_health_biosecurity/legislation/index_en.htm</vt:lpwstr>
      </vt:variant>
      <vt:variant>
        <vt:lpwstr/>
      </vt:variant>
      <vt:variant>
        <vt:i4>1507420</vt:i4>
      </vt:variant>
      <vt:variant>
        <vt:i4>303</vt:i4>
      </vt:variant>
      <vt:variant>
        <vt:i4>0</vt:i4>
      </vt:variant>
      <vt:variant>
        <vt:i4>5</vt:i4>
      </vt:variant>
      <vt:variant>
        <vt:lpwstr>http://eur-lex.europa.eu/legal-content/EN/TXT/?uri=CELEX%3A32008L0061</vt:lpwstr>
      </vt:variant>
      <vt:variant>
        <vt:lpwstr/>
      </vt:variant>
      <vt:variant>
        <vt:i4>4390968</vt:i4>
      </vt:variant>
      <vt:variant>
        <vt:i4>300</vt:i4>
      </vt:variant>
      <vt:variant>
        <vt:i4>0</vt:i4>
      </vt:variant>
      <vt:variant>
        <vt:i4>5</vt:i4>
      </vt:variant>
      <vt:variant>
        <vt:lpwstr>http://ec.europa.eu/food/plant/plant_health_biosecurity/legislation/index_en.htm</vt:lpwstr>
      </vt:variant>
      <vt:variant>
        <vt:lpwstr/>
      </vt:variant>
      <vt:variant>
        <vt:i4>5374047</vt:i4>
      </vt:variant>
      <vt:variant>
        <vt:i4>297</vt:i4>
      </vt:variant>
      <vt:variant>
        <vt:i4>0</vt:i4>
      </vt:variant>
      <vt:variant>
        <vt:i4>5</vt:i4>
      </vt:variant>
      <vt:variant>
        <vt:lpwstr>http://www.efsa.europa.eu/en/topics/topic/planthealth</vt:lpwstr>
      </vt:variant>
      <vt:variant>
        <vt:lpwstr/>
      </vt:variant>
      <vt:variant>
        <vt:i4>3801193</vt:i4>
      </vt:variant>
      <vt:variant>
        <vt:i4>249</vt:i4>
      </vt:variant>
      <vt:variant>
        <vt:i4>0</vt:i4>
      </vt:variant>
      <vt:variant>
        <vt:i4>5</vt:i4>
      </vt:variant>
      <vt:variant>
        <vt:lpwstr>http://www.planthealthaustralia.com.au/biosecurity/emergency-plant-pest-response-deed/</vt:lpwstr>
      </vt:variant>
      <vt:variant>
        <vt:lpwstr/>
      </vt:variant>
      <vt:variant>
        <vt:i4>2293814</vt:i4>
      </vt:variant>
      <vt:variant>
        <vt:i4>246</vt:i4>
      </vt:variant>
      <vt:variant>
        <vt:i4>0</vt:i4>
      </vt:variant>
      <vt:variant>
        <vt:i4>5</vt:i4>
      </vt:variant>
      <vt:variant>
        <vt:lpwstr>http://www.agriculture.gov.au/import/arrival/clearance-inspection/documentary-requirements/minimum-document-requirements-policy?wasRedirectedByModule=true</vt:lpwstr>
      </vt:variant>
      <vt:variant>
        <vt:lpwstr/>
      </vt:variant>
      <vt:variant>
        <vt:i4>1769547</vt:i4>
      </vt:variant>
      <vt:variant>
        <vt:i4>228</vt:i4>
      </vt:variant>
      <vt:variant>
        <vt:i4>0</vt:i4>
      </vt:variant>
      <vt:variant>
        <vt:i4>5</vt:i4>
      </vt:variant>
      <vt:variant>
        <vt:lpwstr>http://www.agriculture.gov.au/import/goods/plant-products/seeds-for-sowing/contaminants-tolerance</vt:lpwstr>
      </vt:variant>
      <vt:variant>
        <vt:lpwstr/>
      </vt:variant>
      <vt:variant>
        <vt:i4>2293814</vt:i4>
      </vt:variant>
      <vt:variant>
        <vt:i4>207</vt:i4>
      </vt:variant>
      <vt:variant>
        <vt:i4>0</vt:i4>
      </vt:variant>
      <vt:variant>
        <vt:i4>5</vt:i4>
      </vt:variant>
      <vt:variant>
        <vt:lpwstr>http://www.agriculture.gov.au/import/arrival/clearance-inspection/documentary-requirements/minimum-document-requirements-policy?wasRedirectedByModule=true</vt:lpwstr>
      </vt:variant>
      <vt:variant>
        <vt:lpwstr/>
      </vt:variant>
      <vt:variant>
        <vt:i4>1310811</vt:i4>
      </vt:variant>
      <vt:variant>
        <vt:i4>195</vt:i4>
      </vt:variant>
      <vt:variant>
        <vt:i4>0</vt:i4>
      </vt:variant>
      <vt:variant>
        <vt:i4>5</vt:i4>
      </vt:variant>
      <vt:variant>
        <vt:lpwstr>http://legacy.crcplantbiosecurity.com.au/sites/all/files/CRC10164_final_report(1).pdf</vt:lpwstr>
      </vt:variant>
      <vt:variant>
        <vt:lpwstr/>
      </vt:variant>
      <vt:variant>
        <vt:i4>4390968</vt:i4>
      </vt:variant>
      <vt:variant>
        <vt:i4>141</vt:i4>
      </vt:variant>
      <vt:variant>
        <vt:i4>0</vt:i4>
      </vt:variant>
      <vt:variant>
        <vt:i4>5</vt:i4>
      </vt:variant>
      <vt:variant>
        <vt:lpwstr>http://ec.europa.eu/food/plant/plant_health_biosecurity/legislation/index_en.htm</vt:lpwstr>
      </vt:variant>
      <vt:variant>
        <vt:lpwstr/>
      </vt:variant>
      <vt:variant>
        <vt:i4>1835067</vt:i4>
      </vt:variant>
      <vt:variant>
        <vt:i4>134</vt:i4>
      </vt:variant>
      <vt:variant>
        <vt:i4>0</vt:i4>
      </vt:variant>
      <vt:variant>
        <vt:i4>5</vt:i4>
      </vt:variant>
      <vt:variant>
        <vt:lpwstr/>
      </vt:variant>
      <vt:variant>
        <vt:lpwstr>_Toc449433585</vt:lpwstr>
      </vt:variant>
      <vt:variant>
        <vt:i4>1835067</vt:i4>
      </vt:variant>
      <vt:variant>
        <vt:i4>128</vt:i4>
      </vt:variant>
      <vt:variant>
        <vt:i4>0</vt:i4>
      </vt:variant>
      <vt:variant>
        <vt:i4>5</vt:i4>
      </vt:variant>
      <vt:variant>
        <vt:lpwstr/>
      </vt:variant>
      <vt:variant>
        <vt:lpwstr>_Toc449433584</vt:lpwstr>
      </vt:variant>
      <vt:variant>
        <vt:i4>1835067</vt:i4>
      </vt:variant>
      <vt:variant>
        <vt:i4>122</vt:i4>
      </vt:variant>
      <vt:variant>
        <vt:i4>0</vt:i4>
      </vt:variant>
      <vt:variant>
        <vt:i4>5</vt:i4>
      </vt:variant>
      <vt:variant>
        <vt:lpwstr/>
      </vt:variant>
      <vt:variant>
        <vt:lpwstr>_Toc449433583</vt:lpwstr>
      </vt:variant>
      <vt:variant>
        <vt:i4>1835067</vt:i4>
      </vt:variant>
      <vt:variant>
        <vt:i4>116</vt:i4>
      </vt:variant>
      <vt:variant>
        <vt:i4>0</vt:i4>
      </vt:variant>
      <vt:variant>
        <vt:i4>5</vt:i4>
      </vt:variant>
      <vt:variant>
        <vt:lpwstr/>
      </vt:variant>
      <vt:variant>
        <vt:lpwstr>_Toc449433582</vt:lpwstr>
      </vt:variant>
      <vt:variant>
        <vt:i4>1835067</vt:i4>
      </vt:variant>
      <vt:variant>
        <vt:i4>110</vt:i4>
      </vt:variant>
      <vt:variant>
        <vt:i4>0</vt:i4>
      </vt:variant>
      <vt:variant>
        <vt:i4>5</vt:i4>
      </vt:variant>
      <vt:variant>
        <vt:lpwstr/>
      </vt:variant>
      <vt:variant>
        <vt:lpwstr>_Toc449433581</vt:lpwstr>
      </vt:variant>
      <vt:variant>
        <vt:i4>1835067</vt:i4>
      </vt:variant>
      <vt:variant>
        <vt:i4>104</vt:i4>
      </vt:variant>
      <vt:variant>
        <vt:i4>0</vt:i4>
      </vt:variant>
      <vt:variant>
        <vt:i4>5</vt:i4>
      </vt:variant>
      <vt:variant>
        <vt:lpwstr/>
      </vt:variant>
      <vt:variant>
        <vt:lpwstr>_Toc449433580</vt:lpwstr>
      </vt:variant>
      <vt:variant>
        <vt:i4>1245243</vt:i4>
      </vt:variant>
      <vt:variant>
        <vt:i4>98</vt:i4>
      </vt:variant>
      <vt:variant>
        <vt:i4>0</vt:i4>
      </vt:variant>
      <vt:variant>
        <vt:i4>5</vt:i4>
      </vt:variant>
      <vt:variant>
        <vt:lpwstr/>
      </vt:variant>
      <vt:variant>
        <vt:lpwstr>_Toc449433579</vt:lpwstr>
      </vt:variant>
      <vt:variant>
        <vt:i4>1245243</vt:i4>
      </vt:variant>
      <vt:variant>
        <vt:i4>92</vt:i4>
      </vt:variant>
      <vt:variant>
        <vt:i4>0</vt:i4>
      </vt:variant>
      <vt:variant>
        <vt:i4>5</vt:i4>
      </vt:variant>
      <vt:variant>
        <vt:lpwstr/>
      </vt:variant>
      <vt:variant>
        <vt:lpwstr>_Toc449433578</vt:lpwstr>
      </vt:variant>
      <vt:variant>
        <vt:i4>1245243</vt:i4>
      </vt:variant>
      <vt:variant>
        <vt:i4>86</vt:i4>
      </vt:variant>
      <vt:variant>
        <vt:i4>0</vt:i4>
      </vt:variant>
      <vt:variant>
        <vt:i4>5</vt:i4>
      </vt:variant>
      <vt:variant>
        <vt:lpwstr/>
      </vt:variant>
      <vt:variant>
        <vt:lpwstr>_Toc449433577</vt:lpwstr>
      </vt:variant>
      <vt:variant>
        <vt:i4>1245243</vt:i4>
      </vt:variant>
      <vt:variant>
        <vt:i4>80</vt:i4>
      </vt:variant>
      <vt:variant>
        <vt:i4>0</vt:i4>
      </vt:variant>
      <vt:variant>
        <vt:i4>5</vt:i4>
      </vt:variant>
      <vt:variant>
        <vt:lpwstr/>
      </vt:variant>
      <vt:variant>
        <vt:lpwstr>_Toc449433576</vt:lpwstr>
      </vt:variant>
      <vt:variant>
        <vt:i4>1245243</vt:i4>
      </vt:variant>
      <vt:variant>
        <vt:i4>74</vt:i4>
      </vt:variant>
      <vt:variant>
        <vt:i4>0</vt:i4>
      </vt:variant>
      <vt:variant>
        <vt:i4>5</vt:i4>
      </vt:variant>
      <vt:variant>
        <vt:lpwstr/>
      </vt:variant>
      <vt:variant>
        <vt:lpwstr>_Toc449433575</vt:lpwstr>
      </vt:variant>
      <vt:variant>
        <vt:i4>1245243</vt:i4>
      </vt:variant>
      <vt:variant>
        <vt:i4>68</vt:i4>
      </vt:variant>
      <vt:variant>
        <vt:i4>0</vt:i4>
      </vt:variant>
      <vt:variant>
        <vt:i4>5</vt:i4>
      </vt:variant>
      <vt:variant>
        <vt:lpwstr/>
      </vt:variant>
      <vt:variant>
        <vt:lpwstr>_Toc449433574</vt:lpwstr>
      </vt:variant>
      <vt:variant>
        <vt:i4>1245243</vt:i4>
      </vt:variant>
      <vt:variant>
        <vt:i4>62</vt:i4>
      </vt:variant>
      <vt:variant>
        <vt:i4>0</vt:i4>
      </vt:variant>
      <vt:variant>
        <vt:i4>5</vt:i4>
      </vt:variant>
      <vt:variant>
        <vt:lpwstr/>
      </vt:variant>
      <vt:variant>
        <vt:lpwstr>_Toc449433573</vt:lpwstr>
      </vt:variant>
      <vt:variant>
        <vt:i4>1245243</vt:i4>
      </vt:variant>
      <vt:variant>
        <vt:i4>56</vt:i4>
      </vt:variant>
      <vt:variant>
        <vt:i4>0</vt:i4>
      </vt:variant>
      <vt:variant>
        <vt:i4>5</vt:i4>
      </vt:variant>
      <vt:variant>
        <vt:lpwstr/>
      </vt:variant>
      <vt:variant>
        <vt:lpwstr>_Toc449433572</vt:lpwstr>
      </vt:variant>
      <vt:variant>
        <vt:i4>1245243</vt:i4>
      </vt:variant>
      <vt:variant>
        <vt:i4>50</vt:i4>
      </vt:variant>
      <vt:variant>
        <vt:i4>0</vt:i4>
      </vt:variant>
      <vt:variant>
        <vt:i4>5</vt:i4>
      </vt:variant>
      <vt:variant>
        <vt:lpwstr/>
      </vt:variant>
      <vt:variant>
        <vt:lpwstr>_Toc449433571</vt:lpwstr>
      </vt:variant>
      <vt:variant>
        <vt:i4>1245243</vt:i4>
      </vt:variant>
      <vt:variant>
        <vt:i4>44</vt:i4>
      </vt:variant>
      <vt:variant>
        <vt:i4>0</vt:i4>
      </vt:variant>
      <vt:variant>
        <vt:i4>5</vt:i4>
      </vt:variant>
      <vt:variant>
        <vt:lpwstr/>
      </vt:variant>
      <vt:variant>
        <vt:lpwstr>_Toc449433570</vt:lpwstr>
      </vt:variant>
      <vt:variant>
        <vt:i4>1179707</vt:i4>
      </vt:variant>
      <vt:variant>
        <vt:i4>38</vt:i4>
      </vt:variant>
      <vt:variant>
        <vt:i4>0</vt:i4>
      </vt:variant>
      <vt:variant>
        <vt:i4>5</vt:i4>
      </vt:variant>
      <vt:variant>
        <vt:lpwstr/>
      </vt:variant>
      <vt:variant>
        <vt:lpwstr>_Toc449433569</vt:lpwstr>
      </vt:variant>
      <vt:variant>
        <vt:i4>1179707</vt:i4>
      </vt:variant>
      <vt:variant>
        <vt:i4>32</vt:i4>
      </vt:variant>
      <vt:variant>
        <vt:i4>0</vt:i4>
      </vt:variant>
      <vt:variant>
        <vt:i4>5</vt:i4>
      </vt:variant>
      <vt:variant>
        <vt:lpwstr/>
      </vt:variant>
      <vt:variant>
        <vt:lpwstr>_Toc449433568</vt:lpwstr>
      </vt:variant>
      <vt:variant>
        <vt:i4>1179707</vt:i4>
      </vt:variant>
      <vt:variant>
        <vt:i4>26</vt:i4>
      </vt:variant>
      <vt:variant>
        <vt:i4>0</vt:i4>
      </vt:variant>
      <vt:variant>
        <vt:i4>5</vt:i4>
      </vt:variant>
      <vt:variant>
        <vt:lpwstr/>
      </vt:variant>
      <vt:variant>
        <vt:lpwstr>_Toc449433567</vt:lpwstr>
      </vt:variant>
      <vt:variant>
        <vt:i4>1179707</vt:i4>
      </vt:variant>
      <vt:variant>
        <vt:i4>20</vt:i4>
      </vt:variant>
      <vt:variant>
        <vt:i4>0</vt:i4>
      </vt:variant>
      <vt:variant>
        <vt:i4>5</vt:i4>
      </vt:variant>
      <vt:variant>
        <vt:lpwstr/>
      </vt:variant>
      <vt:variant>
        <vt:lpwstr>_Toc449433566</vt:lpwstr>
      </vt:variant>
      <vt:variant>
        <vt:i4>7077903</vt:i4>
      </vt:variant>
      <vt:variant>
        <vt:i4>15</vt:i4>
      </vt:variant>
      <vt:variant>
        <vt:i4>0</vt:i4>
      </vt:variant>
      <vt:variant>
        <vt:i4>5</vt:i4>
      </vt:variant>
      <vt:variant>
        <vt:lpwstr>mailto:copyright@agriculture.gov.au</vt:lpwstr>
      </vt:variant>
      <vt:variant>
        <vt:lpwstr/>
      </vt:variant>
      <vt:variant>
        <vt:i4>1638491</vt:i4>
      </vt:variant>
      <vt:variant>
        <vt:i4>12</vt:i4>
      </vt:variant>
      <vt:variant>
        <vt:i4>0</vt:i4>
      </vt:variant>
      <vt:variant>
        <vt:i4>5</vt:i4>
      </vt:variant>
      <vt:variant>
        <vt:lpwstr>http://www.igb.gov.au/Pages/default.aspx</vt:lpwstr>
      </vt:variant>
      <vt:variant>
        <vt:lpwstr/>
      </vt:variant>
      <vt:variant>
        <vt:i4>2687040</vt:i4>
      </vt:variant>
      <vt:variant>
        <vt:i4>9</vt:i4>
      </vt:variant>
      <vt:variant>
        <vt:i4>0</vt:i4>
      </vt:variant>
      <vt:variant>
        <vt:i4>5</vt:i4>
      </vt:variant>
      <vt:variant>
        <vt:lpwstr>mailto:inspgenbiosecurity@agriculture.gov.au</vt:lpwstr>
      </vt:variant>
      <vt:variant>
        <vt:lpwstr/>
      </vt:variant>
      <vt:variant>
        <vt:i4>983042</vt:i4>
      </vt:variant>
      <vt:variant>
        <vt:i4>6</vt:i4>
      </vt:variant>
      <vt:variant>
        <vt:i4>0</vt:i4>
      </vt:variant>
      <vt:variant>
        <vt:i4>5</vt:i4>
      </vt:variant>
      <vt:variant>
        <vt:lpwstr>http://www.igb.gov.au/Pages/completed-audits-and-reviews.aspx</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Uncooked prawn imports: effectiveness of biosecurity controls</dc:title>
  <dc:subject/>
  <dc:creator>Scott-Orr, Helen</dc:creator>
  <cp:keywords/>
  <dc:description/>
  <cp:lastModifiedBy>Bhatia, Naveen</cp:lastModifiedBy>
  <cp:revision>4</cp:revision>
  <cp:lastPrinted>2018-06-04T04:42:00Z</cp:lastPrinted>
  <dcterms:created xsi:type="dcterms:W3CDTF">2018-08-03T04:02:00Z</dcterms:created>
  <dcterms:modified xsi:type="dcterms:W3CDTF">2018-08-03T04:24:00Z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0x0101003D2C1E0A855421449C0CE0CFE8FBF984</vt:lpwstr>
  </property>
</Properties>
</file>