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8" w:rsidRDefault="0019331F" w:rsidP="0027116F">
      <w:pPr>
        <w:pStyle w:val="IIGBBadge"/>
        <w:ind w:hanging="3600"/>
        <w:jc w:val="left"/>
      </w:pPr>
      <w:r>
        <w:rPr>
          <w:noProof/>
        </w:rPr>
        <w:drawing>
          <wp:inline distT="0" distB="0" distL="0" distR="0">
            <wp:extent cx="3014980" cy="685800"/>
            <wp:effectExtent l="19050" t="0" r="0" b="0"/>
            <wp:docPr id="2" name="Picture 4" descr="Crest of the Australian Government Department of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link.agdaff.gov.au/Comms/PrintPub/Logos/Departmental%20Logos/Department%20of%20Agriculture/Left%20Aligned/Master%20Brandmark%20Inline%20-%20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08" w:rsidRDefault="00F04408" w:rsidP="00697BB4">
      <w:pPr>
        <w:pStyle w:val="IIGBBadge"/>
        <w:jc w:val="left"/>
      </w:pPr>
    </w:p>
    <w:p w:rsidR="00697BB4" w:rsidRDefault="00697BB4" w:rsidP="00697BB4">
      <w:pPr>
        <w:pStyle w:val="IIGBBadge"/>
        <w:jc w:val="left"/>
      </w:pPr>
    </w:p>
    <w:p w:rsidR="00697BB4" w:rsidRDefault="00697BB4" w:rsidP="00697BB4">
      <w:pPr>
        <w:pStyle w:val="IIGBBadge"/>
        <w:jc w:val="left"/>
      </w:pPr>
    </w:p>
    <w:p w:rsidR="00CC50C1" w:rsidRPr="009B417B" w:rsidRDefault="00697BB4" w:rsidP="009B417B">
      <w:pPr>
        <w:jc w:val="right"/>
        <w:rPr>
          <w:rFonts w:ascii="Cambria" w:hAnsi="Cambria"/>
          <w:b/>
        </w:rPr>
      </w:pPr>
      <w:r w:rsidRPr="009B417B">
        <w:rPr>
          <w:rFonts w:ascii="Cambria" w:hAnsi="Cambria"/>
          <w:b/>
        </w:rPr>
        <w:t xml:space="preserve">INTERIM INSPECTOR-GENERAL </w:t>
      </w:r>
      <w:r w:rsidR="00CC50C1" w:rsidRPr="009B417B">
        <w:rPr>
          <w:rFonts w:ascii="Cambria" w:hAnsi="Cambria"/>
          <w:b/>
        </w:rPr>
        <w:t>OF BIOSECURITY</w:t>
      </w:r>
    </w:p>
    <w:p w:rsidR="00CC50C1" w:rsidRPr="0001395C" w:rsidRDefault="00592E0B" w:rsidP="00697BB4">
      <w:pPr>
        <w:pStyle w:val="NormalNumbering"/>
        <w:numPr>
          <w:ilvl w:val="0"/>
          <w:numId w:val="0"/>
        </w:numPr>
      </w:pPr>
      <w:r w:rsidRPr="00592E0B">
        <w:rPr>
          <w:rStyle w:val="PageNumber"/>
        </w:rPr>
        <w:pict>
          <v:rect id="_x0000_i1025" style="width:405.55pt;height:1.95pt" o:hrpct="0" o:hralign="center" o:hrstd="t" o:hr="t" fillcolor="#aca899" stroked="f"/>
        </w:pict>
      </w:r>
    </w:p>
    <w:p w:rsidR="00CC50C1" w:rsidRDefault="00CC50C1" w:rsidP="00CC50C1">
      <w:pPr>
        <w:pStyle w:val="NormalNumbering"/>
        <w:numPr>
          <w:ilvl w:val="0"/>
          <w:numId w:val="0"/>
        </w:numPr>
      </w:pPr>
    </w:p>
    <w:p w:rsidR="00CC50C1" w:rsidRDefault="00CC50C1" w:rsidP="00CC50C1">
      <w:pPr>
        <w:pStyle w:val="NormalNumbering"/>
        <w:numPr>
          <w:ilvl w:val="0"/>
          <w:numId w:val="0"/>
        </w:numPr>
      </w:pPr>
    </w:p>
    <w:p w:rsidR="00CC50C1" w:rsidRDefault="00CC50C1" w:rsidP="00CC50C1">
      <w:pPr>
        <w:pStyle w:val="NormalNumbering"/>
        <w:numPr>
          <w:ilvl w:val="0"/>
          <w:numId w:val="0"/>
        </w:numPr>
      </w:pPr>
    </w:p>
    <w:p w:rsidR="00CC50C1" w:rsidRDefault="00CC50C1" w:rsidP="00CC50C1">
      <w:pPr>
        <w:pStyle w:val="NormalNumbering"/>
        <w:numPr>
          <w:ilvl w:val="0"/>
          <w:numId w:val="0"/>
        </w:numPr>
      </w:pPr>
    </w:p>
    <w:p w:rsidR="00CC50C1" w:rsidRDefault="00CC50C1" w:rsidP="00CC50C1">
      <w:pPr>
        <w:pStyle w:val="NormalNumbering"/>
        <w:numPr>
          <w:ilvl w:val="0"/>
          <w:numId w:val="0"/>
        </w:numPr>
      </w:pPr>
      <w:bookmarkStart w:id="0" w:name="_Toc332894757"/>
    </w:p>
    <w:p w:rsidR="00CC50C1" w:rsidRDefault="00CC50C1" w:rsidP="00CC50C1">
      <w:pPr>
        <w:pStyle w:val="NormalNumbering"/>
        <w:numPr>
          <w:ilvl w:val="0"/>
          <w:numId w:val="0"/>
        </w:numPr>
      </w:pPr>
    </w:p>
    <w:p w:rsidR="00E22F94" w:rsidRDefault="0015552D" w:rsidP="0027116F">
      <w:pPr>
        <w:pStyle w:val="TitlePageHeading"/>
        <w:rPr>
          <w:rFonts w:ascii="Cambria" w:hAnsi="Cambria"/>
        </w:rPr>
      </w:pPr>
      <w:r>
        <w:rPr>
          <w:rFonts w:ascii="Cambria" w:hAnsi="Cambria"/>
        </w:rPr>
        <w:t>H</w:t>
      </w:r>
      <w:r w:rsidR="00697BB4">
        <w:rPr>
          <w:rFonts w:ascii="Cambria" w:hAnsi="Cambria"/>
        </w:rPr>
        <w:t xml:space="preserve">orse </w:t>
      </w:r>
      <w:r>
        <w:rPr>
          <w:rFonts w:ascii="Cambria" w:hAnsi="Cambria"/>
        </w:rPr>
        <w:t xml:space="preserve">imports – Management of </w:t>
      </w:r>
      <w:r w:rsidR="00697BB4">
        <w:rPr>
          <w:rFonts w:ascii="Cambria" w:hAnsi="Cambria"/>
        </w:rPr>
        <w:t>biosecurity risk</w:t>
      </w:r>
      <w:r>
        <w:rPr>
          <w:rFonts w:ascii="Cambria" w:hAnsi="Cambria"/>
        </w:rPr>
        <w:t>s</w:t>
      </w:r>
    </w:p>
    <w:p w:rsidR="0027116F" w:rsidRPr="0027116F" w:rsidRDefault="0027116F" w:rsidP="0027116F">
      <w:pPr>
        <w:pStyle w:val="TitlePageHeading"/>
        <w:rPr>
          <w:rFonts w:ascii="Cambria" w:hAnsi="Cambria"/>
        </w:rPr>
      </w:pPr>
      <w:r>
        <w:rPr>
          <w:rFonts w:ascii="Cambria" w:hAnsi="Cambria"/>
        </w:rPr>
        <w:t>June to November 2014</w:t>
      </w:r>
    </w:p>
    <w:p w:rsidR="00CC50C1" w:rsidRDefault="00CC50C1" w:rsidP="00CC50C1">
      <w:pPr>
        <w:pStyle w:val="NormalNumbering"/>
        <w:numPr>
          <w:ilvl w:val="0"/>
          <w:numId w:val="0"/>
        </w:numPr>
        <w:jc w:val="center"/>
      </w:pPr>
    </w:p>
    <w:p w:rsidR="00CC50C1" w:rsidRDefault="00CC50C1" w:rsidP="00CC50C1">
      <w:pPr>
        <w:pStyle w:val="NormalNumbering"/>
        <w:numPr>
          <w:ilvl w:val="0"/>
          <w:numId w:val="0"/>
        </w:numPr>
        <w:jc w:val="center"/>
      </w:pPr>
    </w:p>
    <w:p w:rsidR="00CC50C1" w:rsidRDefault="00CC50C1" w:rsidP="00CC50C1">
      <w:pPr>
        <w:pStyle w:val="NormalNumbering"/>
        <w:numPr>
          <w:ilvl w:val="0"/>
          <w:numId w:val="0"/>
        </w:numPr>
        <w:jc w:val="center"/>
      </w:pPr>
    </w:p>
    <w:bookmarkEnd w:id="0"/>
    <w:p w:rsidR="00CC50C1" w:rsidRPr="00CD1779" w:rsidRDefault="00CC50C1" w:rsidP="00CC50C1">
      <w:pPr>
        <w:pStyle w:val="NormalNumbering"/>
        <w:numPr>
          <w:ilvl w:val="0"/>
          <w:numId w:val="0"/>
        </w:numPr>
        <w:jc w:val="center"/>
        <w:rPr>
          <w:sz w:val="24"/>
          <w:szCs w:val="24"/>
        </w:rPr>
      </w:pPr>
    </w:p>
    <w:p w:rsidR="00CC50C1" w:rsidRDefault="00CC50C1" w:rsidP="00CC50C1">
      <w:pPr>
        <w:pStyle w:val="NormalNumbering"/>
        <w:numPr>
          <w:ilvl w:val="0"/>
          <w:numId w:val="0"/>
        </w:numPr>
        <w:jc w:val="center"/>
        <w:rPr>
          <w:sz w:val="24"/>
          <w:szCs w:val="24"/>
        </w:rPr>
      </w:pPr>
    </w:p>
    <w:p w:rsidR="00CC50C1" w:rsidRPr="00CD1779" w:rsidRDefault="00CC50C1" w:rsidP="00CC50C1">
      <w:pPr>
        <w:pStyle w:val="NormalNumbering"/>
        <w:numPr>
          <w:ilvl w:val="0"/>
          <w:numId w:val="0"/>
        </w:numPr>
        <w:jc w:val="center"/>
        <w:rPr>
          <w:sz w:val="24"/>
          <w:szCs w:val="24"/>
        </w:rPr>
      </w:pPr>
    </w:p>
    <w:p w:rsidR="00CC50C1" w:rsidRPr="00CD1779" w:rsidRDefault="00CC50C1" w:rsidP="00CC50C1">
      <w:pPr>
        <w:pStyle w:val="NormalNumbering"/>
        <w:numPr>
          <w:ilvl w:val="0"/>
          <w:numId w:val="0"/>
        </w:numPr>
        <w:jc w:val="center"/>
        <w:rPr>
          <w:sz w:val="24"/>
          <w:szCs w:val="24"/>
        </w:rPr>
      </w:pPr>
    </w:p>
    <w:p w:rsidR="00CC50C1" w:rsidRPr="00CD1779" w:rsidRDefault="00CC50C1" w:rsidP="00CC50C1">
      <w:pPr>
        <w:pStyle w:val="NormalNumbering"/>
        <w:numPr>
          <w:ilvl w:val="0"/>
          <w:numId w:val="0"/>
        </w:numPr>
        <w:jc w:val="center"/>
        <w:rPr>
          <w:sz w:val="24"/>
          <w:szCs w:val="24"/>
        </w:rPr>
      </w:pPr>
    </w:p>
    <w:p w:rsidR="00CC50C1" w:rsidRPr="00CD1779" w:rsidRDefault="00CC50C1" w:rsidP="00CC50C1">
      <w:pPr>
        <w:pStyle w:val="NormalNumbering"/>
        <w:numPr>
          <w:ilvl w:val="0"/>
          <w:numId w:val="0"/>
        </w:numPr>
        <w:jc w:val="center"/>
        <w:rPr>
          <w:sz w:val="24"/>
          <w:szCs w:val="24"/>
        </w:rPr>
      </w:pPr>
    </w:p>
    <w:p w:rsidR="00F04408" w:rsidRPr="008663FA" w:rsidRDefault="0027116F" w:rsidP="00CF4EEE">
      <w:pPr>
        <w:pStyle w:val="NormalNumbering"/>
        <w:numPr>
          <w:ilvl w:val="0"/>
          <w:numId w:val="0"/>
        </w:numPr>
        <w:jc w:val="right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No. 2014</w:t>
      </w:r>
      <w:r w:rsidR="008F2493" w:rsidRPr="008663FA">
        <w:rPr>
          <w:rFonts w:ascii="Calibri Light" w:hAnsi="Calibri Light"/>
          <w:sz w:val="26"/>
          <w:szCs w:val="26"/>
        </w:rPr>
        <w:t>–1</w:t>
      </w:r>
      <w:r>
        <w:rPr>
          <w:rFonts w:ascii="Calibri Light" w:hAnsi="Calibri Light"/>
          <w:sz w:val="26"/>
          <w:szCs w:val="26"/>
        </w:rPr>
        <w:t>5</w:t>
      </w:r>
      <w:r w:rsidR="008F2493" w:rsidRPr="008663FA">
        <w:rPr>
          <w:rFonts w:ascii="Calibri Light" w:hAnsi="Calibri Light"/>
          <w:sz w:val="26"/>
          <w:szCs w:val="26"/>
        </w:rPr>
        <w:t>/</w:t>
      </w:r>
      <w:r>
        <w:rPr>
          <w:rFonts w:ascii="Calibri Light" w:hAnsi="Calibri Light"/>
          <w:sz w:val="26"/>
          <w:szCs w:val="26"/>
        </w:rPr>
        <w:t>06</w:t>
      </w:r>
    </w:p>
    <w:p w:rsidR="00F04408" w:rsidRPr="008663FA" w:rsidRDefault="00F04408" w:rsidP="008663FA">
      <w:pPr>
        <w:pStyle w:val="NormalNumbering"/>
        <w:numPr>
          <w:ilvl w:val="0"/>
          <w:numId w:val="0"/>
        </w:numPr>
        <w:jc w:val="center"/>
        <w:rPr>
          <w:rFonts w:ascii="Calibri Light" w:hAnsi="Calibri Light"/>
          <w:sz w:val="26"/>
          <w:szCs w:val="26"/>
        </w:rPr>
        <w:sectPr w:rsidR="00F04408" w:rsidRPr="008663FA">
          <w:footerReference w:type="even" r:id="rId9"/>
          <w:footerReference w:type="defaul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0F755B" w:rsidRPr="00B0129D" w:rsidRDefault="000F755B" w:rsidP="009B417B">
      <w:pPr>
        <w:pStyle w:val="TOCHeading"/>
        <w:pBdr>
          <w:bottom w:val="single" w:sz="4" w:space="1" w:color="auto"/>
        </w:pBdr>
        <w:rPr>
          <w:color w:val="auto"/>
        </w:rPr>
      </w:pPr>
      <w:bookmarkStart w:id="1" w:name="_Toc338227739"/>
      <w:r w:rsidRPr="00B0129D">
        <w:rPr>
          <w:color w:val="auto"/>
        </w:rPr>
        <w:lastRenderedPageBreak/>
        <w:t>Table of Contents</w:t>
      </w:r>
    </w:p>
    <w:p w:rsidR="009B417B" w:rsidRDefault="009B417B" w:rsidP="001C3FBD">
      <w:pPr>
        <w:pStyle w:val="TOC2"/>
      </w:pPr>
    </w:p>
    <w:p w:rsidR="00F6683F" w:rsidRDefault="00F6683F" w:rsidP="00F6683F"/>
    <w:p w:rsidR="00F6683F" w:rsidRPr="00F6683F" w:rsidRDefault="00F6683F" w:rsidP="00F6683F"/>
    <w:p w:rsidR="001C3FBD" w:rsidRPr="001C3FBD" w:rsidRDefault="00592E0B" w:rsidP="001C3FBD">
      <w:pPr>
        <w:pStyle w:val="TOC2"/>
        <w:spacing w:before="120" w:after="120"/>
        <w:rPr>
          <w:rFonts w:ascii="Calibri Light" w:eastAsiaTheme="minorEastAsia" w:hAnsi="Calibri Light" w:cstheme="minorBidi"/>
          <w:sz w:val="26"/>
          <w:szCs w:val="26"/>
        </w:rPr>
      </w:pPr>
      <w:r w:rsidRPr="001C3FBD">
        <w:rPr>
          <w:rFonts w:ascii="Calibri Light" w:hAnsi="Calibri Light"/>
          <w:sz w:val="26"/>
          <w:szCs w:val="26"/>
        </w:rPr>
        <w:fldChar w:fldCharType="begin"/>
      </w:r>
      <w:r w:rsidR="000F755B" w:rsidRPr="001C3FBD">
        <w:rPr>
          <w:rFonts w:ascii="Calibri Light" w:hAnsi="Calibri Light"/>
          <w:sz w:val="26"/>
          <w:szCs w:val="26"/>
        </w:rPr>
        <w:instrText xml:space="preserve"> TOC \o "1-3" \h \z \u </w:instrText>
      </w:r>
      <w:r w:rsidRPr="001C3FBD">
        <w:rPr>
          <w:rFonts w:ascii="Calibri Light" w:hAnsi="Calibri Light"/>
          <w:sz w:val="26"/>
          <w:szCs w:val="26"/>
        </w:rPr>
        <w:fldChar w:fldCharType="separate"/>
      </w:r>
      <w:hyperlink w:anchor="_Toc409530882" w:history="1">
        <w:r w:rsidR="001C3FBD" w:rsidRPr="001C3FBD">
          <w:rPr>
            <w:rStyle w:val="Hyperlink"/>
            <w:rFonts w:ascii="Calibri Light" w:hAnsi="Calibri Light"/>
            <w:sz w:val="26"/>
            <w:szCs w:val="26"/>
          </w:rPr>
          <w:t>Introduction</w:t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tab/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begin"/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instrText xml:space="preserve"> PAGEREF _Toc409530882 \h </w:instrText>
        </w:r>
        <w:r w:rsidRPr="001C3FBD">
          <w:rPr>
            <w:rFonts w:ascii="Calibri Light" w:hAnsi="Calibri Light"/>
            <w:webHidden/>
            <w:sz w:val="26"/>
            <w:szCs w:val="26"/>
          </w:rPr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separate"/>
        </w:r>
        <w:r w:rsidR="00613E8F">
          <w:rPr>
            <w:rFonts w:ascii="Calibri Light" w:hAnsi="Calibri Light"/>
            <w:webHidden/>
            <w:sz w:val="26"/>
            <w:szCs w:val="26"/>
          </w:rPr>
          <w:t>3</w:t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end"/>
        </w:r>
      </w:hyperlink>
    </w:p>
    <w:p w:rsidR="001C3FBD" w:rsidRPr="001C3FBD" w:rsidRDefault="00592E0B" w:rsidP="001C3FBD">
      <w:pPr>
        <w:pStyle w:val="TOC2"/>
        <w:spacing w:before="120" w:after="120"/>
        <w:rPr>
          <w:rFonts w:ascii="Calibri Light" w:eastAsiaTheme="minorEastAsia" w:hAnsi="Calibri Light" w:cstheme="minorBidi"/>
          <w:sz w:val="26"/>
          <w:szCs w:val="26"/>
        </w:rPr>
      </w:pPr>
      <w:hyperlink w:anchor="_Toc409530883" w:history="1">
        <w:r w:rsidR="001C3FBD" w:rsidRPr="001C3FBD">
          <w:rPr>
            <w:rStyle w:val="Hyperlink"/>
            <w:rFonts w:ascii="Calibri Light" w:hAnsi="Calibri Light"/>
            <w:sz w:val="26"/>
            <w:szCs w:val="26"/>
          </w:rPr>
          <w:t>Background</w:t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tab/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begin"/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instrText xml:space="preserve"> PAGEREF _Toc409530883 \h </w:instrText>
        </w:r>
        <w:r w:rsidRPr="001C3FBD">
          <w:rPr>
            <w:rFonts w:ascii="Calibri Light" w:hAnsi="Calibri Light"/>
            <w:webHidden/>
            <w:sz w:val="26"/>
            <w:szCs w:val="26"/>
          </w:rPr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separate"/>
        </w:r>
        <w:r w:rsidR="00613E8F">
          <w:rPr>
            <w:rFonts w:ascii="Calibri Light" w:hAnsi="Calibri Light"/>
            <w:webHidden/>
            <w:sz w:val="26"/>
            <w:szCs w:val="26"/>
          </w:rPr>
          <w:t>3</w:t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end"/>
        </w:r>
      </w:hyperlink>
    </w:p>
    <w:p w:rsidR="001C3FBD" w:rsidRPr="001C3FBD" w:rsidRDefault="00592E0B" w:rsidP="001C3FBD">
      <w:pPr>
        <w:pStyle w:val="TOC2"/>
        <w:spacing w:before="120" w:after="120"/>
        <w:rPr>
          <w:rFonts w:ascii="Calibri Light" w:eastAsiaTheme="minorEastAsia" w:hAnsi="Calibri Light" w:cstheme="minorBidi"/>
          <w:sz w:val="26"/>
          <w:szCs w:val="26"/>
        </w:rPr>
      </w:pPr>
      <w:hyperlink w:anchor="_Toc409530884" w:history="1">
        <w:r w:rsidR="001C3FBD" w:rsidRPr="001C3FBD">
          <w:rPr>
            <w:rStyle w:val="Hyperlink"/>
            <w:rFonts w:ascii="Calibri Light" w:hAnsi="Calibri Light"/>
            <w:sz w:val="26"/>
            <w:szCs w:val="26"/>
          </w:rPr>
          <w:t>Audit objective</w:t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tab/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begin"/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instrText xml:space="preserve"> PAGEREF _Toc409530884 \h </w:instrText>
        </w:r>
        <w:r w:rsidRPr="001C3FBD">
          <w:rPr>
            <w:rFonts w:ascii="Calibri Light" w:hAnsi="Calibri Light"/>
            <w:webHidden/>
            <w:sz w:val="26"/>
            <w:szCs w:val="26"/>
          </w:rPr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separate"/>
        </w:r>
        <w:r w:rsidR="00613E8F">
          <w:rPr>
            <w:rFonts w:ascii="Calibri Light" w:hAnsi="Calibri Light"/>
            <w:webHidden/>
            <w:sz w:val="26"/>
            <w:szCs w:val="26"/>
          </w:rPr>
          <w:t>3</w:t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end"/>
        </w:r>
      </w:hyperlink>
    </w:p>
    <w:p w:rsidR="001C3FBD" w:rsidRPr="001C3FBD" w:rsidRDefault="00592E0B" w:rsidP="001C3FBD">
      <w:pPr>
        <w:pStyle w:val="TOC2"/>
        <w:spacing w:before="120" w:after="120"/>
        <w:rPr>
          <w:rFonts w:ascii="Calibri Light" w:eastAsiaTheme="minorEastAsia" w:hAnsi="Calibri Light" w:cstheme="minorBidi"/>
          <w:sz w:val="26"/>
          <w:szCs w:val="26"/>
        </w:rPr>
      </w:pPr>
      <w:hyperlink w:anchor="_Toc409530885" w:history="1">
        <w:r w:rsidR="001C3FBD" w:rsidRPr="001C3FBD">
          <w:rPr>
            <w:rStyle w:val="Hyperlink"/>
            <w:rFonts w:ascii="Calibri Light" w:hAnsi="Calibri Light"/>
            <w:sz w:val="26"/>
            <w:szCs w:val="26"/>
          </w:rPr>
          <w:t>Methodology</w:t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tab/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begin"/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instrText xml:space="preserve"> PAGEREF _Toc409530885 \h </w:instrText>
        </w:r>
        <w:r w:rsidRPr="001C3FBD">
          <w:rPr>
            <w:rFonts w:ascii="Calibri Light" w:hAnsi="Calibri Light"/>
            <w:webHidden/>
            <w:sz w:val="26"/>
            <w:szCs w:val="26"/>
          </w:rPr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separate"/>
        </w:r>
        <w:r w:rsidR="00613E8F">
          <w:rPr>
            <w:rFonts w:ascii="Calibri Light" w:hAnsi="Calibri Light"/>
            <w:webHidden/>
            <w:sz w:val="26"/>
            <w:szCs w:val="26"/>
          </w:rPr>
          <w:t>3</w:t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end"/>
        </w:r>
      </w:hyperlink>
    </w:p>
    <w:p w:rsidR="001C3FBD" w:rsidRPr="001C3FBD" w:rsidRDefault="00592E0B" w:rsidP="001C3FBD">
      <w:pPr>
        <w:pStyle w:val="TOC2"/>
        <w:spacing w:before="120" w:after="120"/>
        <w:rPr>
          <w:rFonts w:ascii="Calibri Light" w:eastAsiaTheme="minorEastAsia" w:hAnsi="Calibri Light" w:cstheme="minorBidi"/>
          <w:sz w:val="26"/>
          <w:szCs w:val="26"/>
        </w:rPr>
      </w:pPr>
      <w:hyperlink w:anchor="_Toc409530886" w:history="1">
        <w:r w:rsidR="001C3FBD" w:rsidRPr="001C3FBD">
          <w:rPr>
            <w:rStyle w:val="Hyperlink"/>
            <w:rFonts w:ascii="Calibri Light" w:hAnsi="Calibri Light"/>
            <w:sz w:val="26"/>
            <w:szCs w:val="26"/>
          </w:rPr>
          <w:t>Conclusion</w:t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tab/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begin"/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instrText xml:space="preserve"> PAGEREF _Toc409530886 \h </w:instrText>
        </w:r>
        <w:r w:rsidRPr="001C3FBD">
          <w:rPr>
            <w:rFonts w:ascii="Calibri Light" w:hAnsi="Calibri Light"/>
            <w:webHidden/>
            <w:sz w:val="26"/>
            <w:szCs w:val="26"/>
          </w:rPr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separate"/>
        </w:r>
        <w:r w:rsidR="00613E8F">
          <w:rPr>
            <w:rFonts w:ascii="Calibri Light" w:hAnsi="Calibri Light"/>
            <w:webHidden/>
            <w:sz w:val="26"/>
            <w:szCs w:val="26"/>
          </w:rPr>
          <w:t>4</w:t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end"/>
        </w:r>
      </w:hyperlink>
    </w:p>
    <w:p w:rsidR="001C3FBD" w:rsidRPr="001C3FBD" w:rsidRDefault="00592E0B" w:rsidP="001C3FBD">
      <w:pPr>
        <w:pStyle w:val="TOC2"/>
        <w:spacing w:before="120" w:after="120"/>
        <w:rPr>
          <w:rFonts w:ascii="Calibri Light" w:eastAsiaTheme="minorEastAsia" w:hAnsi="Calibri Light" w:cstheme="minorBidi"/>
          <w:sz w:val="26"/>
          <w:szCs w:val="26"/>
        </w:rPr>
      </w:pPr>
      <w:hyperlink w:anchor="_Toc409530887" w:history="1">
        <w:r w:rsidR="001C3FBD" w:rsidRPr="001C3FBD">
          <w:rPr>
            <w:rStyle w:val="Hyperlink"/>
            <w:rFonts w:ascii="Calibri Light" w:hAnsi="Calibri Light"/>
            <w:sz w:val="26"/>
            <w:szCs w:val="26"/>
          </w:rPr>
          <w:t>Next review cycle</w:t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tab/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begin"/>
        </w:r>
        <w:r w:rsidR="001C3FBD" w:rsidRPr="001C3FBD">
          <w:rPr>
            <w:rFonts w:ascii="Calibri Light" w:hAnsi="Calibri Light"/>
            <w:webHidden/>
            <w:sz w:val="26"/>
            <w:szCs w:val="26"/>
          </w:rPr>
          <w:instrText xml:space="preserve"> PAGEREF _Toc409530887 \h </w:instrText>
        </w:r>
        <w:r w:rsidRPr="001C3FBD">
          <w:rPr>
            <w:rFonts w:ascii="Calibri Light" w:hAnsi="Calibri Light"/>
            <w:webHidden/>
            <w:sz w:val="26"/>
            <w:szCs w:val="26"/>
          </w:rPr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separate"/>
        </w:r>
        <w:r w:rsidR="00613E8F">
          <w:rPr>
            <w:rFonts w:ascii="Calibri Light" w:hAnsi="Calibri Light"/>
            <w:webHidden/>
            <w:sz w:val="26"/>
            <w:szCs w:val="26"/>
          </w:rPr>
          <w:t>4</w:t>
        </w:r>
        <w:r w:rsidRPr="001C3FBD">
          <w:rPr>
            <w:rFonts w:ascii="Calibri Light" w:hAnsi="Calibri Light"/>
            <w:webHidden/>
            <w:sz w:val="26"/>
            <w:szCs w:val="26"/>
          </w:rPr>
          <w:fldChar w:fldCharType="end"/>
        </w:r>
      </w:hyperlink>
    </w:p>
    <w:p w:rsidR="007B4A71" w:rsidRPr="009B417B" w:rsidRDefault="00592E0B" w:rsidP="001C3FBD">
      <w:pPr>
        <w:spacing w:before="120" w:after="120"/>
      </w:pPr>
      <w:r w:rsidRPr="001C3FBD">
        <w:rPr>
          <w:rFonts w:ascii="Calibri Light" w:hAnsi="Calibri Light"/>
          <w:sz w:val="26"/>
          <w:szCs w:val="26"/>
        </w:rPr>
        <w:fldChar w:fldCharType="end"/>
      </w:r>
    </w:p>
    <w:p w:rsidR="007B4A71" w:rsidRDefault="007B4A71">
      <w:pPr>
        <w:rPr>
          <w:rFonts w:ascii="Cambria" w:hAnsi="Cambria" w:cs="Arial"/>
          <w:b/>
          <w:bCs/>
          <w:iCs/>
          <w:sz w:val="28"/>
          <w:szCs w:val="28"/>
        </w:rPr>
      </w:pPr>
      <w:r>
        <w:rPr>
          <w:rFonts w:ascii="Cambria" w:hAnsi="Cambria"/>
        </w:rPr>
        <w:br w:type="page"/>
      </w:r>
    </w:p>
    <w:p w:rsidR="00DD4845" w:rsidRDefault="00DD4845" w:rsidP="00B105DB">
      <w:pPr>
        <w:pStyle w:val="Heading2"/>
        <w:spacing w:after="120"/>
        <w:rPr>
          <w:rFonts w:ascii="Cambria" w:hAnsi="Cambria"/>
        </w:rPr>
      </w:pPr>
      <w:bookmarkStart w:id="2" w:name="_Toc409530882"/>
      <w:bookmarkEnd w:id="1"/>
      <w:r>
        <w:rPr>
          <w:rFonts w:ascii="Cambria" w:hAnsi="Cambria"/>
        </w:rPr>
        <w:lastRenderedPageBreak/>
        <w:t>Introduction</w:t>
      </w:r>
      <w:bookmarkEnd w:id="2"/>
    </w:p>
    <w:p w:rsidR="00DD4845" w:rsidRDefault="00DD4845" w:rsidP="00DD4845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In May 2014 the IIGB published</w:t>
      </w:r>
      <w:r w:rsidR="0015552D" w:rsidRPr="0015552D">
        <w:rPr>
          <w:rFonts w:ascii="Calibri Light" w:hAnsi="Calibri Light"/>
          <w:sz w:val="26"/>
          <w:szCs w:val="26"/>
        </w:rPr>
        <w:t xml:space="preserve"> </w:t>
      </w:r>
      <w:r w:rsidR="0015552D">
        <w:rPr>
          <w:rFonts w:ascii="Calibri Light" w:hAnsi="Calibri Light"/>
          <w:sz w:val="26"/>
          <w:szCs w:val="26"/>
        </w:rPr>
        <w:t>a report</w:t>
      </w:r>
      <w:r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i/>
          <w:sz w:val="26"/>
          <w:szCs w:val="26"/>
        </w:rPr>
        <w:t xml:space="preserve">‘Arrangements for oversight of horse biosecurity risk management’, </w:t>
      </w:r>
      <w:r>
        <w:rPr>
          <w:rFonts w:ascii="Calibri Light" w:hAnsi="Calibri Light"/>
          <w:sz w:val="26"/>
          <w:szCs w:val="26"/>
        </w:rPr>
        <w:t xml:space="preserve">that outlined the IIGB’s future commitment </w:t>
      </w:r>
      <w:r w:rsidR="0015552D">
        <w:rPr>
          <w:rFonts w:ascii="Calibri Light" w:hAnsi="Calibri Light"/>
          <w:sz w:val="26"/>
          <w:szCs w:val="26"/>
        </w:rPr>
        <w:t>to</w:t>
      </w:r>
      <w:r>
        <w:rPr>
          <w:rFonts w:ascii="Calibri Light" w:hAnsi="Calibri Light"/>
          <w:sz w:val="26"/>
          <w:szCs w:val="26"/>
        </w:rPr>
        <w:t xml:space="preserve"> an ongoing cycle of review and assessment of the Department of Agriculture</w:t>
      </w:r>
      <w:r w:rsidR="00B40C0C">
        <w:rPr>
          <w:rFonts w:ascii="Calibri Light" w:hAnsi="Calibri Light"/>
          <w:sz w:val="26"/>
          <w:szCs w:val="26"/>
        </w:rPr>
        <w:t xml:space="preserve"> (the department)</w:t>
      </w:r>
      <w:r>
        <w:rPr>
          <w:rFonts w:ascii="Calibri Light" w:hAnsi="Calibri Light"/>
          <w:sz w:val="26"/>
          <w:szCs w:val="26"/>
        </w:rPr>
        <w:t xml:space="preserve">’s biosecurity risk management controls used for importing horses to Australia. </w:t>
      </w:r>
    </w:p>
    <w:p w:rsidR="00F04408" w:rsidRPr="00B105DB" w:rsidRDefault="002F7C1F" w:rsidP="00B105DB">
      <w:pPr>
        <w:pStyle w:val="Heading2"/>
        <w:spacing w:after="120"/>
        <w:rPr>
          <w:rFonts w:ascii="Cambria" w:hAnsi="Cambria"/>
        </w:rPr>
      </w:pPr>
      <w:bookmarkStart w:id="3" w:name="_Toc409530883"/>
      <w:r>
        <w:rPr>
          <w:rFonts w:ascii="Cambria" w:hAnsi="Cambria"/>
        </w:rPr>
        <w:t>Background</w:t>
      </w:r>
      <w:bookmarkEnd w:id="3"/>
    </w:p>
    <w:p w:rsidR="00B83879" w:rsidRPr="00857CE3" w:rsidRDefault="00B83879" w:rsidP="00B40C0C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bookmarkStart w:id="4" w:name="_Toc338227740"/>
      <w:r w:rsidRPr="00857CE3">
        <w:rPr>
          <w:rFonts w:ascii="Calibri Light" w:hAnsi="Calibri Light"/>
          <w:sz w:val="26"/>
          <w:szCs w:val="26"/>
        </w:rPr>
        <w:t>In July 2009,</w:t>
      </w:r>
      <w:r w:rsidR="004700AB" w:rsidRPr="00857CE3">
        <w:rPr>
          <w:rFonts w:ascii="Calibri Light" w:hAnsi="Calibri Light"/>
          <w:sz w:val="26"/>
          <w:szCs w:val="26"/>
        </w:rPr>
        <w:t xml:space="preserve"> the Australian Government appointed an Interim Inspector-General of Biosecurity (IIGB)</w:t>
      </w:r>
      <w:r w:rsidR="002E4C8E">
        <w:rPr>
          <w:rFonts w:ascii="Calibri Light" w:hAnsi="Calibri Light"/>
          <w:sz w:val="26"/>
          <w:szCs w:val="26"/>
        </w:rPr>
        <w:t xml:space="preserve"> to </w:t>
      </w:r>
      <w:r w:rsidR="002E4C8E" w:rsidRPr="002E4C8E">
        <w:rPr>
          <w:rFonts w:ascii="Calibri Light" w:hAnsi="Calibri Light"/>
          <w:sz w:val="26"/>
          <w:szCs w:val="26"/>
        </w:rPr>
        <w:t>enhance the integrity of Australia’s biosecurity systems through the independent evaluation and verification of the performance of these programs across the biosecurity continuum – pre-border, border and post-border.</w:t>
      </w:r>
      <w:r w:rsidR="002E4C8E">
        <w:rPr>
          <w:rFonts w:ascii="Calibri Light" w:hAnsi="Calibri Light"/>
          <w:sz w:val="26"/>
          <w:szCs w:val="26"/>
        </w:rPr>
        <w:t xml:space="preserve"> </w:t>
      </w:r>
    </w:p>
    <w:p w:rsidR="00077469" w:rsidRDefault="00B40C0C" w:rsidP="004200DB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The department allocates significant resources to the on-going monitoring and improvement of the management of biosecurity risks related to the importation of horses. A</w:t>
      </w:r>
      <w:r w:rsidR="00EA5537">
        <w:rPr>
          <w:rFonts w:ascii="Calibri Light" w:hAnsi="Calibri Light"/>
          <w:sz w:val="26"/>
          <w:szCs w:val="26"/>
        </w:rPr>
        <w:t>ccordingly</w:t>
      </w:r>
      <w:r>
        <w:rPr>
          <w:rFonts w:ascii="Calibri Light" w:hAnsi="Calibri Light"/>
          <w:sz w:val="26"/>
          <w:szCs w:val="26"/>
        </w:rPr>
        <w:t xml:space="preserve">, </w:t>
      </w:r>
      <w:r w:rsidR="00EA5537">
        <w:rPr>
          <w:rFonts w:ascii="Calibri Light" w:hAnsi="Calibri Light"/>
          <w:sz w:val="26"/>
          <w:szCs w:val="26"/>
        </w:rPr>
        <w:t xml:space="preserve">the </w:t>
      </w:r>
      <w:r w:rsidR="00E22F94" w:rsidRPr="00857CE3">
        <w:rPr>
          <w:rFonts w:ascii="Calibri Light" w:hAnsi="Calibri Light"/>
          <w:sz w:val="26"/>
          <w:szCs w:val="26"/>
        </w:rPr>
        <w:t xml:space="preserve">IIGB </w:t>
      </w:r>
      <w:r w:rsidR="00EA5537">
        <w:rPr>
          <w:rFonts w:ascii="Calibri Light" w:hAnsi="Calibri Light"/>
          <w:sz w:val="26"/>
          <w:szCs w:val="26"/>
        </w:rPr>
        <w:t>pays</w:t>
      </w:r>
      <w:r>
        <w:rPr>
          <w:rFonts w:ascii="Calibri Light" w:hAnsi="Calibri Light"/>
          <w:sz w:val="26"/>
          <w:szCs w:val="26"/>
        </w:rPr>
        <w:t xml:space="preserve"> </w:t>
      </w:r>
      <w:r w:rsidR="00E22F94" w:rsidRPr="00857CE3">
        <w:rPr>
          <w:rFonts w:ascii="Calibri Light" w:hAnsi="Calibri Light"/>
          <w:sz w:val="26"/>
          <w:szCs w:val="26"/>
        </w:rPr>
        <w:t xml:space="preserve">close attention to the </w:t>
      </w:r>
      <w:r w:rsidR="004700AB" w:rsidRPr="00857CE3">
        <w:rPr>
          <w:rFonts w:ascii="Calibri Light" w:hAnsi="Calibri Light"/>
          <w:sz w:val="26"/>
          <w:szCs w:val="26"/>
        </w:rPr>
        <w:t xml:space="preserve">biosecurity </w:t>
      </w:r>
      <w:r w:rsidR="00E22F94" w:rsidRPr="00857CE3">
        <w:rPr>
          <w:rFonts w:ascii="Calibri Light" w:hAnsi="Calibri Light"/>
          <w:sz w:val="26"/>
          <w:szCs w:val="26"/>
        </w:rPr>
        <w:t>risks associated with the importation of horses</w:t>
      </w:r>
      <w:r w:rsidR="000B0B7C" w:rsidRPr="00857CE3">
        <w:rPr>
          <w:rFonts w:ascii="Calibri Light" w:hAnsi="Calibri Light"/>
          <w:sz w:val="26"/>
          <w:szCs w:val="26"/>
        </w:rPr>
        <w:t xml:space="preserve"> to Australia</w:t>
      </w:r>
      <w:r w:rsidR="00EA5537">
        <w:rPr>
          <w:rFonts w:ascii="Calibri Light" w:hAnsi="Calibri Light"/>
          <w:sz w:val="26"/>
          <w:szCs w:val="26"/>
        </w:rPr>
        <w:t>, as part of the annual work program</w:t>
      </w:r>
      <w:r w:rsidR="00E22F94" w:rsidRPr="00857CE3">
        <w:rPr>
          <w:rFonts w:ascii="Calibri Light" w:hAnsi="Calibri Light"/>
          <w:sz w:val="26"/>
          <w:szCs w:val="26"/>
        </w:rPr>
        <w:t>.</w:t>
      </w:r>
    </w:p>
    <w:p w:rsidR="00DD4845" w:rsidRDefault="00DD4845" w:rsidP="00B105DB">
      <w:pPr>
        <w:pStyle w:val="Heading2"/>
        <w:spacing w:after="120"/>
        <w:rPr>
          <w:rFonts w:ascii="Cambria" w:hAnsi="Cambria"/>
        </w:rPr>
      </w:pPr>
      <w:bookmarkStart w:id="5" w:name="_Toc409530884"/>
      <w:bookmarkEnd w:id="4"/>
      <w:r>
        <w:rPr>
          <w:rFonts w:ascii="Cambria" w:hAnsi="Cambria"/>
        </w:rPr>
        <w:t>Audit objective</w:t>
      </w:r>
      <w:bookmarkEnd w:id="5"/>
    </w:p>
    <w:p w:rsidR="00DD4845" w:rsidRPr="00DD4845" w:rsidRDefault="00DD4845" w:rsidP="00DD4845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 w:rsidRPr="00DD4845">
        <w:rPr>
          <w:rFonts w:ascii="Calibri Light" w:hAnsi="Calibri Light"/>
          <w:sz w:val="26"/>
          <w:szCs w:val="26"/>
        </w:rPr>
        <w:t xml:space="preserve">The objective of this </w:t>
      </w:r>
      <w:r w:rsidR="00EA5537">
        <w:rPr>
          <w:rFonts w:ascii="Calibri Light" w:hAnsi="Calibri Light"/>
          <w:sz w:val="26"/>
          <w:szCs w:val="26"/>
        </w:rPr>
        <w:t xml:space="preserve">desktop </w:t>
      </w:r>
      <w:r w:rsidRPr="00DD4845">
        <w:rPr>
          <w:rFonts w:ascii="Calibri Light" w:hAnsi="Calibri Light"/>
          <w:sz w:val="26"/>
          <w:szCs w:val="26"/>
        </w:rPr>
        <w:t xml:space="preserve">review was to assess the approval processes for all current </w:t>
      </w:r>
      <w:r w:rsidR="00792A10">
        <w:rPr>
          <w:rFonts w:ascii="Calibri Light" w:hAnsi="Calibri Light"/>
          <w:sz w:val="26"/>
          <w:szCs w:val="26"/>
        </w:rPr>
        <w:t>d</w:t>
      </w:r>
      <w:r>
        <w:rPr>
          <w:rFonts w:ascii="Calibri Light" w:hAnsi="Calibri Light"/>
          <w:sz w:val="26"/>
          <w:szCs w:val="26"/>
        </w:rPr>
        <w:t>epartment</w:t>
      </w:r>
      <w:r w:rsidR="00792A10">
        <w:rPr>
          <w:rFonts w:ascii="Calibri Light" w:hAnsi="Calibri Light"/>
          <w:sz w:val="26"/>
          <w:szCs w:val="26"/>
        </w:rPr>
        <w:t>-</w:t>
      </w:r>
      <w:r>
        <w:rPr>
          <w:rFonts w:ascii="Calibri Light" w:hAnsi="Calibri Light"/>
          <w:sz w:val="26"/>
          <w:szCs w:val="26"/>
        </w:rPr>
        <w:t>approved offshore pre-export quarantine</w:t>
      </w:r>
      <w:r w:rsidRPr="00DD4845">
        <w:rPr>
          <w:rFonts w:ascii="Calibri Light" w:hAnsi="Calibri Light"/>
          <w:sz w:val="26"/>
          <w:szCs w:val="26"/>
        </w:rPr>
        <w:t xml:space="preserve"> </w:t>
      </w:r>
      <w:r w:rsidR="00B40C0C">
        <w:rPr>
          <w:rFonts w:ascii="Calibri Light" w:hAnsi="Calibri Light"/>
          <w:sz w:val="26"/>
          <w:szCs w:val="26"/>
        </w:rPr>
        <w:t xml:space="preserve">(PEQ) </w:t>
      </w:r>
      <w:r w:rsidRPr="00DD4845">
        <w:rPr>
          <w:rFonts w:ascii="Calibri Light" w:hAnsi="Calibri Light"/>
          <w:sz w:val="26"/>
          <w:szCs w:val="26"/>
        </w:rPr>
        <w:t xml:space="preserve">facilities used for </w:t>
      </w:r>
      <w:r w:rsidR="00EA5537">
        <w:rPr>
          <w:rFonts w:ascii="Calibri Light" w:hAnsi="Calibri Light"/>
          <w:sz w:val="26"/>
          <w:szCs w:val="26"/>
        </w:rPr>
        <w:t>the export of</w:t>
      </w:r>
      <w:r w:rsidRPr="00DD4845">
        <w:rPr>
          <w:rFonts w:ascii="Calibri Light" w:hAnsi="Calibri Light"/>
          <w:sz w:val="26"/>
          <w:szCs w:val="26"/>
        </w:rPr>
        <w:t xml:space="preserve"> horses to Australia</w:t>
      </w:r>
      <w:r>
        <w:rPr>
          <w:rFonts w:ascii="Calibri Light" w:hAnsi="Calibri Light"/>
          <w:sz w:val="26"/>
          <w:szCs w:val="26"/>
        </w:rPr>
        <w:t xml:space="preserve"> during the period June to November 2014</w:t>
      </w:r>
      <w:r w:rsidRPr="00DD4845">
        <w:rPr>
          <w:rFonts w:ascii="Calibri Light" w:hAnsi="Calibri Light"/>
          <w:sz w:val="26"/>
          <w:szCs w:val="26"/>
        </w:rPr>
        <w:t xml:space="preserve">. </w:t>
      </w:r>
    </w:p>
    <w:p w:rsidR="00DD4845" w:rsidRDefault="00EA5537" w:rsidP="00B105DB">
      <w:pPr>
        <w:pStyle w:val="Heading2"/>
        <w:spacing w:after="120"/>
        <w:rPr>
          <w:rFonts w:ascii="Cambria" w:hAnsi="Cambria"/>
        </w:rPr>
      </w:pPr>
      <w:bookmarkStart w:id="6" w:name="_Toc409530885"/>
      <w:r>
        <w:rPr>
          <w:rFonts w:ascii="Cambria" w:hAnsi="Cambria"/>
        </w:rPr>
        <w:t>Methodology</w:t>
      </w:r>
      <w:bookmarkEnd w:id="6"/>
    </w:p>
    <w:p w:rsidR="00DD4845" w:rsidRDefault="00EA5537" w:rsidP="00DD4845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For the period June – November 2014, </w:t>
      </w:r>
      <w:r w:rsidR="00D54E40">
        <w:rPr>
          <w:rFonts w:ascii="Calibri Light" w:hAnsi="Calibri Light"/>
          <w:sz w:val="26"/>
          <w:szCs w:val="26"/>
        </w:rPr>
        <w:t xml:space="preserve"> the IIGB </w:t>
      </w:r>
      <w:r>
        <w:rPr>
          <w:rFonts w:ascii="Calibri Light" w:hAnsi="Calibri Light"/>
          <w:sz w:val="26"/>
          <w:szCs w:val="26"/>
        </w:rPr>
        <w:t>reviewed</w:t>
      </w:r>
      <w:r w:rsidR="00D54E40">
        <w:rPr>
          <w:rFonts w:ascii="Calibri Light" w:hAnsi="Calibri Light"/>
          <w:sz w:val="26"/>
          <w:szCs w:val="26"/>
        </w:rPr>
        <w:t>:</w:t>
      </w:r>
    </w:p>
    <w:p w:rsidR="00DD4845" w:rsidRDefault="00DD4845" w:rsidP="00DD4845">
      <w:pPr>
        <w:pStyle w:val="NormalNumbering"/>
        <w:numPr>
          <w:ilvl w:val="0"/>
          <w:numId w:val="9"/>
        </w:numPr>
        <w:spacing w:after="12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horse import </w:t>
      </w:r>
      <w:r w:rsidR="00F87561">
        <w:rPr>
          <w:rFonts w:ascii="Calibri Light" w:hAnsi="Calibri Light"/>
          <w:sz w:val="26"/>
          <w:szCs w:val="26"/>
        </w:rPr>
        <w:t xml:space="preserve">numbers including </w:t>
      </w:r>
      <w:r w:rsidR="00EA5537">
        <w:rPr>
          <w:rFonts w:ascii="Calibri Light" w:hAnsi="Calibri Light"/>
          <w:sz w:val="26"/>
          <w:szCs w:val="26"/>
        </w:rPr>
        <w:t xml:space="preserve">individual </w:t>
      </w:r>
      <w:r w:rsidR="00F87561">
        <w:rPr>
          <w:rFonts w:ascii="Calibri Light" w:hAnsi="Calibri Light"/>
          <w:sz w:val="26"/>
          <w:szCs w:val="26"/>
        </w:rPr>
        <w:t xml:space="preserve">horse details, import </w:t>
      </w:r>
      <w:r w:rsidR="00D54E40">
        <w:rPr>
          <w:rFonts w:ascii="Calibri Light" w:hAnsi="Calibri Light"/>
          <w:sz w:val="26"/>
          <w:szCs w:val="26"/>
        </w:rPr>
        <w:t>permit</w:t>
      </w:r>
      <w:r w:rsidR="00F87561">
        <w:rPr>
          <w:rFonts w:ascii="Calibri Light" w:hAnsi="Calibri Light"/>
          <w:sz w:val="26"/>
          <w:szCs w:val="26"/>
        </w:rPr>
        <w:t xml:space="preserve">s, </w:t>
      </w:r>
      <w:r w:rsidR="00B40C0C">
        <w:rPr>
          <w:rFonts w:ascii="Calibri Light" w:hAnsi="Calibri Light"/>
          <w:sz w:val="26"/>
          <w:szCs w:val="26"/>
        </w:rPr>
        <w:t>PEQ</w:t>
      </w:r>
      <w:r w:rsidR="00F87561">
        <w:rPr>
          <w:rFonts w:ascii="Calibri Light" w:hAnsi="Calibri Light"/>
          <w:sz w:val="26"/>
          <w:szCs w:val="26"/>
        </w:rPr>
        <w:t xml:space="preserve"> and post-arrival quarantine </w:t>
      </w:r>
      <w:r w:rsidR="00B40C0C">
        <w:rPr>
          <w:rFonts w:ascii="Calibri Light" w:hAnsi="Calibri Light"/>
          <w:sz w:val="26"/>
          <w:szCs w:val="26"/>
        </w:rPr>
        <w:t xml:space="preserve">(PAQ) </w:t>
      </w:r>
      <w:r w:rsidR="00F87561">
        <w:rPr>
          <w:rFonts w:ascii="Calibri Light" w:hAnsi="Calibri Light"/>
          <w:sz w:val="26"/>
          <w:szCs w:val="26"/>
        </w:rPr>
        <w:t>facilities used for each animal</w:t>
      </w:r>
    </w:p>
    <w:p w:rsidR="00DD4845" w:rsidRDefault="00DD4845" w:rsidP="00DD4845">
      <w:pPr>
        <w:pStyle w:val="NormalNumbering"/>
        <w:numPr>
          <w:ilvl w:val="0"/>
          <w:numId w:val="9"/>
        </w:numPr>
        <w:spacing w:after="12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lastRenderedPageBreak/>
        <w:t xml:space="preserve">approval status for </w:t>
      </w:r>
      <w:r w:rsidR="006B4BCC">
        <w:rPr>
          <w:rFonts w:ascii="Calibri Light" w:hAnsi="Calibri Light"/>
          <w:sz w:val="26"/>
          <w:szCs w:val="26"/>
        </w:rPr>
        <w:t>each PEQ premises in ex</w:t>
      </w:r>
      <w:r>
        <w:rPr>
          <w:rFonts w:ascii="Calibri Light" w:hAnsi="Calibri Light"/>
          <w:sz w:val="26"/>
          <w:szCs w:val="26"/>
        </w:rPr>
        <w:t>porting countries</w:t>
      </w:r>
      <w:r w:rsidR="00F87561">
        <w:rPr>
          <w:rFonts w:ascii="Calibri Light" w:hAnsi="Calibri Light"/>
          <w:sz w:val="26"/>
          <w:szCs w:val="26"/>
        </w:rPr>
        <w:t>, including information on all approved, expired and new applications</w:t>
      </w:r>
    </w:p>
    <w:p w:rsidR="005E0320" w:rsidRDefault="005E0320" w:rsidP="00DD4845">
      <w:pPr>
        <w:pStyle w:val="NormalNumbering"/>
        <w:numPr>
          <w:ilvl w:val="0"/>
          <w:numId w:val="9"/>
        </w:numPr>
        <w:spacing w:after="120"/>
        <w:rPr>
          <w:rFonts w:ascii="Calibri Light" w:hAnsi="Calibri Light"/>
          <w:sz w:val="26"/>
          <w:szCs w:val="26"/>
        </w:rPr>
      </w:pPr>
      <w:r w:rsidRPr="005E0320">
        <w:rPr>
          <w:rFonts w:ascii="Calibri Light" w:hAnsi="Calibri Light"/>
          <w:sz w:val="26"/>
          <w:szCs w:val="26"/>
        </w:rPr>
        <w:t>any</w:t>
      </w:r>
      <w:r w:rsidR="00DD4845" w:rsidRPr="005E0320">
        <w:rPr>
          <w:rFonts w:ascii="Calibri Light" w:hAnsi="Calibri Light"/>
          <w:sz w:val="26"/>
          <w:szCs w:val="26"/>
        </w:rPr>
        <w:t xml:space="preserve"> </w:t>
      </w:r>
      <w:r w:rsidR="00B40C0C">
        <w:rPr>
          <w:rFonts w:ascii="Calibri Light" w:hAnsi="Calibri Light"/>
          <w:sz w:val="26"/>
          <w:szCs w:val="26"/>
        </w:rPr>
        <w:t>PEQ</w:t>
      </w:r>
      <w:r w:rsidRPr="005E0320">
        <w:rPr>
          <w:rFonts w:ascii="Calibri Light" w:hAnsi="Calibri Light"/>
          <w:sz w:val="26"/>
          <w:szCs w:val="26"/>
        </w:rPr>
        <w:t xml:space="preserve"> facility audit </w:t>
      </w:r>
      <w:r w:rsidR="00DD4845" w:rsidRPr="005E0320">
        <w:rPr>
          <w:rFonts w:ascii="Calibri Light" w:hAnsi="Calibri Light"/>
          <w:sz w:val="26"/>
          <w:szCs w:val="26"/>
        </w:rPr>
        <w:t xml:space="preserve">reports and associated documents </w:t>
      </w:r>
      <w:r w:rsidRPr="005E0320">
        <w:rPr>
          <w:rFonts w:ascii="Calibri Light" w:hAnsi="Calibri Light"/>
          <w:sz w:val="26"/>
          <w:szCs w:val="26"/>
        </w:rPr>
        <w:t xml:space="preserve">prepared by the </w:t>
      </w:r>
      <w:r w:rsidR="00B40C0C">
        <w:rPr>
          <w:rFonts w:ascii="Calibri Light" w:hAnsi="Calibri Light"/>
          <w:sz w:val="26"/>
          <w:szCs w:val="26"/>
        </w:rPr>
        <w:t>d</w:t>
      </w:r>
      <w:r w:rsidRPr="005E0320">
        <w:rPr>
          <w:rFonts w:ascii="Calibri Light" w:hAnsi="Calibri Light"/>
          <w:sz w:val="26"/>
          <w:szCs w:val="26"/>
        </w:rPr>
        <w:t xml:space="preserve">epartment during the </w:t>
      </w:r>
      <w:r>
        <w:rPr>
          <w:rFonts w:ascii="Calibri Light" w:hAnsi="Calibri Light"/>
          <w:sz w:val="26"/>
          <w:szCs w:val="26"/>
        </w:rPr>
        <w:t>three months pr</w:t>
      </w:r>
      <w:r w:rsidR="006B4BCC">
        <w:rPr>
          <w:rFonts w:ascii="Calibri Light" w:hAnsi="Calibri Light"/>
          <w:sz w:val="26"/>
          <w:szCs w:val="26"/>
        </w:rPr>
        <w:t>ior</w:t>
      </w:r>
      <w:r>
        <w:rPr>
          <w:rFonts w:ascii="Calibri Light" w:hAnsi="Calibri Light"/>
          <w:sz w:val="26"/>
          <w:szCs w:val="26"/>
        </w:rPr>
        <w:t xml:space="preserve"> to the review </w:t>
      </w:r>
      <w:r w:rsidR="00B40C0C">
        <w:rPr>
          <w:rFonts w:ascii="Calibri Light" w:hAnsi="Calibri Light"/>
          <w:sz w:val="26"/>
          <w:szCs w:val="26"/>
        </w:rPr>
        <w:t>period</w:t>
      </w:r>
    </w:p>
    <w:p w:rsidR="00DD4845" w:rsidRPr="005E0320" w:rsidRDefault="00DD4845" w:rsidP="00DD4845">
      <w:pPr>
        <w:pStyle w:val="NormalNumbering"/>
        <w:numPr>
          <w:ilvl w:val="0"/>
          <w:numId w:val="9"/>
        </w:numPr>
        <w:spacing w:after="120"/>
        <w:rPr>
          <w:rFonts w:ascii="Calibri Light" w:hAnsi="Calibri Light"/>
          <w:sz w:val="26"/>
          <w:szCs w:val="26"/>
        </w:rPr>
      </w:pPr>
      <w:r w:rsidRPr="005E0320">
        <w:rPr>
          <w:rFonts w:ascii="Calibri Light" w:hAnsi="Calibri Light"/>
          <w:sz w:val="26"/>
          <w:szCs w:val="26"/>
        </w:rPr>
        <w:t>the standard operating procedures (SOP</w:t>
      </w:r>
      <w:r w:rsidR="006B4BCC">
        <w:rPr>
          <w:rFonts w:ascii="Calibri Light" w:hAnsi="Calibri Light"/>
          <w:sz w:val="26"/>
          <w:szCs w:val="26"/>
        </w:rPr>
        <w:t>s</w:t>
      </w:r>
      <w:r w:rsidRPr="005E0320">
        <w:rPr>
          <w:rFonts w:ascii="Calibri Light" w:hAnsi="Calibri Light"/>
          <w:sz w:val="26"/>
          <w:szCs w:val="26"/>
        </w:rPr>
        <w:t>), and associated documents, for specified PEQ premises</w:t>
      </w:r>
    </w:p>
    <w:p w:rsidR="00D54E40" w:rsidRDefault="00D54E40" w:rsidP="00DD4845">
      <w:pPr>
        <w:pStyle w:val="NormalNumbering"/>
        <w:numPr>
          <w:ilvl w:val="0"/>
          <w:numId w:val="9"/>
        </w:numPr>
        <w:spacing w:after="12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details of </w:t>
      </w:r>
      <w:r w:rsidR="00543BF5">
        <w:rPr>
          <w:rFonts w:ascii="Calibri Light" w:hAnsi="Calibri Light"/>
          <w:sz w:val="26"/>
          <w:szCs w:val="26"/>
        </w:rPr>
        <w:t xml:space="preserve">any </w:t>
      </w:r>
      <w:r>
        <w:rPr>
          <w:rFonts w:ascii="Calibri Light" w:hAnsi="Calibri Light"/>
          <w:sz w:val="26"/>
          <w:szCs w:val="26"/>
        </w:rPr>
        <w:t>biosecurity incidents</w:t>
      </w:r>
      <w:r w:rsidR="00543BF5">
        <w:rPr>
          <w:rFonts w:ascii="Calibri Light" w:hAnsi="Calibri Light"/>
          <w:sz w:val="26"/>
          <w:szCs w:val="26"/>
        </w:rPr>
        <w:t xml:space="preserve">, including handling procedures, </w:t>
      </w:r>
      <w:r>
        <w:rPr>
          <w:rFonts w:ascii="Calibri Light" w:hAnsi="Calibri Light"/>
          <w:sz w:val="26"/>
          <w:szCs w:val="26"/>
        </w:rPr>
        <w:t xml:space="preserve">reported to the </w:t>
      </w:r>
      <w:r w:rsidR="00B40C0C">
        <w:rPr>
          <w:rFonts w:ascii="Calibri Light" w:hAnsi="Calibri Light"/>
          <w:sz w:val="26"/>
          <w:szCs w:val="26"/>
        </w:rPr>
        <w:t>d</w:t>
      </w:r>
      <w:r>
        <w:rPr>
          <w:rFonts w:ascii="Calibri Light" w:hAnsi="Calibri Light"/>
          <w:sz w:val="26"/>
          <w:szCs w:val="26"/>
        </w:rPr>
        <w:t xml:space="preserve">epartment in the </w:t>
      </w:r>
      <w:r w:rsidR="00B40C0C">
        <w:rPr>
          <w:rFonts w:ascii="Calibri Light" w:hAnsi="Calibri Light"/>
          <w:sz w:val="26"/>
          <w:szCs w:val="26"/>
        </w:rPr>
        <w:t>three months pr</w:t>
      </w:r>
      <w:r w:rsidR="006B4BCC">
        <w:rPr>
          <w:rFonts w:ascii="Calibri Light" w:hAnsi="Calibri Light"/>
          <w:sz w:val="26"/>
          <w:szCs w:val="26"/>
        </w:rPr>
        <w:t>ior</w:t>
      </w:r>
      <w:r w:rsidR="00B40C0C">
        <w:rPr>
          <w:rFonts w:ascii="Calibri Light" w:hAnsi="Calibri Light"/>
          <w:sz w:val="26"/>
          <w:szCs w:val="26"/>
        </w:rPr>
        <w:t xml:space="preserve"> to the </w:t>
      </w:r>
      <w:r>
        <w:rPr>
          <w:rFonts w:ascii="Calibri Light" w:hAnsi="Calibri Light"/>
          <w:sz w:val="26"/>
          <w:szCs w:val="26"/>
        </w:rPr>
        <w:t>review period.</w:t>
      </w:r>
    </w:p>
    <w:p w:rsidR="00DD4845" w:rsidRDefault="00DD4845" w:rsidP="005E0320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 w:rsidRPr="00DD4845">
        <w:rPr>
          <w:rFonts w:ascii="Calibri Light" w:hAnsi="Calibri Light"/>
          <w:sz w:val="26"/>
          <w:szCs w:val="26"/>
        </w:rPr>
        <w:t>As at the 1</w:t>
      </w:r>
      <w:r w:rsidRPr="005E0320">
        <w:rPr>
          <w:rFonts w:ascii="Calibri Light" w:hAnsi="Calibri Light"/>
          <w:sz w:val="26"/>
          <w:szCs w:val="26"/>
        </w:rPr>
        <w:t>st</w:t>
      </w:r>
      <w:r w:rsidRPr="00DD4845"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sz w:val="26"/>
          <w:szCs w:val="26"/>
        </w:rPr>
        <w:t>June 2014</w:t>
      </w:r>
      <w:r w:rsidR="00B40C0C">
        <w:rPr>
          <w:rFonts w:ascii="Calibri Light" w:hAnsi="Calibri Light"/>
          <w:sz w:val="26"/>
          <w:szCs w:val="26"/>
        </w:rPr>
        <w:t xml:space="preserve">, 19 offshore </w:t>
      </w:r>
      <w:r w:rsidRPr="00DD4845">
        <w:rPr>
          <w:rFonts w:ascii="Calibri Light" w:hAnsi="Calibri Light"/>
          <w:sz w:val="26"/>
          <w:szCs w:val="26"/>
        </w:rPr>
        <w:t>PEQ facilities</w:t>
      </w:r>
      <w:r w:rsidR="00C40F34">
        <w:rPr>
          <w:rFonts w:ascii="Calibri Light" w:hAnsi="Calibri Light"/>
          <w:sz w:val="26"/>
          <w:szCs w:val="26"/>
        </w:rPr>
        <w:t xml:space="preserve"> </w:t>
      </w:r>
      <w:r w:rsidR="00B40C0C">
        <w:rPr>
          <w:rFonts w:ascii="Calibri Light" w:hAnsi="Calibri Light"/>
          <w:sz w:val="26"/>
          <w:szCs w:val="26"/>
        </w:rPr>
        <w:t xml:space="preserve">were approved for </w:t>
      </w:r>
      <w:r w:rsidR="006B4BCC">
        <w:rPr>
          <w:rFonts w:ascii="Calibri Light" w:hAnsi="Calibri Light"/>
          <w:sz w:val="26"/>
          <w:szCs w:val="26"/>
        </w:rPr>
        <w:t>ex</w:t>
      </w:r>
      <w:r w:rsidR="00B40C0C">
        <w:rPr>
          <w:rFonts w:ascii="Calibri Light" w:hAnsi="Calibri Light"/>
          <w:sz w:val="26"/>
          <w:szCs w:val="26"/>
        </w:rPr>
        <w:t xml:space="preserve">porting horses to Australia. All 19 PEQ facilities </w:t>
      </w:r>
      <w:r w:rsidR="00C40F34">
        <w:rPr>
          <w:rFonts w:ascii="Calibri Light" w:hAnsi="Calibri Light"/>
          <w:sz w:val="26"/>
          <w:szCs w:val="26"/>
        </w:rPr>
        <w:t>were assessed as part of this review.</w:t>
      </w:r>
    </w:p>
    <w:p w:rsidR="00982D09" w:rsidRDefault="00982D09" w:rsidP="005E0320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No </w:t>
      </w:r>
      <w:r w:rsidR="00B40C0C">
        <w:rPr>
          <w:rFonts w:ascii="Calibri Light" w:hAnsi="Calibri Light"/>
          <w:sz w:val="26"/>
          <w:szCs w:val="26"/>
        </w:rPr>
        <w:t>PAQ</w:t>
      </w:r>
      <w:r>
        <w:rPr>
          <w:rFonts w:ascii="Calibri Light" w:hAnsi="Calibri Light"/>
          <w:sz w:val="26"/>
          <w:szCs w:val="26"/>
        </w:rPr>
        <w:t xml:space="preserve"> facilities were inspected during this review period.</w:t>
      </w:r>
    </w:p>
    <w:p w:rsidR="00E22F94" w:rsidRDefault="006B4BCC" w:rsidP="00B105DB">
      <w:pPr>
        <w:pStyle w:val="Heading2"/>
        <w:spacing w:after="120"/>
        <w:rPr>
          <w:rFonts w:ascii="Cambria" w:hAnsi="Cambria"/>
        </w:rPr>
      </w:pPr>
      <w:bookmarkStart w:id="7" w:name="_Toc409530886"/>
      <w:r>
        <w:rPr>
          <w:rFonts w:ascii="Cambria" w:hAnsi="Cambria"/>
        </w:rPr>
        <w:t>Conclusion</w:t>
      </w:r>
      <w:bookmarkEnd w:id="7"/>
    </w:p>
    <w:p w:rsidR="00982D09" w:rsidRPr="00982D09" w:rsidRDefault="00982D09" w:rsidP="00B56EE8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 w:rsidRPr="00982D09">
        <w:rPr>
          <w:rFonts w:ascii="Calibri Light" w:hAnsi="Calibri Light"/>
          <w:sz w:val="26"/>
          <w:szCs w:val="26"/>
        </w:rPr>
        <w:t>The IIGB note</w:t>
      </w:r>
      <w:r>
        <w:rPr>
          <w:rFonts w:ascii="Calibri Light" w:hAnsi="Calibri Light"/>
          <w:sz w:val="26"/>
          <w:szCs w:val="26"/>
        </w:rPr>
        <w:t>s</w:t>
      </w:r>
      <w:r w:rsidRPr="00982D09">
        <w:rPr>
          <w:rFonts w:ascii="Calibri Light" w:hAnsi="Calibri Light"/>
          <w:sz w:val="26"/>
          <w:szCs w:val="26"/>
        </w:rPr>
        <w:t xml:space="preserve"> that </w:t>
      </w:r>
      <w:r>
        <w:rPr>
          <w:rFonts w:ascii="Calibri Light" w:hAnsi="Calibri Light"/>
          <w:sz w:val="26"/>
          <w:szCs w:val="26"/>
        </w:rPr>
        <w:t xml:space="preserve">the </w:t>
      </w:r>
      <w:r w:rsidR="00792A10">
        <w:rPr>
          <w:rFonts w:ascii="Calibri Light" w:hAnsi="Calibri Light"/>
          <w:sz w:val="26"/>
          <w:szCs w:val="26"/>
        </w:rPr>
        <w:t>department</w:t>
      </w:r>
      <w:r>
        <w:rPr>
          <w:rFonts w:ascii="Calibri Light" w:hAnsi="Calibri Light"/>
          <w:sz w:val="26"/>
          <w:szCs w:val="26"/>
        </w:rPr>
        <w:t>’s biosecurity risk management procedures for</w:t>
      </w:r>
      <w:r w:rsidRPr="00982D09">
        <w:rPr>
          <w:rFonts w:ascii="Calibri Light" w:hAnsi="Calibri Light"/>
          <w:sz w:val="26"/>
          <w:szCs w:val="26"/>
        </w:rPr>
        <w:t xml:space="preserve"> importing horse to Australia </w:t>
      </w:r>
      <w:r w:rsidR="006B4BCC">
        <w:rPr>
          <w:rFonts w:ascii="Calibri Light" w:hAnsi="Calibri Light"/>
          <w:sz w:val="26"/>
          <w:szCs w:val="26"/>
        </w:rPr>
        <w:t>appear to be</w:t>
      </w:r>
      <w:r w:rsidR="00792A10">
        <w:rPr>
          <w:rFonts w:ascii="Calibri Light" w:hAnsi="Calibri Light"/>
          <w:sz w:val="26"/>
          <w:szCs w:val="26"/>
        </w:rPr>
        <w:t xml:space="preserve"> satisfactory. </w:t>
      </w:r>
      <w:r w:rsidR="006B4BCC">
        <w:rPr>
          <w:rFonts w:ascii="Calibri Light" w:hAnsi="Calibri Light"/>
          <w:sz w:val="26"/>
          <w:szCs w:val="26"/>
        </w:rPr>
        <w:t>Consequently,</w:t>
      </w:r>
      <w:r w:rsidRPr="00982D09">
        <w:rPr>
          <w:rFonts w:ascii="Calibri Light" w:hAnsi="Calibri Light"/>
          <w:sz w:val="26"/>
          <w:szCs w:val="26"/>
        </w:rPr>
        <w:t xml:space="preserve"> no recommendations or findings were r</w:t>
      </w:r>
      <w:r>
        <w:rPr>
          <w:rFonts w:ascii="Calibri Light" w:hAnsi="Calibri Light"/>
          <w:sz w:val="26"/>
          <w:szCs w:val="26"/>
        </w:rPr>
        <w:t>aised as part of this review.</w:t>
      </w:r>
    </w:p>
    <w:p w:rsidR="00E22F94" w:rsidRPr="00E22F94" w:rsidRDefault="00982D09" w:rsidP="00B105DB">
      <w:pPr>
        <w:pStyle w:val="Heading2"/>
        <w:spacing w:after="120"/>
        <w:rPr>
          <w:rFonts w:ascii="Cambria" w:hAnsi="Cambria"/>
        </w:rPr>
      </w:pPr>
      <w:bookmarkStart w:id="8" w:name="_Toc409530887"/>
      <w:r>
        <w:rPr>
          <w:rFonts w:ascii="Cambria" w:hAnsi="Cambria"/>
        </w:rPr>
        <w:t>Ne</w:t>
      </w:r>
      <w:r w:rsidR="00C344F4">
        <w:rPr>
          <w:rFonts w:ascii="Cambria" w:hAnsi="Cambria"/>
        </w:rPr>
        <w:t>xt</w:t>
      </w:r>
      <w:r>
        <w:rPr>
          <w:rFonts w:ascii="Cambria" w:hAnsi="Cambria"/>
        </w:rPr>
        <w:t xml:space="preserve"> review cycle</w:t>
      </w:r>
      <w:bookmarkEnd w:id="8"/>
    </w:p>
    <w:p w:rsidR="00E22F94" w:rsidRPr="00857CE3" w:rsidRDefault="00982D09" w:rsidP="004200DB">
      <w:pPr>
        <w:pStyle w:val="NormalNumbering"/>
        <w:numPr>
          <w:ilvl w:val="0"/>
          <w:numId w:val="2"/>
        </w:numPr>
        <w:spacing w:after="120"/>
        <w:ind w:left="0" w:firstLine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Th</w:t>
      </w:r>
      <w:r w:rsidR="006B4BCC">
        <w:rPr>
          <w:rFonts w:ascii="Calibri Light" w:hAnsi="Calibri Light"/>
          <w:sz w:val="26"/>
          <w:szCs w:val="26"/>
        </w:rPr>
        <w:t>e</w:t>
      </w:r>
      <w:r>
        <w:rPr>
          <w:rFonts w:ascii="Calibri Light" w:hAnsi="Calibri Light"/>
          <w:sz w:val="26"/>
          <w:szCs w:val="26"/>
        </w:rPr>
        <w:t xml:space="preserve"> IIGB’s next review cycle </w:t>
      </w:r>
      <w:r w:rsidR="006B4BCC">
        <w:rPr>
          <w:rFonts w:ascii="Calibri Light" w:hAnsi="Calibri Light"/>
          <w:sz w:val="26"/>
          <w:szCs w:val="26"/>
        </w:rPr>
        <w:t>for horse imports is scheduled to</w:t>
      </w:r>
      <w:r>
        <w:rPr>
          <w:rFonts w:ascii="Calibri Light" w:hAnsi="Calibri Light"/>
          <w:sz w:val="26"/>
          <w:szCs w:val="26"/>
        </w:rPr>
        <w:t xml:space="preserve"> commence in January 2015.</w:t>
      </w:r>
    </w:p>
    <w:p w:rsidR="00A44D27" w:rsidRDefault="00A44D27">
      <w:pPr>
        <w:rPr>
          <w:rFonts w:ascii="Cambria" w:hAnsi="Cambria" w:cs="Arial"/>
          <w:b/>
          <w:bCs/>
          <w:iCs/>
          <w:noProof/>
          <w:sz w:val="28"/>
          <w:szCs w:val="28"/>
        </w:rPr>
      </w:pPr>
    </w:p>
    <w:p w:rsidR="000A7F11" w:rsidRDefault="000A7F11">
      <w:pPr>
        <w:rPr>
          <w:rFonts w:ascii="Cambria" w:hAnsi="Cambria" w:cs="Arial"/>
          <w:b/>
          <w:bCs/>
          <w:iCs/>
          <w:noProof/>
          <w:sz w:val="28"/>
          <w:szCs w:val="28"/>
        </w:rPr>
      </w:pPr>
    </w:p>
    <w:p w:rsidR="000A7F11" w:rsidRDefault="00252DD6">
      <w:pPr>
        <w:rPr>
          <w:rFonts w:ascii="Cambria" w:hAnsi="Cambria" w:cs="Arial"/>
          <w:b/>
          <w:bCs/>
          <w:iCs/>
          <w:noProof/>
          <w:sz w:val="28"/>
          <w:szCs w:val="28"/>
        </w:rPr>
      </w:pPr>
      <w:r>
        <w:rPr>
          <w:rFonts w:ascii="Cambria" w:hAnsi="Cambria" w:cs="Arial"/>
          <w:b/>
          <w:bCs/>
          <w:iCs/>
          <w:noProof/>
          <w:sz w:val="28"/>
          <w:szCs w:val="28"/>
        </w:rPr>
        <w:t>[signed]</w:t>
      </w:r>
    </w:p>
    <w:p w:rsidR="000A7F11" w:rsidRDefault="000A7F11">
      <w:pPr>
        <w:rPr>
          <w:rFonts w:ascii="Cambria" w:hAnsi="Cambria" w:cs="Arial"/>
          <w:b/>
          <w:bCs/>
          <w:iCs/>
          <w:noProof/>
          <w:sz w:val="28"/>
          <w:szCs w:val="28"/>
        </w:rPr>
      </w:pPr>
    </w:p>
    <w:p w:rsidR="000A7F11" w:rsidRDefault="000A7F11">
      <w:pPr>
        <w:rPr>
          <w:rFonts w:ascii="Cambria" w:hAnsi="Cambria" w:cs="Arial"/>
          <w:b/>
          <w:bCs/>
          <w:iCs/>
          <w:noProof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80"/>
      </w:tblGrid>
      <w:tr w:rsidR="00F04408" w:rsidRPr="00BC7DE8">
        <w:tc>
          <w:tcPr>
            <w:tcW w:w="5280" w:type="dxa"/>
            <w:tcBorders>
              <w:top w:val="single" w:sz="4" w:space="0" w:color="auto"/>
            </w:tcBorders>
            <w:vAlign w:val="center"/>
          </w:tcPr>
          <w:p w:rsidR="00F04408" w:rsidRPr="00BC7DE8" w:rsidRDefault="0053277A" w:rsidP="00CC50C1">
            <w:pPr>
              <w:rPr>
                <w:rFonts w:ascii="Calibri Light" w:hAnsi="Calibri Light" w:cs="Calibri"/>
                <w:sz w:val="26"/>
                <w:szCs w:val="26"/>
              </w:rPr>
            </w:pPr>
            <w:r w:rsidRPr="00BC7DE8">
              <w:rPr>
                <w:rFonts w:ascii="Calibri Light" w:hAnsi="Calibri Light" w:cs="Calibri"/>
                <w:sz w:val="26"/>
                <w:szCs w:val="26"/>
              </w:rPr>
              <w:t xml:space="preserve">Dr </w:t>
            </w:r>
            <w:r w:rsidR="0016294C" w:rsidRPr="00BC7DE8">
              <w:rPr>
                <w:rFonts w:ascii="Calibri Light" w:hAnsi="Calibri Light" w:cs="Calibri"/>
                <w:sz w:val="26"/>
                <w:szCs w:val="26"/>
              </w:rPr>
              <w:t>Michael Bond</w:t>
            </w:r>
            <w:r w:rsidRPr="00BC7DE8">
              <w:rPr>
                <w:rFonts w:ascii="Calibri Light" w:hAnsi="Calibri Light" w:cs="Calibri"/>
                <w:sz w:val="26"/>
                <w:szCs w:val="26"/>
              </w:rPr>
              <w:br/>
              <w:t>Interim Inspector-</w:t>
            </w:r>
            <w:r w:rsidR="00F04408" w:rsidRPr="00BC7DE8">
              <w:rPr>
                <w:rFonts w:ascii="Calibri Light" w:hAnsi="Calibri Light" w:cs="Calibri"/>
                <w:sz w:val="26"/>
                <w:szCs w:val="26"/>
              </w:rPr>
              <w:t>General of Biosecurity</w:t>
            </w:r>
          </w:p>
          <w:p w:rsidR="0080196F" w:rsidRPr="00BC7DE8" w:rsidRDefault="00613E8F" w:rsidP="00F60788">
            <w:pPr>
              <w:rPr>
                <w:rFonts w:ascii="Calibri Light" w:hAnsi="Calibri Light" w:cs="Calibri"/>
                <w:sz w:val="26"/>
                <w:szCs w:val="26"/>
              </w:rPr>
            </w:pPr>
            <w:r>
              <w:rPr>
                <w:rFonts w:ascii="Calibri Light" w:hAnsi="Calibri Light" w:cs="Calibri"/>
                <w:sz w:val="26"/>
                <w:szCs w:val="26"/>
              </w:rPr>
              <w:t xml:space="preserve"> 20</w:t>
            </w:r>
            <w:r w:rsidR="00F60788">
              <w:rPr>
                <w:rFonts w:ascii="Calibri Light" w:hAnsi="Calibri Light" w:cs="Calibri"/>
                <w:sz w:val="26"/>
                <w:szCs w:val="26"/>
              </w:rPr>
              <w:t xml:space="preserve"> January 2015</w:t>
            </w:r>
          </w:p>
        </w:tc>
      </w:tr>
    </w:tbl>
    <w:p w:rsidR="00127D3E" w:rsidRPr="00677A1E" w:rsidRDefault="00127D3E" w:rsidP="00730327">
      <w:pPr>
        <w:pStyle w:val="Heading3"/>
        <w:jc w:val="center"/>
        <w:rPr>
          <w:b w:val="0"/>
        </w:rPr>
      </w:pPr>
    </w:p>
    <w:sectPr w:rsidR="00127D3E" w:rsidRPr="00677A1E" w:rsidSect="002F7C1F">
      <w:headerReference w:type="default" r:id="rId11"/>
      <w:pgSz w:w="11906" w:h="16838"/>
      <w:pgMar w:top="1440" w:right="156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C2" w:rsidRDefault="00DC65C2">
      <w:r>
        <w:separator/>
      </w:r>
    </w:p>
    <w:p w:rsidR="00DC65C2" w:rsidRDefault="00DC65C2"/>
    <w:p w:rsidR="00DC65C2" w:rsidRDefault="00DC65C2"/>
    <w:p w:rsidR="00DC65C2" w:rsidRDefault="00DC65C2"/>
  </w:endnote>
  <w:endnote w:type="continuationSeparator" w:id="0">
    <w:p w:rsidR="00DC65C2" w:rsidRDefault="00DC65C2">
      <w:r>
        <w:continuationSeparator/>
      </w:r>
    </w:p>
    <w:p w:rsidR="00DC65C2" w:rsidRDefault="00DC65C2"/>
    <w:p w:rsidR="00DC65C2" w:rsidRDefault="00DC65C2"/>
    <w:p w:rsidR="00DC65C2" w:rsidRDefault="00DC65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8E" w:rsidRDefault="00592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4C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C8E" w:rsidRDefault="002E4C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8E" w:rsidRDefault="00592E0B">
    <w:pPr>
      <w:pStyle w:val="Footer"/>
    </w:pPr>
    <w:fldSimple w:instr=" PAGE   \* MERGEFORMAT ">
      <w:r w:rsidR="00EC64D8">
        <w:rPr>
          <w:noProof/>
        </w:rPr>
        <w:t>2</w:t>
      </w:r>
    </w:fldSimple>
  </w:p>
  <w:p w:rsidR="002E4C8E" w:rsidRDefault="002E4C8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C2" w:rsidRDefault="00DC65C2">
      <w:r>
        <w:separator/>
      </w:r>
    </w:p>
  </w:footnote>
  <w:footnote w:type="continuationSeparator" w:id="0">
    <w:p w:rsidR="00DC65C2" w:rsidRDefault="00DC65C2">
      <w:r>
        <w:continuationSeparator/>
      </w:r>
    </w:p>
  </w:footnote>
  <w:footnote w:type="continuationNotice" w:id="1">
    <w:p w:rsidR="00DC65C2" w:rsidRDefault="00DC65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8E" w:rsidRPr="002F7C1F" w:rsidRDefault="002E4C8E" w:rsidP="002F7C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4A2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5D59"/>
    <w:multiLevelType w:val="hybridMultilevel"/>
    <w:tmpl w:val="E4C4D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2D6C"/>
    <w:multiLevelType w:val="hybridMultilevel"/>
    <w:tmpl w:val="A8426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454BB"/>
    <w:multiLevelType w:val="hybridMultilevel"/>
    <w:tmpl w:val="BFD62C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B580F"/>
    <w:multiLevelType w:val="hybridMultilevel"/>
    <w:tmpl w:val="10AE2798"/>
    <w:lvl w:ilvl="0" w:tplc="F82E918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F0F7A24"/>
    <w:multiLevelType w:val="hybridMultilevel"/>
    <w:tmpl w:val="C2246118"/>
    <w:lvl w:ilvl="0" w:tplc="F82E9186">
      <w:start w:val="1"/>
      <w:numFmt w:val="decimal"/>
      <w:pStyle w:val="NormalNumbering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90003">
      <w:start w:val="1"/>
      <w:numFmt w:val="lowerLetter"/>
      <w:lvlText w:val="%2."/>
      <w:lvlJc w:val="left"/>
      <w:pPr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0A5DB8"/>
    <w:multiLevelType w:val="hybridMultilevel"/>
    <w:tmpl w:val="40E62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4F2B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removePersonalInformation/>
  <w:removeDateAndTime/>
  <w:proofState w:spelling="clean" w:grammar="clean"/>
  <w:stylePaneFormatFilter w:val="300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/>
  <w:rsids>
    <w:rsidRoot w:val="00220C70"/>
    <w:rsid w:val="00015B31"/>
    <w:rsid w:val="00020D5D"/>
    <w:rsid w:val="000218EC"/>
    <w:rsid w:val="00036733"/>
    <w:rsid w:val="000367CA"/>
    <w:rsid w:val="00037F34"/>
    <w:rsid w:val="00043448"/>
    <w:rsid w:val="00076EEB"/>
    <w:rsid w:val="00077469"/>
    <w:rsid w:val="000818D3"/>
    <w:rsid w:val="00086E40"/>
    <w:rsid w:val="000939BC"/>
    <w:rsid w:val="000A6B71"/>
    <w:rsid w:val="000A7F11"/>
    <w:rsid w:val="000B0B7C"/>
    <w:rsid w:val="000C43AD"/>
    <w:rsid w:val="000F5914"/>
    <w:rsid w:val="000F755B"/>
    <w:rsid w:val="00112FEB"/>
    <w:rsid w:val="00114658"/>
    <w:rsid w:val="0011764F"/>
    <w:rsid w:val="00127D3E"/>
    <w:rsid w:val="00133341"/>
    <w:rsid w:val="00142713"/>
    <w:rsid w:val="0014620C"/>
    <w:rsid w:val="0015552D"/>
    <w:rsid w:val="0016294C"/>
    <w:rsid w:val="00177D36"/>
    <w:rsid w:val="00190DAE"/>
    <w:rsid w:val="0019331F"/>
    <w:rsid w:val="001A218F"/>
    <w:rsid w:val="001A59D3"/>
    <w:rsid w:val="001B5DF7"/>
    <w:rsid w:val="001C35A8"/>
    <w:rsid w:val="001C3FBD"/>
    <w:rsid w:val="001D1CB0"/>
    <w:rsid w:val="001D77D6"/>
    <w:rsid w:val="001F675B"/>
    <w:rsid w:val="002019CC"/>
    <w:rsid w:val="00213D46"/>
    <w:rsid w:val="00220C70"/>
    <w:rsid w:val="00223330"/>
    <w:rsid w:val="00252DD6"/>
    <w:rsid w:val="0027116F"/>
    <w:rsid w:val="00275288"/>
    <w:rsid w:val="00277C20"/>
    <w:rsid w:val="00286113"/>
    <w:rsid w:val="00290587"/>
    <w:rsid w:val="002973C1"/>
    <w:rsid w:val="002A1543"/>
    <w:rsid w:val="002B3C4E"/>
    <w:rsid w:val="002E4C8E"/>
    <w:rsid w:val="002F7C1F"/>
    <w:rsid w:val="0030157C"/>
    <w:rsid w:val="003024E4"/>
    <w:rsid w:val="0030540C"/>
    <w:rsid w:val="0030796E"/>
    <w:rsid w:val="00326D3E"/>
    <w:rsid w:val="0034220E"/>
    <w:rsid w:val="00363435"/>
    <w:rsid w:val="00363798"/>
    <w:rsid w:val="00373956"/>
    <w:rsid w:val="003A100F"/>
    <w:rsid w:val="003B6F1A"/>
    <w:rsid w:val="003B7FF5"/>
    <w:rsid w:val="003C51A9"/>
    <w:rsid w:val="003C740A"/>
    <w:rsid w:val="003D6206"/>
    <w:rsid w:val="0040367E"/>
    <w:rsid w:val="004200DB"/>
    <w:rsid w:val="00422B6E"/>
    <w:rsid w:val="00423527"/>
    <w:rsid w:val="0042799D"/>
    <w:rsid w:val="00430D40"/>
    <w:rsid w:val="00432844"/>
    <w:rsid w:val="00433C12"/>
    <w:rsid w:val="0044189A"/>
    <w:rsid w:val="00446322"/>
    <w:rsid w:val="004700AB"/>
    <w:rsid w:val="004825F2"/>
    <w:rsid w:val="004A1E68"/>
    <w:rsid w:val="004A5A61"/>
    <w:rsid w:val="004A66E3"/>
    <w:rsid w:val="004C3835"/>
    <w:rsid w:val="004C7E9B"/>
    <w:rsid w:val="004E3431"/>
    <w:rsid w:val="004F0A3E"/>
    <w:rsid w:val="004F54B1"/>
    <w:rsid w:val="004F595B"/>
    <w:rsid w:val="005023E9"/>
    <w:rsid w:val="0050488F"/>
    <w:rsid w:val="00512090"/>
    <w:rsid w:val="00525F4C"/>
    <w:rsid w:val="0053277A"/>
    <w:rsid w:val="00543BF5"/>
    <w:rsid w:val="00545362"/>
    <w:rsid w:val="005465C9"/>
    <w:rsid w:val="00570136"/>
    <w:rsid w:val="005724DE"/>
    <w:rsid w:val="00573CBC"/>
    <w:rsid w:val="005863D4"/>
    <w:rsid w:val="00592E0B"/>
    <w:rsid w:val="005B0217"/>
    <w:rsid w:val="005B7CE8"/>
    <w:rsid w:val="005E0320"/>
    <w:rsid w:val="005E2250"/>
    <w:rsid w:val="005E53AA"/>
    <w:rsid w:val="00613E8F"/>
    <w:rsid w:val="0062377D"/>
    <w:rsid w:val="00641DB8"/>
    <w:rsid w:val="00654580"/>
    <w:rsid w:val="00656E45"/>
    <w:rsid w:val="00677A1E"/>
    <w:rsid w:val="00697BB4"/>
    <w:rsid w:val="006B3B02"/>
    <w:rsid w:val="006B4BCC"/>
    <w:rsid w:val="006B4E57"/>
    <w:rsid w:val="006E7A69"/>
    <w:rsid w:val="006F35E4"/>
    <w:rsid w:val="007169C0"/>
    <w:rsid w:val="00716D03"/>
    <w:rsid w:val="00721F23"/>
    <w:rsid w:val="0072276F"/>
    <w:rsid w:val="00730327"/>
    <w:rsid w:val="007313FF"/>
    <w:rsid w:val="00745A80"/>
    <w:rsid w:val="00756A86"/>
    <w:rsid w:val="00764901"/>
    <w:rsid w:val="00765441"/>
    <w:rsid w:val="00770FDE"/>
    <w:rsid w:val="00792A10"/>
    <w:rsid w:val="007B272D"/>
    <w:rsid w:val="007B4A71"/>
    <w:rsid w:val="007B5B5D"/>
    <w:rsid w:val="007C0367"/>
    <w:rsid w:val="007C240B"/>
    <w:rsid w:val="007C53E5"/>
    <w:rsid w:val="007D2CA1"/>
    <w:rsid w:val="007D394D"/>
    <w:rsid w:val="0080196F"/>
    <w:rsid w:val="00802D86"/>
    <w:rsid w:val="00831F5A"/>
    <w:rsid w:val="00832284"/>
    <w:rsid w:val="00857CE3"/>
    <w:rsid w:val="008601B5"/>
    <w:rsid w:val="008605B6"/>
    <w:rsid w:val="008663FA"/>
    <w:rsid w:val="008664AD"/>
    <w:rsid w:val="008A5761"/>
    <w:rsid w:val="008B4372"/>
    <w:rsid w:val="008E72B7"/>
    <w:rsid w:val="008F2493"/>
    <w:rsid w:val="008F7BCC"/>
    <w:rsid w:val="00905708"/>
    <w:rsid w:val="00931740"/>
    <w:rsid w:val="00933FCB"/>
    <w:rsid w:val="00935917"/>
    <w:rsid w:val="00935FB0"/>
    <w:rsid w:val="009362C1"/>
    <w:rsid w:val="009507A8"/>
    <w:rsid w:val="009761BC"/>
    <w:rsid w:val="00982D09"/>
    <w:rsid w:val="00993713"/>
    <w:rsid w:val="009A7987"/>
    <w:rsid w:val="009B417B"/>
    <w:rsid w:val="009C45A9"/>
    <w:rsid w:val="009C7438"/>
    <w:rsid w:val="009E3905"/>
    <w:rsid w:val="00A22ED7"/>
    <w:rsid w:val="00A44D27"/>
    <w:rsid w:val="00A453DB"/>
    <w:rsid w:val="00A50698"/>
    <w:rsid w:val="00A54154"/>
    <w:rsid w:val="00A714DC"/>
    <w:rsid w:val="00A77B31"/>
    <w:rsid w:val="00A91002"/>
    <w:rsid w:val="00A96AB0"/>
    <w:rsid w:val="00A970D6"/>
    <w:rsid w:val="00AE5C4E"/>
    <w:rsid w:val="00AE66C0"/>
    <w:rsid w:val="00AF00EB"/>
    <w:rsid w:val="00B0129D"/>
    <w:rsid w:val="00B01A7B"/>
    <w:rsid w:val="00B105DB"/>
    <w:rsid w:val="00B1638A"/>
    <w:rsid w:val="00B40C0C"/>
    <w:rsid w:val="00B56EE8"/>
    <w:rsid w:val="00B64062"/>
    <w:rsid w:val="00B83879"/>
    <w:rsid w:val="00B955A6"/>
    <w:rsid w:val="00BA3364"/>
    <w:rsid w:val="00BB22B8"/>
    <w:rsid w:val="00BB35AF"/>
    <w:rsid w:val="00BB7673"/>
    <w:rsid w:val="00BC27FB"/>
    <w:rsid w:val="00BC7DE8"/>
    <w:rsid w:val="00BC7FB5"/>
    <w:rsid w:val="00BD2A1A"/>
    <w:rsid w:val="00BF665F"/>
    <w:rsid w:val="00C03387"/>
    <w:rsid w:val="00C21D13"/>
    <w:rsid w:val="00C344F4"/>
    <w:rsid w:val="00C40F34"/>
    <w:rsid w:val="00C41AC1"/>
    <w:rsid w:val="00C536A5"/>
    <w:rsid w:val="00C63CAE"/>
    <w:rsid w:val="00C77C8D"/>
    <w:rsid w:val="00C80BE1"/>
    <w:rsid w:val="00C9056B"/>
    <w:rsid w:val="00CB12C6"/>
    <w:rsid w:val="00CB182C"/>
    <w:rsid w:val="00CB6082"/>
    <w:rsid w:val="00CC4D03"/>
    <w:rsid w:val="00CC50C1"/>
    <w:rsid w:val="00CD118F"/>
    <w:rsid w:val="00CE203F"/>
    <w:rsid w:val="00CF259F"/>
    <w:rsid w:val="00CF4DCA"/>
    <w:rsid w:val="00CF4EEE"/>
    <w:rsid w:val="00D04DE3"/>
    <w:rsid w:val="00D13AD7"/>
    <w:rsid w:val="00D149A1"/>
    <w:rsid w:val="00D16FA8"/>
    <w:rsid w:val="00D248AF"/>
    <w:rsid w:val="00D300E3"/>
    <w:rsid w:val="00D33161"/>
    <w:rsid w:val="00D54E40"/>
    <w:rsid w:val="00D74151"/>
    <w:rsid w:val="00DA0A41"/>
    <w:rsid w:val="00DC65C2"/>
    <w:rsid w:val="00DD26A1"/>
    <w:rsid w:val="00DD4845"/>
    <w:rsid w:val="00DE229E"/>
    <w:rsid w:val="00E073C9"/>
    <w:rsid w:val="00E10B08"/>
    <w:rsid w:val="00E22F94"/>
    <w:rsid w:val="00E379D1"/>
    <w:rsid w:val="00E44CC0"/>
    <w:rsid w:val="00E604DF"/>
    <w:rsid w:val="00E708A4"/>
    <w:rsid w:val="00E81311"/>
    <w:rsid w:val="00E90884"/>
    <w:rsid w:val="00EA2219"/>
    <w:rsid w:val="00EA5537"/>
    <w:rsid w:val="00EB709D"/>
    <w:rsid w:val="00EC64D8"/>
    <w:rsid w:val="00EE36A7"/>
    <w:rsid w:val="00F0302A"/>
    <w:rsid w:val="00F04408"/>
    <w:rsid w:val="00F13E6C"/>
    <w:rsid w:val="00F2069C"/>
    <w:rsid w:val="00F47786"/>
    <w:rsid w:val="00F60788"/>
    <w:rsid w:val="00F6683F"/>
    <w:rsid w:val="00F72614"/>
    <w:rsid w:val="00F73017"/>
    <w:rsid w:val="00F7670D"/>
    <w:rsid w:val="00F867FA"/>
    <w:rsid w:val="00F87561"/>
    <w:rsid w:val="00F95A0A"/>
    <w:rsid w:val="00FA70A8"/>
    <w:rsid w:val="00FB5080"/>
    <w:rsid w:val="00FE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6F"/>
    <w:rPr>
      <w:rFonts w:ascii="Trebuchet MS" w:eastAsia="PMingLiU" w:hAnsi="Trebuchet MS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7B4A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276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0F755B"/>
    <w:pPr>
      <w:jc w:val="right"/>
      <w:outlineLvl w:val="2"/>
    </w:pPr>
    <w:rPr>
      <w:rFonts w:ascii="Cambria" w:hAnsi="Cambria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72276F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autoRedefine/>
    <w:qFormat/>
    <w:rsid w:val="0072276F"/>
    <w:pPr>
      <w:spacing w:before="240"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IGBBadge">
    <w:name w:val="IIGB Badge"/>
    <w:basedOn w:val="Normal"/>
    <w:autoRedefine/>
    <w:rsid w:val="0072276F"/>
    <w:pPr>
      <w:ind w:left="3600"/>
      <w:jc w:val="center"/>
    </w:pPr>
    <w:rPr>
      <w:rFonts w:ascii="Palatino Linotype" w:hAnsi="Palatino Linotype"/>
      <w:b/>
      <w:smallCaps/>
      <w:sz w:val="20"/>
    </w:rPr>
  </w:style>
  <w:style w:type="paragraph" w:customStyle="1" w:styleId="Heading1Titletext">
    <w:name w:val="Heading 1 Title text"/>
    <w:basedOn w:val="Heading1"/>
    <w:rsid w:val="0072276F"/>
  </w:style>
  <w:style w:type="paragraph" w:customStyle="1" w:styleId="Normalreportbodytext">
    <w:name w:val="Normal report body text"/>
    <w:basedOn w:val="Normal"/>
    <w:rsid w:val="0072276F"/>
  </w:style>
  <w:style w:type="table" w:styleId="TableGrid">
    <w:name w:val="Table Grid"/>
    <w:basedOn w:val="TableNormal"/>
    <w:rsid w:val="0072276F"/>
    <w:pPr>
      <w:spacing w:before="120" w:after="120"/>
    </w:pPr>
    <w:rPr>
      <w:rFonts w:ascii="Trebuchet MS" w:eastAsia="PMingLiU" w:hAnsi="Trebuchet MS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Recommendationtext">
    <w:name w:val="Recommendation text"/>
    <w:basedOn w:val="Normal"/>
    <w:rsid w:val="0072276F"/>
    <w:rPr>
      <w:b/>
      <w:i/>
    </w:rPr>
  </w:style>
  <w:style w:type="paragraph" w:styleId="Header">
    <w:name w:val="header"/>
    <w:basedOn w:val="Normal"/>
    <w:rsid w:val="0072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rsid w:val="0072276F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72276F"/>
    <w:rPr>
      <w:rFonts w:ascii="Trebuchet MS" w:hAnsi="Trebuchet MS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2276F"/>
    <w:rPr>
      <w:rFonts w:ascii="Trebuchet MS" w:eastAsia="PMingLiU" w:hAnsi="Trebuchet MS"/>
      <w:sz w:val="22"/>
      <w:szCs w:val="22"/>
      <w:lang w:eastAsia="en-AU"/>
    </w:rPr>
  </w:style>
  <w:style w:type="character" w:styleId="CommentReference">
    <w:name w:val="annotation reference"/>
    <w:basedOn w:val="DefaultParagraphFont"/>
    <w:rsid w:val="007227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76F"/>
    <w:rPr>
      <w:rFonts w:ascii="Trebuchet MS" w:eastAsia="PMingLiU" w:hAnsi="Trebuchet MS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72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76F"/>
    <w:rPr>
      <w:b/>
      <w:bCs/>
    </w:rPr>
  </w:style>
  <w:style w:type="paragraph" w:styleId="BalloonText">
    <w:name w:val="Balloon Text"/>
    <w:basedOn w:val="Normal"/>
    <w:link w:val="BalloonTextChar"/>
    <w:rsid w:val="0072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76F"/>
    <w:rPr>
      <w:rFonts w:ascii="Tahoma" w:eastAsia="PMingLiU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rsid w:val="007227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276F"/>
    <w:rPr>
      <w:rFonts w:ascii="Trebuchet MS" w:eastAsia="PMingLiU" w:hAnsi="Trebuchet MS"/>
      <w:lang w:eastAsia="en-AU"/>
    </w:rPr>
  </w:style>
  <w:style w:type="character" w:styleId="FootnoteReference">
    <w:name w:val="footnote reference"/>
    <w:basedOn w:val="DefaultParagraphFont"/>
    <w:rsid w:val="0072276F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72276F"/>
    <w:pPr>
      <w:ind w:left="720"/>
      <w:contextualSpacing/>
    </w:pPr>
    <w:rPr>
      <w:rFonts w:ascii="Cambria" w:eastAsia="Times New Roman" w:hAnsi="Cambria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276F"/>
  </w:style>
  <w:style w:type="paragraph" w:styleId="TOC2">
    <w:name w:val="toc 2"/>
    <w:basedOn w:val="Normal"/>
    <w:next w:val="Normal"/>
    <w:autoRedefine/>
    <w:uiPriority w:val="39"/>
    <w:rsid w:val="001C3FBD"/>
    <w:pPr>
      <w:tabs>
        <w:tab w:val="right" w:leader="dot" w:pos="8539"/>
      </w:tabs>
      <w:ind w:left="220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rsid w:val="007227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56B"/>
    <w:pPr>
      <w:ind w:left="720"/>
    </w:pPr>
    <w:rPr>
      <w:rFonts w:ascii="Calibri" w:eastAsia="Calibri" w:hAnsi="Calibri"/>
    </w:rPr>
  </w:style>
  <w:style w:type="paragraph" w:customStyle="1" w:styleId="TitlePageHeading">
    <w:name w:val="Title Page Heading"/>
    <w:basedOn w:val="Normal"/>
    <w:qFormat/>
    <w:rsid w:val="00CC50C1"/>
    <w:pPr>
      <w:spacing w:before="120" w:after="200" w:line="360" w:lineRule="auto"/>
      <w:jc w:val="center"/>
    </w:pPr>
    <w:rPr>
      <w:rFonts w:ascii="Calibri" w:hAnsi="Calibri"/>
      <w:b/>
      <w:sz w:val="32"/>
      <w:szCs w:val="32"/>
    </w:rPr>
  </w:style>
  <w:style w:type="paragraph" w:customStyle="1" w:styleId="NormalNumbering">
    <w:name w:val="Normal Numbering"/>
    <w:basedOn w:val="Normal"/>
    <w:qFormat/>
    <w:rsid w:val="00CC50C1"/>
    <w:pPr>
      <w:numPr>
        <w:numId w:val="1"/>
      </w:numPr>
      <w:spacing w:before="120" w:after="200" w:line="360" w:lineRule="auto"/>
      <w:contextualSpacing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rsid w:val="00423527"/>
    <w:rPr>
      <w:rFonts w:ascii="Trebuchet MS" w:eastAsia="PMingLiU" w:hAnsi="Trebuchet MS" w:cs="Arial"/>
      <w:b/>
      <w:bCs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B5B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55B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9B417B"/>
    <w:pPr>
      <w:tabs>
        <w:tab w:val="right" w:leader="dot" w:pos="8539"/>
      </w:tabs>
      <w:spacing w:after="100"/>
      <w:ind w:left="440"/>
    </w:pPr>
    <w:rPr>
      <w:rFonts w:ascii="Calibri Light" w:hAnsi="Calibri Light"/>
      <w:noProof/>
    </w:rPr>
  </w:style>
  <w:style w:type="character" w:styleId="Strong">
    <w:name w:val="Strong"/>
    <w:basedOn w:val="DefaultParagraphFont"/>
    <w:qFormat/>
    <w:rsid w:val="000F7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E813A778C1B4BAD7753BE6071BE58" ma:contentTypeVersion="1" ma:contentTypeDescription="Create a new document." ma:contentTypeScope="" ma:versionID="d0303b744bc782e292a6ab8d29c032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A92D70-CD92-4EBE-9B4A-7B6334172B51}"/>
</file>

<file path=customXml/itemProps2.xml><?xml version="1.0" encoding="utf-8"?>
<ds:datastoreItem xmlns:ds="http://schemas.openxmlformats.org/officeDocument/2006/customXml" ds:itemID="{C929405C-D362-42A2-96E5-330C9590354A}"/>
</file>

<file path=customXml/itemProps3.xml><?xml version="1.0" encoding="utf-8"?>
<ds:datastoreItem xmlns:ds="http://schemas.openxmlformats.org/officeDocument/2006/customXml" ds:itemID="{0A168DF0-D42F-44D1-AE80-D901F12E79AE}"/>
</file>

<file path=customXml/itemProps4.xml><?xml version="1.0" encoding="utf-8"?>
<ds:datastoreItem xmlns:ds="http://schemas.openxmlformats.org/officeDocument/2006/customXml" ds:itemID="{86A51491-9D92-42D2-99C4-C2DC70ACE7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2787</Characters>
  <Application>Microsoft Office Word</Application>
  <DocSecurity>0</DocSecurity>
  <Lines>23</Lines>
  <Paragraphs>6</Paragraphs>
  <ScaleCrop>false</ScaleCrop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2010-08-10T06:02:00Z</cp:lastPrinted>
  <dcterms:created xsi:type="dcterms:W3CDTF">2015-02-17T00:06:00Z</dcterms:created>
  <dcterms:modified xsi:type="dcterms:W3CDTF">2015-02-17T00:06:00Z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0x010100717E813A778C1B4BAD7753BE6071BE58</vt:lpwstr>
  </property>
</Properties>
</file>