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EE5B" w14:textId="704E5AF4" w:rsidR="00727DF8" w:rsidRPr="00727DF8" w:rsidRDefault="00727DF8" w:rsidP="00727DF8">
      <w:pPr>
        <w:pStyle w:val="Heading1"/>
      </w:pPr>
      <w:r w:rsidRPr="00727DF8">
        <w:t>Inspector-General of Biosecurity</w:t>
      </w:r>
    </w:p>
    <w:p w14:paraId="05947897" w14:textId="59FAE134" w:rsidR="00727DF8" w:rsidRDefault="00727DF8" w:rsidP="006D7F26">
      <w:pPr>
        <w:pStyle w:val="Heading2"/>
        <w:spacing w:after="240"/>
      </w:pPr>
      <w:r w:rsidRPr="00727DF8">
        <w:t>Strateg</w:t>
      </w:r>
      <w:r w:rsidR="00617A78">
        <w:t xml:space="preserve">y </w:t>
      </w:r>
      <w:r w:rsidRPr="00727DF8">
        <w:t>2022-2025</w:t>
      </w:r>
    </w:p>
    <w:p w14:paraId="1959B6BD" w14:textId="66631023" w:rsidR="00727DF8" w:rsidRPr="00727DF8" w:rsidRDefault="00727DF8" w:rsidP="00727DF8">
      <w:pPr>
        <w:rPr>
          <w:b/>
          <w:bCs/>
          <w:sz w:val="24"/>
          <w:szCs w:val="24"/>
        </w:rPr>
      </w:pPr>
      <w:r w:rsidRPr="00727DF8">
        <w:rPr>
          <w:b/>
          <w:bCs/>
          <w:sz w:val="24"/>
          <w:szCs w:val="24"/>
        </w:rPr>
        <w:t>Our Vision</w:t>
      </w:r>
    </w:p>
    <w:p w14:paraId="7B09CFD7" w14:textId="28FCCEC1" w:rsidR="00727DF8" w:rsidRPr="00727DF8" w:rsidRDefault="00727DF8" w:rsidP="00727DF8">
      <w:r w:rsidRPr="00727DF8">
        <w:t>A better biosecurity system.</w:t>
      </w:r>
    </w:p>
    <w:p w14:paraId="191E6A71" w14:textId="016EF333" w:rsidR="00727DF8" w:rsidRDefault="00727DF8" w:rsidP="00727DF8">
      <w:r w:rsidRPr="00727DF8">
        <w:t>We support and enable continuous improvement of the biosecurity system</w:t>
      </w:r>
    </w:p>
    <w:p w14:paraId="03ACECA4" w14:textId="77777777" w:rsidR="00727DF8" w:rsidRPr="00727DF8" w:rsidRDefault="00727DF8" w:rsidP="00727DF8">
      <w:pPr>
        <w:rPr>
          <w:b/>
          <w:bCs/>
        </w:rPr>
      </w:pPr>
      <w:r w:rsidRPr="00727DF8">
        <w:rPr>
          <w:b/>
          <w:bCs/>
        </w:rPr>
        <w:t>Our Purpose</w:t>
      </w:r>
    </w:p>
    <w:p w14:paraId="3A2736A0" w14:textId="77777777" w:rsidR="00727DF8" w:rsidRPr="00727DF8" w:rsidRDefault="00727DF8" w:rsidP="00727DF8">
      <w:r w:rsidRPr="00727DF8">
        <w:t xml:space="preserve">The Inspector-General of Biosecurity’s purpose is set out in the </w:t>
      </w:r>
      <w:r w:rsidRPr="00727DF8">
        <w:rPr>
          <w:i/>
          <w:iCs/>
        </w:rPr>
        <w:t xml:space="preserve">Biosecurity Act 2015 </w:t>
      </w:r>
      <w:r w:rsidRPr="00727DF8">
        <w:t>(the Act).</w:t>
      </w:r>
    </w:p>
    <w:p w14:paraId="0D67690D" w14:textId="2D95024A" w:rsidR="00727DF8" w:rsidRDefault="00727DF8" w:rsidP="00727DF8">
      <w:pPr>
        <w:numPr>
          <w:ilvl w:val="0"/>
          <w:numId w:val="1"/>
        </w:numPr>
      </w:pPr>
      <w:r w:rsidRPr="00727DF8">
        <w:t>We provide assurance over Australia’s preventative biosecurity risk management systems through independent reviews of the performance of functions and exercise of powers by biosecurity officials of the Department of Agriculture, Fisheries and Forestry (the department).</w:t>
      </w:r>
    </w:p>
    <w:p w14:paraId="4885AE2B" w14:textId="27135420" w:rsidR="00727DF8" w:rsidRPr="00727DF8" w:rsidRDefault="00727DF8" w:rsidP="00727DF8">
      <w:pPr>
        <w:rPr>
          <w:b/>
          <w:bCs/>
        </w:rPr>
      </w:pPr>
      <w:r w:rsidRPr="00727DF8">
        <w:rPr>
          <w:b/>
          <w:bCs/>
        </w:rPr>
        <w:t>Independence</w:t>
      </w:r>
    </w:p>
    <w:p w14:paraId="2B8F06D9" w14:textId="2C653EAB" w:rsidR="00727DF8" w:rsidRDefault="00727DF8" w:rsidP="00727DF8">
      <w:r w:rsidRPr="00727DF8">
        <w:t>The Inspector-General is independent of the Director of Biosecurity, the Minister of Agriculture and biosecurity officials in the department.</w:t>
      </w:r>
    </w:p>
    <w:p w14:paraId="1C2B9683" w14:textId="06DFD8D9" w:rsidR="00727DF8" w:rsidRDefault="00727DF8" w:rsidP="00727DF8">
      <w:pPr>
        <w:rPr>
          <w:b/>
          <w:bCs/>
        </w:rPr>
      </w:pPr>
      <w:r w:rsidRPr="00727DF8">
        <w:rPr>
          <w:b/>
          <w:bCs/>
        </w:rPr>
        <w:t>Our Values</w:t>
      </w:r>
    </w:p>
    <w:p w14:paraId="65B818A7" w14:textId="77777777" w:rsidR="006D7F26" w:rsidRDefault="006D7F26" w:rsidP="00727DF8">
      <w:pPr>
        <w:numPr>
          <w:ilvl w:val="0"/>
          <w:numId w:val="2"/>
        </w:numPr>
      </w:pPr>
      <w:r w:rsidRPr="00727DF8">
        <w:t>Consultation</w:t>
      </w:r>
    </w:p>
    <w:p w14:paraId="10A902CA" w14:textId="77777777" w:rsidR="006D7F26" w:rsidRDefault="006D7F26" w:rsidP="006D7F26">
      <w:pPr>
        <w:numPr>
          <w:ilvl w:val="0"/>
          <w:numId w:val="2"/>
        </w:numPr>
      </w:pPr>
      <w:r w:rsidRPr="00727DF8">
        <w:t>Respect</w:t>
      </w:r>
    </w:p>
    <w:p w14:paraId="655F6B1E" w14:textId="77777777" w:rsidR="006D7F26" w:rsidRDefault="006D7F26" w:rsidP="006D7F26">
      <w:pPr>
        <w:numPr>
          <w:ilvl w:val="0"/>
          <w:numId w:val="2"/>
        </w:numPr>
      </w:pPr>
      <w:r w:rsidRPr="00727DF8">
        <w:t>Integrity</w:t>
      </w:r>
    </w:p>
    <w:p w14:paraId="4A8D743F" w14:textId="189D5842" w:rsidR="006D7F26" w:rsidRPr="00727DF8" w:rsidRDefault="006D7F26" w:rsidP="006D7F26">
      <w:pPr>
        <w:numPr>
          <w:ilvl w:val="0"/>
          <w:numId w:val="2"/>
        </w:numPr>
      </w:pPr>
      <w:r w:rsidRPr="00727DF8">
        <w:t>Excellence</w:t>
      </w:r>
      <w:r>
        <w:t>.</w:t>
      </w:r>
    </w:p>
    <w:p w14:paraId="779C4178" w14:textId="77777777" w:rsidR="00727DF8" w:rsidRPr="00727DF8" w:rsidRDefault="00727DF8" w:rsidP="00727DF8">
      <w:pPr>
        <w:rPr>
          <w:b/>
          <w:bCs/>
        </w:rPr>
      </w:pPr>
      <w:r w:rsidRPr="00727DF8">
        <w:rPr>
          <w:b/>
          <w:bCs/>
        </w:rPr>
        <w:t>Focus Areas</w:t>
      </w:r>
    </w:p>
    <w:p w14:paraId="665CE816" w14:textId="77777777" w:rsidR="00727DF8" w:rsidRPr="00727DF8" w:rsidRDefault="00727DF8" w:rsidP="00727DF8">
      <w:r w:rsidRPr="00727DF8">
        <w:t>Under the provisions of the Act, the Inspector-General’s scope extends to all areas of the biosecurity system within the remit of the department.</w:t>
      </w:r>
    </w:p>
    <w:p w14:paraId="15408789" w14:textId="77777777" w:rsidR="00727DF8" w:rsidRPr="00727DF8" w:rsidRDefault="00727DF8" w:rsidP="00727DF8">
      <w:pPr>
        <w:numPr>
          <w:ilvl w:val="0"/>
          <w:numId w:val="3"/>
        </w:numPr>
      </w:pPr>
      <w:r w:rsidRPr="00727DF8">
        <w:t>Preventative biosecurity arrangements and actions pre-border (offshore) at the border, and peri-border</w:t>
      </w:r>
    </w:p>
    <w:p w14:paraId="19378C39" w14:textId="77777777" w:rsidR="00727DF8" w:rsidRDefault="00727DF8" w:rsidP="00727DF8">
      <w:pPr>
        <w:numPr>
          <w:ilvl w:val="0"/>
          <w:numId w:val="3"/>
        </w:numPr>
      </w:pPr>
      <w:r w:rsidRPr="00727DF8">
        <w:t>Inspector-General reviews assess the effectiveness and efficiency of the department’s biosecurity risk management systems, including regulatory, policy and operational decision-making, strategy, governance and accountability, operations management, infrastructure, information management systems, prevention and response functions, assurance and verification activities, and staff capability and capacity.</w:t>
      </w:r>
    </w:p>
    <w:p w14:paraId="0554DBCA" w14:textId="030B244D" w:rsidR="00727DF8" w:rsidRPr="00727DF8" w:rsidRDefault="00727DF8" w:rsidP="00727DF8">
      <w:pPr>
        <w:rPr>
          <w:b/>
          <w:bCs/>
        </w:rPr>
      </w:pPr>
      <w:r w:rsidRPr="00727DF8">
        <w:rPr>
          <w:b/>
          <w:bCs/>
        </w:rPr>
        <w:t>Strategic Outcomes</w:t>
      </w:r>
    </w:p>
    <w:p w14:paraId="14B6510E" w14:textId="77777777" w:rsidR="00727DF8" w:rsidRPr="00727DF8" w:rsidRDefault="00727DF8" w:rsidP="00727DF8">
      <w:pPr>
        <w:numPr>
          <w:ilvl w:val="0"/>
          <w:numId w:val="4"/>
        </w:numPr>
        <w:spacing w:after="0"/>
      </w:pPr>
      <w:r w:rsidRPr="00727DF8">
        <w:t>An adaptive biosecurity system through continuous improvements supported by high-quality, independent reviews</w:t>
      </w:r>
    </w:p>
    <w:p w14:paraId="315039CA" w14:textId="146F24B4" w:rsidR="00727DF8" w:rsidRPr="00727DF8" w:rsidRDefault="00727DF8" w:rsidP="00727DF8">
      <w:pPr>
        <w:numPr>
          <w:ilvl w:val="0"/>
          <w:numId w:val="4"/>
        </w:numPr>
        <w:spacing w:after="0"/>
      </w:pPr>
      <w:r w:rsidRPr="00727DF8">
        <w:t>Biosecurity stakeholders are well informed of the role of the Inspector-General and the scope of reviews under the provisions of the Act</w:t>
      </w:r>
    </w:p>
    <w:p w14:paraId="6DC5BA98" w14:textId="77777777" w:rsidR="00727DF8" w:rsidRPr="00727DF8" w:rsidRDefault="00727DF8" w:rsidP="00727DF8">
      <w:pPr>
        <w:numPr>
          <w:ilvl w:val="0"/>
          <w:numId w:val="4"/>
        </w:numPr>
        <w:spacing w:after="0"/>
      </w:pPr>
      <w:r w:rsidRPr="00727DF8">
        <w:lastRenderedPageBreak/>
        <w:t>Confidence and trust of biosecurity stakeholders in the quality and scrutiny of independent reviews</w:t>
      </w:r>
    </w:p>
    <w:p w14:paraId="2E24B383" w14:textId="77777777" w:rsidR="006D7F26" w:rsidRDefault="00727DF8" w:rsidP="00727DF8">
      <w:pPr>
        <w:numPr>
          <w:ilvl w:val="0"/>
          <w:numId w:val="4"/>
        </w:numPr>
        <w:spacing w:after="0"/>
      </w:pPr>
      <w:r w:rsidRPr="00727DF8">
        <w:t>Fresh insights through alternative perspectives offered in independent reviews</w:t>
      </w:r>
    </w:p>
    <w:p w14:paraId="6E4F80AB" w14:textId="12565107" w:rsidR="00727DF8" w:rsidRDefault="00727DF8" w:rsidP="00727DF8">
      <w:pPr>
        <w:numPr>
          <w:ilvl w:val="0"/>
          <w:numId w:val="4"/>
        </w:numPr>
        <w:spacing w:after="0"/>
      </w:pPr>
      <w:r w:rsidRPr="00727DF8">
        <w:t>Biosecurity stakeholders embrace the opportunities arising from the insights gained through independent analysis and assessment</w:t>
      </w:r>
      <w:r w:rsidR="006D7F26">
        <w:t>.</w:t>
      </w:r>
    </w:p>
    <w:p w14:paraId="4DBA9777" w14:textId="77777777" w:rsidR="00727DF8" w:rsidRPr="00727DF8" w:rsidRDefault="00727DF8" w:rsidP="006D7F26">
      <w:pPr>
        <w:spacing w:before="240"/>
        <w:rPr>
          <w:b/>
          <w:bCs/>
        </w:rPr>
      </w:pPr>
      <w:r w:rsidRPr="00727DF8">
        <w:rPr>
          <w:b/>
          <w:bCs/>
        </w:rPr>
        <w:t>Goals</w:t>
      </w:r>
    </w:p>
    <w:p w14:paraId="173E619F" w14:textId="77777777" w:rsidR="00727DF8" w:rsidRPr="00727DF8" w:rsidRDefault="00727DF8" w:rsidP="00727DF8">
      <w:pPr>
        <w:numPr>
          <w:ilvl w:val="0"/>
          <w:numId w:val="5"/>
        </w:numPr>
      </w:pPr>
      <w:r w:rsidRPr="00727DF8">
        <w:t>Conduct systems’ reviews in accordance with the provisions under the Act</w:t>
      </w:r>
    </w:p>
    <w:p w14:paraId="4F33DF96" w14:textId="77777777" w:rsidR="00727DF8" w:rsidRPr="00727DF8" w:rsidRDefault="00727DF8" w:rsidP="00727DF8">
      <w:pPr>
        <w:numPr>
          <w:ilvl w:val="0"/>
          <w:numId w:val="5"/>
        </w:numPr>
      </w:pPr>
      <w:r w:rsidRPr="00727DF8">
        <w:t>Develop an annual review workplan for publication on the Inspector-General’s website as set out in the Biosecurity Regulations 2016</w:t>
      </w:r>
    </w:p>
    <w:p w14:paraId="14155AA2" w14:textId="77777777" w:rsidR="00727DF8" w:rsidRPr="00727DF8" w:rsidRDefault="00727DF8" w:rsidP="00727DF8">
      <w:pPr>
        <w:numPr>
          <w:ilvl w:val="0"/>
          <w:numId w:val="5"/>
        </w:numPr>
      </w:pPr>
      <w:r w:rsidRPr="00727DF8">
        <w:t>Consult with the Director of Biosecurity and the Minister of Agriculture regarding the review work program</w:t>
      </w:r>
    </w:p>
    <w:p w14:paraId="1242A3DD" w14:textId="77777777" w:rsidR="00727DF8" w:rsidRPr="00727DF8" w:rsidRDefault="00727DF8" w:rsidP="00727DF8">
      <w:pPr>
        <w:numPr>
          <w:ilvl w:val="0"/>
          <w:numId w:val="5"/>
        </w:numPr>
      </w:pPr>
      <w:r w:rsidRPr="00727DF8">
        <w:t>Inform the Minister of the outcomes of independent reviews</w:t>
      </w:r>
    </w:p>
    <w:p w14:paraId="219512CE" w14:textId="77777777" w:rsidR="00727DF8" w:rsidRPr="00727DF8" w:rsidRDefault="00727DF8" w:rsidP="00727DF8">
      <w:pPr>
        <w:numPr>
          <w:ilvl w:val="0"/>
          <w:numId w:val="5"/>
        </w:numPr>
      </w:pPr>
      <w:r w:rsidRPr="00727DF8">
        <w:t>Assess evidence and communicate evidence-based assessments in high-quality review reports that instil confidence and trust of biosecurity stakeholders, internal and external to the department</w:t>
      </w:r>
    </w:p>
    <w:p w14:paraId="6EFF212E" w14:textId="77777777" w:rsidR="00727DF8" w:rsidRPr="00727DF8" w:rsidRDefault="00727DF8" w:rsidP="00727DF8">
      <w:pPr>
        <w:numPr>
          <w:ilvl w:val="0"/>
          <w:numId w:val="5"/>
        </w:numPr>
      </w:pPr>
      <w:r w:rsidRPr="00727DF8">
        <w:t>Make actionable recommendations on improvements to the effectiveness and efficiency of preventative biosecurity arrangements within the remit of the department</w:t>
      </w:r>
    </w:p>
    <w:p w14:paraId="4CA8D254" w14:textId="77777777" w:rsidR="00727DF8" w:rsidRPr="00727DF8" w:rsidRDefault="00727DF8" w:rsidP="00727DF8">
      <w:pPr>
        <w:numPr>
          <w:ilvl w:val="0"/>
          <w:numId w:val="5"/>
        </w:numPr>
      </w:pPr>
      <w:r w:rsidRPr="00727DF8">
        <w:t>Apply a consultative approach in conducting independent reviews of the department’s biosecurity arrangements</w:t>
      </w:r>
    </w:p>
    <w:p w14:paraId="0399BAA9" w14:textId="77777777" w:rsidR="00727DF8" w:rsidRPr="00727DF8" w:rsidRDefault="00727DF8" w:rsidP="00727DF8">
      <w:pPr>
        <w:numPr>
          <w:ilvl w:val="0"/>
          <w:numId w:val="5"/>
        </w:numPr>
      </w:pPr>
      <w:r w:rsidRPr="00727DF8">
        <w:t>Engage effectively with biosecurity stakeholders and senior biosecurity executives to influence and improve biosecurity outcomes</w:t>
      </w:r>
    </w:p>
    <w:p w14:paraId="3B9A8637" w14:textId="4C2DC11D" w:rsidR="00727DF8" w:rsidRPr="00727DF8" w:rsidRDefault="00727DF8" w:rsidP="00727DF8">
      <w:pPr>
        <w:numPr>
          <w:ilvl w:val="0"/>
          <w:numId w:val="5"/>
        </w:numPr>
      </w:pPr>
      <w:r w:rsidRPr="00727DF8">
        <w:t>Elicit and consider the views of biosecurity stakeholders external to the department</w:t>
      </w:r>
    </w:p>
    <w:p w14:paraId="20CEA14A" w14:textId="35D51FB2" w:rsidR="00727DF8" w:rsidRDefault="00727DF8" w:rsidP="00727DF8">
      <w:pPr>
        <w:numPr>
          <w:ilvl w:val="0"/>
          <w:numId w:val="5"/>
        </w:numPr>
      </w:pPr>
      <w:r w:rsidRPr="00727DF8">
        <w:t>Minimise disruption to the performance of functions of officers during a review.</w:t>
      </w:r>
    </w:p>
    <w:sectPr w:rsidR="00727D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795B" w14:textId="77777777" w:rsidR="00727DF8" w:rsidRDefault="00727DF8" w:rsidP="00727DF8">
      <w:pPr>
        <w:spacing w:after="0" w:line="240" w:lineRule="auto"/>
      </w:pPr>
      <w:r>
        <w:separator/>
      </w:r>
    </w:p>
  </w:endnote>
  <w:endnote w:type="continuationSeparator" w:id="0">
    <w:p w14:paraId="0A6A15C7" w14:textId="77777777" w:rsidR="00727DF8" w:rsidRDefault="00727DF8" w:rsidP="0072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B92" w14:textId="77777777" w:rsidR="006D7F26" w:rsidRDefault="006D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042168"/>
      <w:docPartObj>
        <w:docPartGallery w:val="Page Numbers (Bottom of Page)"/>
        <w:docPartUnique/>
      </w:docPartObj>
    </w:sdtPr>
    <w:sdtEndPr>
      <w:rPr>
        <w:noProof/>
      </w:rPr>
    </w:sdtEndPr>
    <w:sdtContent>
      <w:p w14:paraId="5F38FBFF" w14:textId="2FDCFABD" w:rsidR="006D7F26" w:rsidRDefault="006D7F26">
        <w:pPr>
          <w:pStyle w:val="Footer"/>
          <w:jc w:val="center"/>
        </w:pPr>
        <w:r w:rsidRPr="006D7F26">
          <w:rPr>
            <w:sz w:val="20"/>
            <w:szCs w:val="20"/>
          </w:rPr>
          <w:fldChar w:fldCharType="begin"/>
        </w:r>
        <w:r w:rsidRPr="006D7F26">
          <w:rPr>
            <w:sz w:val="20"/>
            <w:szCs w:val="20"/>
          </w:rPr>
          <w:instrText xml:space="preserve"> PAGE   \* MERGEFORMAT </w:instrText>
        </w:r>
        <w:r w:rsidRPr="006D7F26">
          <w:rPr>
            <w:sz w:val="20"/>
            <w:szCs w:val="20"/>
          </w:rPr>
          <w:fldChar w:fldCharType="separate"/>
        </w:r>
        <w:r w:rsidRPr="006D7F26">
          <w:rPr>
            <w:noProof/>
            <w:sz w:val="20"/>
            <w:szCs w:val="20"/>
          </w:rPr>
          <w:t>2</w:t>
        </w:r>
        <w:r w:rsidRPr="006D7F26">
          <w:rPr>
            <w:noProof/>
            <w:sz w:val="20"/>
            <w:szCs w:val="20"/>
          </w:rPr>
          <w:fldChar w:fldCharType="end"/>
        </w:r>
      </w:p>
    </w:sdtContent>
  </w:sdt>
  <w:p w14:paraId="2227DA4B" w14:textId="232D65BA" w:rsidR="006D7F26" w:rsidRPr="006D7F26" w:rsidRDefault="006D7F26" w:rsidP="006D7F26">
    <w:pPr>
      <w:pStyle w:val="Footer"/>
      <w:jc w:val="center"/>
      <w:rPr>
        <w:sz w:val="20"/>
        <w:szCs w:val="20"/>
      </w:rPr>
    </w:pPr>
    <w:r w:rsidRPr="006D7F26">
      <w:rPr>
        <w:sz w:val="20"/>
        <w:szCs w:val="20"/>
      </w:rPr>
      <w:t xml:space="preserve">Inspector-General of Biosecurity | </w:t>
    </w:r>
    <w:hyperlink r:id="rId1" w:history="1">
      <w:r w:rsidRPr="001C344F">
        <w:rPr>
          <w:rStyle w:val="Hyperlink"/>
          <w:sz w:val="20"/>
          <w:szCs w:val="20"/>
        </w:rPr>
        <w:t>inspgenbiosecurity@agriculture.gov.au</w:t>
      </w:r>
    </w:hyperlink>
    <w:r>
      <w:rPr>
        <w:sz w:val="20"/>
        <w:szCs w:val="20"/>
      </w:rPr>
      <w:t xml:space="preserve"> </w:t>
    </w:r>
    <w:r w:rsidRPr="006D7F26">
      <w:rPr>
        <w:sz w:val="20"/>
        <w:szCs w:val="20"/>
      </w:rPr>
      <w:t>| www.igb.gov.au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C3D0" w14:textId="77777777" w:rsidR="006D7F26" w:rsidRDefault="006D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9FA6" w14:textId="77777777" w:rsidR="00727DF8" w:rsidRDefault="00727DF8" w:rsidP="00727DF8">
      <w:pPr>
        <w:spacing w:after="0" w:line="240" w:lineRule="auto"/>
      </w:pPr>
      <w:r>
        <w:separator/>
      </w:r>
    </w:p>
  </w:footnote>
  <w:footnote w:type="continuationSeparator" w:id="0">
    <w:p w14:paraId="0D339615" w14:textId="77777777" w:rsidR="00727DF8" w:rsidRDefault="00727DF8" w:rsidP="0072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E49F" w14:textId="77777777" w:rsidR="006D7F26" w:rsidRDefault="006D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1EED" w14:textId="77777777" w:rsidR="006D7F26" w:rsidRDefault="006D7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2AC1" w14:textId="77777777" w:rsidR="006D7F26" w:rsidRDefault="006D7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6AEF"/>
    <w:multiLevelType w:val="hybridMultilevel"/>
    <w:tmpl w:val="5FBAE014"/>
    <w:lvl w:ilvl="0" w:tplc="D9E25A4E">
      <w:start w:val="1"/>
      <w:numFmt w:val="bullet"/>
      <w:lvlText w:val="•"/>
      <w:lvlJc w:val="left"/>
      <w:pPr>
        <w:tabs>
          <w:tab w:val="num" w:pos="720"/>
        </w:tabs>
        <w:ind w:left="720" w:hanging="360"/>
      </w:pPr>
      <w:rPr>
        <w:rFonts w:ascii="Arial" w:hAnsi="Arial" w:hint="default"/>
      </w:rPr>
    </w:lvl>
    <w:lvl w:ilvl="1" w:tplc="CF4C4AE4" w:tentative="1">
      <w:start w:val="1"/>
      <w:numFmt w:val="bullet"/>
      <w:lvlText w:val="•"/>
      <w:lvlJc w:val="left"/>
      <w:pPr>
        <w:tabs>
          <w:tab w:val="num" w:pos="1440"/>
        </w:tabs>
        <w:ind w:left="1440" w:hanging="360"/>
      </w:pPr>
      <w:rPr>
        <w:rFonts w:ascii="Arial" w:hAnsi="Arial" w:hint="default"/>
      </w:rPr>
    </w:lvl>
    <w:lvl w:ilvl="2" w:tplc="83002CB4" w:tentative="1">
      <w:start w:val="1"/>
      <w:numFmt w:val="bullet"/>
      <w:lvlText w:val="•"/>
      <w:lvlJc w:val="left"/>
      <w:pPr>
        <w:tabs>
          <w:tab w:val="num" w:pos="2160"/>
        </w:tabs>
        <w:ind w:left="2160" w:hanging="360"/>
      </w:pPr>
      <w:rPr>
        <w:rFonts w:ascii="Arial" w:hAnsi="Arial" w:hint="default"/>
      </w:rPr>
    </w:lvl>
    <w:lvl w:ilvl="3" w:tplc="44665398" w:tentative="1">
      <w:start w:val="1"/>
      <w:numFmt w:val="bullet"/>
      <w:lvlText w:val="•"/>
      <w:lvlJc w:val="left"/>
      <w:pPr>
        <w:tabs>
          <w:tab w:val="num" w:pos="2880"/>
        </w:tabs>
        <w:ind w:left="2880" w:hanging="360"/>
      </w:pPr>
      <w:rPr>
        <w:rFonts w:ascii="Arial" w:hAnsi="Arial" w:hint="default"/>
      </w:rPr>
    </w:lvl>
    <w:lvl w:ilvl="4" w:tplc="6A22107E" w:tentative="1">
      <w:start w:val="1"/>
      <w:numFmt w:val="bullet"/>
      <w:lvlText w:val="•"/>
      <w:lvlJc w:val="left"/>
      <w:pPr>
        <w:tabs>
          <w:tab w:val="num" w:pos="3600"/>
        </w:tabs>
        <w:ind w:left="3600" w:hanging="360"/>
      </w:pPr>
      <w:rPr>
        <w:rFonts w:ascii="Arial" w:hAnsi="Arial" w:hint="default"/>
      </w:rPr>
    </w:lvl>
    <w:lvl w:ilvl="5" w:tplc="2F1240E2" w:tentative="1">
      <w:start w:val="1"/>
      <w:numFmt w:val="bullet"/>
      <w:lvlText w:val="•"/>
      <w:lvlJc w:val="left"/>
      <w:pPr>
        <w:tabs>
          <w:tab w:val="num" w:pos="4320"/>
        </w:tabs>
        <w:ind w:left="4320" w:hanging="360"/>
      </w:pPr>
      <w:rPr>
        <w:rFonts w:ascii="Arial" w:hAnsi="Arial" w:hint="default"/>
      </w:rPr>
    </w:lvl>
    <w:lvl w:ilvl="6" w:tplc="A582E850" w:tentative="1">
      <w:start w:val="1"/>
      <w:numFmt w:val="bullet"/>
      <w:lvlText w:val="•"/>
      <w:lvlJc w:val="left"/>
      <w:pPr>
        <w:tabs>
          <w:tab w:val="num" w:pos="5040"/>
        </w:tabs>
        <w:ind w:left="5040" w:hanging="360"/>
      </w:pPr>
      <w:rPr>
        <w:rFonts w:ascii="Arial" w:hAnsi="Arial" w:hint="default"/>
      </w:rPr>
    </w:lvl>
    <w:lvl w:ilvl="7" w:tplc="E320D37C" w:tentative="1">
      <w:start w:val="1"/>
      <w:numFmt w:val="bullet"/>
      <w:lvlText w:val="•"/>
      <w:lvlJc w:val="left"/>
      <w:pPr>
        <w:tabs>
          <w:tab w:val="num" w:pos="5760"/>
        </w:tabs>
        <w:ind w:left="5760" w:hanging="360"/>
      </w:pPr>
      <w:rPr>
        <w:rFonts w:ascii="Arial" w:hAnsi="Arial" w:hint="default"/>
      </w:rPr>
    </w:lvl>
    <w:lvl w:ilvl="8" w:tplc="D22C90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03236A"/>
    <w:multiLevelType w:val="hybridMultilevel"/>
    <w:tmpl w:val="9EB4D71A"/>
    <w:lvl w:ilvl="0" w:tplc="7C5C3C22">
      <w:start w:val="1"/>
      <w:numFmt w:val="bullet"/>
      <w:lvlText w:val="•"/>
      <w:lvlJc w:val="left"/>
      <w:pPr>
        <w:tabs>
          <w:tab w:val="num" w:pos="360"/>
        </w:tabs>
        <w:ind w:left="360" w:hanging="360"/>
      </w:pPr>
      <w:rPr>
        <w:rFonts w:ascii="Arial" w:hAnsi="Arial" w:hint="default"/>
      </w:rPr>
    </w:lvl>
    <w:lvl w:ilvl="1" w:tplc="72BCF186" w:tentative="1">
      <w:start w:val="1"/>
      <w:numFmt w:val="bullet"/>
      <w:lvlText w:val="•"/>
      <w:lvlJc w:val="left"/>
      <w:pPr>
        <w:tabs>
          <w:tab w:val="num" w:pos="1080"/>
        </w:tabs>
        <w:ind w:left="1080" w:hanging="360"/>
      </w:pPr>
      <w:rPr>
        <w:rFonts w:ascii="Arial" w:hAnsi="Arial" w:hint="default"/>
      </w:rPr>
    </w:lvl>
    <w:lvl w:ilvl="2" w:tplc="56CAE5AA" w:tentative="1">
      <w:start w:val="1"/>
      <w:numFmt w:val="bullet"/>
      <w:lvlText w:val="•"/>
      <w:lvlJc w:val="left"/>
      <w:pPr>
        <w:tabs>
          <w:tab w:val="num" w:pos="1800"/>
        </w:tabs>
        <w:ind w:left="1800" w:hanging="360"/>
      </w:pPr>
      <w:rPr>
        <w:rFonts w:ascii="Arial" w:hAnsi="Arial" w:hint="default"/>
      </w:rPr>
    </w:lvl>
    <w:lvl w:ilvl="3" w:tplc="53044670" w:tentative="1">
      <w:start w:val="1"/>
      <w:numFmt w:val="bullet"/>
      <w:lvlText w:val="•"/>
      <w:lvlJc w:val="left"/>
      <w:pPr>
        <w:tabs>
          <w:tab w:val="num" w:pos="2520"/>
        </w:tabs>
        <w:ind w:left="2520" w:hanging="360"/>
      </w:pPr>
      <w:rPr>
        <w:rFonts w:ascii="Arial" w:hAnsi="Arial" w:hint="default"/>
      </w:rPr>
    </w:lvl>
    <w:lvl w:ilvl="4" w:tplc="A252AEC6" w:tentative="1">
      <w:start w:val="1"/>
      <w:numFmt w:val="bullet"/>
      <w:lvlText w:val="•"/>
      <w:lvlJc w:val="left"/>
      <w:pPr>
        <w:tabs>
          <w:tab w:val="num" w:pos="3240"/>
        </w:tabs>
        <w:ind w:left="3240" w:hanging="360"/>
      </w:pPr>
      <w:rPr>
        <w:rFonts w:ascii="Arial" w:hAnsi="Arial" w:hint="default"/>
      </w:rPr>
    </w:lvl>
    <w:lvl w:ilvl="5" w:tplc="560C8F5E" w:tentative="1">
      <w:start w:val="1"/>
      <w:numFmt w:val="bullet"/>
      <w:lvlText w:val="•"/>
      <w:lvlJc w:val="left"/>
      <w:pPr>
        <w:tabs>
          <w:tab w:val="num" w:pos="3960"/>
        </w:tabs>
        <w:ind w:left="3960" w:hanging="360"/>
      </w:pPr>
      <w:rPr>
        <w:rFonts w:ascii="Arial" w:hAnsi="Arial" w:hint="default"/>
      </w:rPr>
    </w:lvl>
    <w:lvl w:ilvl="6" w:tplc="A00ED93C" w:tentative="1">
      <w:start w:val="1"/>
      <w:numFmt w:val="bullet"/>
      <w:lvlText w:val="•"/>
      <w:lvlJc w:val="left"/>
      <w:pPr>
        <w:tabs>
          <w:tab w:val="num" w:pos="4680"/>
        </w:tabs>
        <w:ind w:left="4680" w:hanging="360"/>
      </w:pPr>
      <w:rPr>
        <w:rFonts w:ascii="Arial" w:hAnsi="Arial" w:hint="default"/>
      </w:rPr>
    </w:lvl>
    <w:lvl w:ilvl="7" w:tplc="7F5E9878" w:tentative="1">
      <w:start w:val="1"/>
      <w:numFmt w:val="bullet"/>
      <w:lvlText w:val="•"/>
      <w:lvlJc w:val="left"/>
      <w:pPr>
        <w:tabs>
          <w:tab w:val="num" w:pos="5400"/>
        </w:tabs>
        <w:ind w:left="5400" w:hanging="360"/>
      </w:pPr>
      <w:rPr>
        <w:rFonts w:ascii="Arial" w:hAnsi="Arial" w:hint="default"/>
      </w:rPr>
    </w:lvl>
    <w:lvl w:ilvl="8" w:tplc="E1F2AE6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907D2D"/>
    <w:multiLevelType w:val="hybridMultilevel"/>
    <w:tmpl w:val="D01C5B26"/>
    <w:lvl w:ilvl="0" w:tplc="5A2CDAD6">
      <w:start w:val="1"/>
      <w:numFmt w:val="bullet"/>
      <w:lvlText w:val="•"/>
      <w:lvlJc w:val="left"/>
      <w:pPr>
        <w:tabs>
          <w:tab w:val="num" w:pos="360"/>
        </w:tabs>
        <w:ind w:left="360" w:hanging="360"/>
      </w:pPr>
      <w:rPr>
        <w:rFonts w:ascii="Arial" w:hAnsi="Arial" w:hint="default"/>
      </w:rPr>
    </w:lvl>
    <w:lvl w:ilvl="1" w:tplc="FC3E6DE2" w:tentative="1">
      <w:start w:val="1"/>
      <w:numFmt w:val="bullet"/>
      <w:lvlText w:val="•"/>
      <w:lvlJc w:val="left"/>
      <w:pPr>
        <w:tabs>
          <w:tab w:val="num" w:pos="1080"/>
        </w:tabs>
        <w:ind w:left="1080" w:hanging="360"/>
      </w:pPr>
      <w:rPr>
        <w:rFonts w:ascii="Arial" w:hAnsi="Arial" w:hint="default"/>
      </w:rPr>
    </w:lvl>
    <w:lvl w:ilvl="2" w:tplc="0A325E5C" w:tentative="1">
      <w:start w:val="1"/>
      <w:numFmt w:val="bullet"/>
      <w:lvlText w:val="•"/>
      <w:lvlJc w:val="left"/>
      <w:pPr>
        <w:tabs>
          <w:tab w:val="num" w:pos="1800"/>
        </w:tabs>
        <w:ind w:left="1800" w:hanging="360"/>
      </w:pPr>
      <w:rPr>
        <w:rFonts w:ascii="Arial" w:hAnsi="Arial" w:hint="default"/>
      </w:rPr>
    </w:lvl>
    <w:lvl w:ilvl="3" w:tplc="6B38A2C8" w:tentative="1">
      <w:start w:val="1"/>
      <w:numFmt w:val="bullet"/>
      <w:lvlText w:val="•"/>
      <w:lvlJc w:val="left"/>
      <w:pPr>
        <w:tabs>
          <w:tab w:val="num" w:pos="2520"/>
        </w:tabs>
        <w:ind w:left="2520" w:hanging="360"/>
      </w:pPr>
      <w:rPr>
        <w:rFonts w:ascii="Arial" w:hAnsi="Arial" w:hint="default"/>
      </w:rPr>
    </w:lvl>
    <w:lvl w:ilvl="4" w:tplc="4856599E" w:tentative="1">
      <w:start w:val="1"/>
      <w:numFmt w:val="bullet"/>
      <w:lvlText w:val="•"/>
      <w:lvlJc w:val="left"/>
      <w:pPr>
        <w:tabs>
          <w:tab w:val="num" w:pos="3240"/>
        </w:tabs>
        <w:ind w:left="3240" w:hanging="360"/>
      </w:pPr>
      <w:rPr>
        <w:rFonts w:ascii="Arial" w:hAnsi="Arial" w:hint="default"/>
      </w:rPr>
    </w:lvl>
    <w:lvl w:ilvl="5" w:tplc="587CDE10" w:tentative="1">
      <w:start w:val="1"/>
      <w:numFmt w:val="bullet"/>
      <w:lvlText w:val="•"/>
      <w:lvlJc w:val="left"/>
      <w:pPr>
        <w:tabs>
          <w:tab w:val="num" w:pos="3960"/>
        </w:tabs>
        <w:ind w:left="3960" w:hanging="360"/>
      </w:pPr>
      <w:rPr>
        <w:rFonts w:ascii="Arial" w:hAnsi="Arial" w:hint="default"/>
      </w:rPr>
    </w:lvl>
    <w:lvl w:ilvl="6" w:tplc="9120E0BE" w:tentative="1">
      <w:start w:val="1"/>
      <w:numFmt w:val="bullet"/>
      <w:lvlText w:val="•"/>
      <w:lvlJc w:val="left"/>
      <w:pPr>
        <w:tabs>
          <w:tab w:val="num" w:pos="4680"/>
        </w:tabs>
        <w:ind w:left="4680" w:hanging="360"/>
      </w:pPr>
      <w:rPr>
        <w:rFonts w:ascii="Arial" w:hAnsi="Arial" w:hint="default"/>
      </w:rPr>
    </w:lvl>
    <w:lvl w:ilvl="7" w:tplc="8B82A2D6" w:tentative="1">
      <w:start w:val="1"/>
      <w:numFmt w:val="bullet"/>
      <w:lvlText w:val="•"/>
      <w:lvlJc w:val="left"/>
      <w:pPr>
        <w:tabs>
          <w:tab w:val="num" w:pos="5400"/>
        </w:tabs>
        <w:ind w:left="5400" w:hanging="360"/>
      </w:pPr>
      <w:rPr>
        <w:rFonts w:ascii="Arial" w:hAnsi="Arial" w:hint="default"/>
      </w:rPr>
    </w:lvl>
    <w:lvl w:ilvl="8" w:tplc="9BE645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0FB52EB"/>
    <w:multiLevelType w:val="hybridMultilevel"/>
    <w:tmpl w:val="846C8260"/>
    <w:lvl w:ilvl="0" w:tplc="35A0AA04">
      <w:start w:val="1"/>
      <w:numFmt w:val="bullet"/>
      <w:lvlText w:val="•"/>
      <w:lvlJc w:val="left"/>
      <w:pPr>
        <w:tabs>
          <w:tab w:val="num" w:pos="360"/>
        </w:tabs>
        <w:ind w:left="360" w:hanging="360"/>
      </w:pPr>
      <w:rPr>
        <w:rFonts w:ascii="Arial" w:hAnsi="Arial" w:hint="default"/>
      </w:rPr>
    </w:lvl>
    <w:lvl w:ilvl="1" w:tplc="D0422BE8" w:tentative="1">
      <w:start w:val="1"/>
      <w:numFmt w:val="bullet"/>
      <w:lvlText w:val="•"/>
      <w:lvlJc w:val="left"/>
      <w:pPr>
        <w:tabs>
          <w:tab w:val="num" w:pos="1080"/>
        </w:tabs>
        <w:ind w:left="1080" w:hanging="360"/>
      </w:pPr>
      <w:rPr>
        <w:rFonts w:ascii="Arial" w:hAnsi="Arial" w:hint="default"/>
      </w:rPr>
    </w:lvl>
    <w:lvl w:ilvl="2" w:tplc="AAF045CE" w:tentative="1">
      <w:start w:val="1"/>
      <w:numFmt w:val="bullet"/>
      <w:lvlText w:val="•"/>
      <w:lvlJc w:val="left"/>
      <w:pPr>
        <w:tabs>
          <w:tab w:val="num" w:pos="1800"/>
        </w:tabs>
        <w:ind w:left="1800" w:hanging="360"/>
      </w:pPr>
      <w:rPr>
        <w:rFonts w:ascii="Arial" w:hAnsi="Arial" w:hint="default"/>
      </w:rPr>
    </w:lvl>
    <w:lvl w:ilvl="3" w:tplc="4AC6DFCC" w:tentative="1">
      <w:start w:val="1"/>
      <w:numFmt w:val="bullet"/>
      <w:lvlText w:val="•"/>
      <w:lvlJc w:val="left"/>
      <w:pPr>
        <w:tabs>
          <w:tab w:val="num" w:pos="2520"/>
        </w:tabs>
        <w:ind w:left="2520" w:hanging="360"/>
      </w:pPr>
      <w:rPr>
        <w:rFonts w:ascii="Arial" w:hAnsi="Arial" w:hint="default"/>
      </w:rPr>
    </w:lvl>
    <w:lvl w:ilvl="4" w:tplc="54EECA64" w:tentative="1">
      <w:start w:val="1"/>
      <w:numFmt w:val="bullet"/>
      <w:lvlText w:val="•"/>
      <w:lvlJc w:val="left"/>
      <w:pPr>
        <w:tabs>
          <w:tab w:val="num" w:pos="3240"/>
        </w:tabs>
        <w:ind w:left="3240" w:hanging="360"/>
      </w:pPr>
      <w:rPr>
        <w:rFonts w:ascii="Arial" w:hAnsi="Arial" w:hint="default"/>
      </w:rPr>
    </w:lvl>
    <w:lvl w:ilvl="5" w:tplc="E8FCBB72" w:tentative="1">
      <w:start w:val="1"/>
      <w:numFmt w:val="bullet"/>
      <w:lvlText w:val="•"/>
      <w:lvlJc w:val="left"/>
      <w:pPr>
        <w:tabs>
          <w:tab w:val="num" w:pos="3960"/>
        </w:tabs>
        <w:ind w:left="3960" w:hanging="360"/>
      </w:pPr>
      <w:rPr>
        <w:rFonts w:ascii="Arial" w:hAnsi="Arial" w:hint="default"/>
      </w:rPr>
    </w:lvl>
    <w:lvl w:ilvl="6" w:tplc="B178C548" w:tentative="1">
      <w:start w:val="1"/>
      <w:numFmt w:val="bullet"/>
      <w:lvlText w:val="•"/>
      <w:lvlJc w:val="left"/>
      <w:pPr>
        <w:tabs>
          <w:tab w:val="num" w:pos="4680"/>
        </w:tabs>
        <w:ind w:left="4680" w:hanging="360"/>
      </w:pPr>
      <w:rPr>
        <w:rFonts w:ascii="Arial" w:hAnsi="Arial" w:hint="default"/>
      </w:rPr>
    </w:lvl>
    <w:lvl w:ilvl="7" w:tplc="1910DC44" w:tentative="1">
      <w:start w:val="1"/>
      <w:numFmt w:val="bullet"/>
      <w:lvlText w:val="•"/>
      <w:lvlJc w:val="left"/>
      <w:pPr>
        <w:tabs>
          <w:tab w:val="num" w:pos="5400"/>
        </w:tabs>
        <w:ind w:left="5400" w:hanging="360"/>
      </w:pPr>
      <w:rPr>
        <w:rFonts w:ascii="Arial" w:hAnsi="Arial" w:hint="default"/>
      </w:rPr>
    </w:lvl>
    <w:lvl w:ilvl="8" w:tplc="ABDEF4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1B829FD"/>
    <w:multiLevelType w:val="hybridMultilevel"/>
    <w:tmpl w:val="F0F8EAF2"/>
    <w:lvl w:ilvl="0" w:tplc="EAECF266">
      <w:start w:val="1"/>
      <w:numFmt w:val="bullet"/>
      <w:lvlText w:val="•"/>
      <w:lvlJc w:val="left"/>
      <w:pPr>
        <w:tabs>
          <w:tab w:val="num" w:pos="720"/>
        </w:tabs>
        <w:ind w:left="720" w:hanging="360"/>
      </w:pPr>
      <w:rPr>
        <w:rFonts w:ascii="Arial" w:hAnsi="Arial" w:hint="default"/>
      </w:rPr>
    </w:lvl>
    <w:lvl w:ilvl="1" w:tplc="B9CEB9A8" w:tentative="1">
      <w:start w:val="1"/>
      <w:numFmt w:val="bullet"/>
      <w:lvlText w:val="•"/>
      <w:lvlJc w:val="left"/>
      <w:pPr>
        <w:tabs>
          <w:tab w:val="num" w:pos="1440"/>
        </w:tabs>
        <w:ind w:left="1440" w:hanging="360"/>
      </w:pPr>
      <w:rPr>
        <w:rFonts w:ascii="Arial" w:hAnsi="Arial" w:hint="default"/>
      </w:rPr>
    </w:lvl>
    <w:lvl w:ilvl="2" w:tplc="038ECB68" w:tentative="1">
      <w:start w:val="1"/>
      <w:numFmt w:val="bullet"/>
      <w:lvlText w:val="•"/>
      <w:lvlJc w:val="left"/>
      <w:pPr>
        <w:tabs>
          <w:tab w:val="num" w:pos="2160"/>
        </w:tabs>
        <w:ind w:left="2160" w:hanging="360"/>
      </w:pPr>
      <w:rPr>
        <w:rFonts w:ascii="Arial" w:hAnsi="Arial" w:hint="default"/>
      </w:rPr>
    </w:lvl>
    <w:lvl w:ilvl="3" w:tplc="C9E27ECE" w:tentative="1">
      <w:start w:val="1"/>
      <w:numFmt w:val="bullet"/>
      <w:lvlText w:val="•"/>
      <w:lvlJc w:val="left"/>
      <w:pPr>
        <w:tabs>
          <w:tab w:val="num" w:pos="2880"/>
        </w:tabs>
        <w:ind w:left="2880" w:hanging="360"/>
      </w:pPr>
      <w:rPr>
        <w:rFonts w:ascii="Arial" w:hAnsi="Arial" w:hint="default"/>
      </w:rPr>
    </w:lvl>
    <w:lvl w:ilvl="4" w:tplc="0A3024D6" w:tentative="1">
      <w:start w:val="1"/>
      <w:numFmt w:val="bullet"/>
      <w:lvlText w:val="•"/>
      <w:lvlJc w:val="left"/>
      <w:pPr>
        <w:tabs>
          <w:tab w:val="num" w:pos="3600"/>
        </w:tabs>
        <w:ind w:left="3600" w:hanging="360"/>
      </w:pPr>
      <w:rPr>
        <w:rFonts w:ascii="Arial" w:hAnsi="Arial" w:hint="default"/>
      </w:rPr>
    </w:lvl>
    <w:lvl w:ilvl="5" w:tplc="8FF06844" w:tentative="1">
      <w:start w:val="1"/>
      <w:numFmt w:val="bullet"/>
      <w:lvlText w:val="•"/>
      <w:lvlJc w:val="left"/>
      <w:pPr>
        <w:tabs>
          <w:tab w:val="num" w:pos="4320"/>
        </w:tabs>
        <w:ind w:left="4320" w:hanging="360"/>
      </w:pPr>
      <w:rPr>
        <w:rFonts w:ascii="Arial" w:hAnsi="Arial" w:hint="default"/>
      </w:rPr>
    </w:lvl>
    <w:lvl w:ilvl="6" w:tplc="931033D4" w:tentative="1">
      <w:start w:val="1"/>
      <w:numFmt w:val="bullet"/>
      <w:lvlText w:val="•"/>
      <w:lvlJc w:val="left"/>
      <w:pPr>
        <w:tabs>
          <w:tab w:val="num" w:pos="5040"/>
        </w:tabs>
        <w:ind w:left="5040" w:hanging="360"/>
      </w:pPr>
      <w:rPr>
        <w:rFonts w:ascii="Arial" w:hAnsi="Arial" w:hint="default"/>
      </w:rPr>
    </w:lvl>
    <w:lvl w:ilvl="7" w:tplc="C09A7392" w:tentative="1">
      <w:start w:val="1"/>
      <w:numFmt w:val="bullet"/>
      <w:lvlText w:val="•"/>
      <w:lvlJc w:val="left"/>
      <w:pPr>
        <w:tabs>
          <w:tab w:val="num" w:pos="5760"/>
        </w:tabs>
        <w:ind w:left="5760" w:hanging="360"/>
      </w:pPr>
      <w:rPr>
        <w:rFonts w:ascii="Arial" w:hAnsi="Arial" w:hint="default"/>
      </w:rPr>
    </w:lvl>
    <w:lvl w:ilvl="8" w:tplc="02DAA648" w:tentative="1">
      <w:start w:val="1"/>
      <w:numFmt w:val="bullet"/>
      <w:lvlText w:val="•"/>
      <w:lvlJc w:val="left"/>
      <w:pPr>
        <w:tabs>
          <w:tab w:val="num" w:pos="6480"/>
        </w:tabs>
        <w:ind w:left="6480" w:hanging="360"/>
      </w:pPr>
      <w:rPr>
        <w:rFonts w:ascii="Arial" w:hAnsi="Arial" w:hint="default"/>
      </w:rPr>
    </w:lvl>
  </w:abstractNum>
  <w:num w:numId="1" w16cid:durableId="1396003517">
    <w:abstractNumId w:val="4"/>
  </w:num>
  <w:num w:numId="2" w16cid:durableId="1646931815">
    <w:abstractNumId w:val="1"/>
  </w:num>
  <w:num w:numId="3" w16cid:durableId="1335567346">
    <w:abstractNumId w:val="3"/>
  </w:num>
  <w:num w:numId="4" w16cid:durableId="1233396467">
    <w:abstractNumId w:val="2"/>
  </w:num>
  <w:num w:numId="5" w16cid:durableId="140452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F8"/>
    <w:rsid w:val="000369AC"/>
    <w:rsid w:val="00617A78"/>
    <w:rsid w:val="006D7F26"/>
    <w:rsid w:val="00727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0A244"/>
  <w15:chartTrackingRefBased/>
  <w15:docId w15:val="{56AE6B96-86F6-4DF5-BF64-E0DDCC1D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7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F8"/>
  </w:style>
  <w:style w:type="paragraph" w:styleId="Footer">
    <w:name w:val="footer"/>
    <w:basedOn w:val="Normal"/>
    <w:link w:val="FooterChar"/>
    <w:uiPriority w:val="99"/>
    <w:unhideWhenUsed/>
    <w:rsid w:val="0072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F8"/>
  </w:style>
  <w:style w:type="character" w:customStyle="1" w:styleId="Heading1Char">
    <w:name w:val="Heading 1 Char"/>
    <w:basedOn w:val="DefaultParagraphFont"/>
    <w:link w:val="Heading1"/>
    <w:uiPriority w:val="9"/>
    <w:rsid w:val="00727D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7DF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27DF8"/>
    <w:pPr>
      <w:ind w:left="720"/>
      <w:contextualSpacing/>
    </w:pPr>
  </w:style>
  <w:style w:type="paragraph" w:customStyle="1" w:styleId="Default">
    <w:name w:val="Default"/>
    <w:rsid w:val="006D7F2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D7F26"/>
    <w:rPr>
      <w:color w:val="0563C1" w:themeColor="hyperlink"/>
      <w:u w:val="single"/>
    </w:rPr>
  </w:style>
  <w:style w:type="character" w:styleId="UnresolvedMention">
    <w:name w:val="Unresolved Mention"/>
    <w:basedOn w:val="DefaultParagraphFont"/>
    <w:uiPriority w:val="99"/>
    <w:semiHidden/>
    <w:unhideWhenUsed/>
    <w:rsid w:val="006D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33">
      <w:bodyDiv w:val="1"/>
      <w:marLeft w:val="0"/>
      <w:marRight w:val="0"/>
      <w:marTop w:val="0"/>
      <w:marBottom w:val="0"/>
      <w:divBdr>
        <w:top w:val="none" w:sz="0" w:space="0" w:color="auto"/>
        <w:left w:val="none" w:sz="0" w:space="0" w:color="auto"/>
        <w:bottom w:val="none" w:sz="0" w:space="0" w:color="auto"/>
        <w:right w:val="none" w:sz="0" w:space="0" w:color="auto"/>
      </w:divBdr>
      <w:divsChild>
        <w:div w:id="1433167556">
          <w:marLeft w:val="446"/>
          <w:marRight w:val="0"/>
          <w:marTop w:val="0"/>
          <w:marBottom w:val="120"/>
          <w:divBdr>
            <w:top w:val="none" w:sz="0" w:space="0" w:color="auto"/>
            <w:left w:val="none" w:sz="0" w:space="0" w:color="auto"/>
            <w:bottom w:val="none" w:sz="0" w:space="0" w:color="auto"/>
            <w:right w:val="none" w:sz="0" w:space="0" w:color="auto"/>
          </w:divBdr>
        </w:div>
        <w:div w:id="2072532872">
          <w:marLeft w:val="446"/>
          <w:marRight w:val="0"/>
          <w:marTop w:val="0"/>
          <w:marBottom w:val="120"/>
          <w:divBdr>
            <w:top w:val="none" w:sz="0" w:space="0" w:color="auto"/>
            <w:left w:val="none" w:sz="0" w:space="0" w:color="auto"/>
            <w:bottom w:val="none" w:sz="0" w:space="0" w:color="auto"/>
            <w:right w:val="none" w:sz="0" w:space="0" w:color="auto"/>
          </w:divBdr>
        </w:div>
        <w:div w:id="1472599004">
          <w:marLeft w:val="446"/>
          <w:marRight w:val="0"/>
          <w:marTop w:val="0"/>
          <w:marBottom w:val="120"/>
          <w:divBdr>
            <w:top w:val="none" w:sz="0" w:space="0" w:color="auto"/>
            <w:left w:val="none" w:sz="0" w:space="0" w:color="auto"/>
            <w:bottom w:val="none" w:sz="0" w:space="0" w:color="auto"/>
            <w:right w:val="none" w:sz="0" w:space="0" w:color="auto"/>
          </w:divBdr>
        </w:div>
        <w:div w:id="1716081769">
          <w:marLeft w:val="446"/>
          <w:marRight w:val="0"/>
          <w:marTop w:val="0"/>
          <w:marBottom w:val="120"/>
          <w:divBdr>
            <w:top w:val="none" w:sz="0" w:space="0" w:color="auto"/>
            <w:left w:val="none" w:sz="0" w:space="0" w:color="auto"/>
            <w:bottom w:val="none" w:sz="0" w:space="0" w:color="auto"/>
            <w:right w:val="none" w:sz="0" w:space="0" w:color="auto"/>
          </w:divBdr>
        </w:div>
      </w:divsChild>
    </w:div>
    <w:div w:id="306210812">
      <w:bodyDiv w:val="1"/>
      <w:marLeft w:val="0"/>
      <w:marRight w:val="0"/>
      <w:marTop w:val="0"/>
      <w:marBottom w:val="0"/>
      <w:divBdr>
        <w:top w:val="none" w:sz="0" w:space="0" w:color="auto"/>
        <w:left w:val="none" w:sz="0" w:space="0" w:color="auto"/>
        <w:bottom w:val="none" w:sz="0" w:space="0" w:color="auto"/>
        <w:right w:val="none" w:sz="0" w:space="0" w:color="auto"/>
      </w:divBdr>
    </w:div>
    <w:div w:id="348802215">
      <w:bodyDiv w:val="1"/>
      <w:marLeft w:val="0"/>
      <w:marRight w:val="0"/>
      <w:marTop w:val="0"/>
      <w:marBottom w:val="0"/>
      <w:divBdr>
        <w:top w:val="none" w:sz="0" w:space="0" w:color="auto"/>
        <w:left w:val="none" w:sz="0" w:space="0" w:color="auto"/>
        <w:bottom w:val="none" w:sz="0" w:space="0" w:color="auto"/>
        <w:right w:val="none" w:sz="0" w:space="0" w:color="auto"/>
      </w:divBdr>
      <w:divsChild>
        <w:div w:id="1469131412">
          <w:marLeft w:val="446"/>
          <w:marRight w:val="0"/>
          <w:marTop w:val="0"/>
          <w:marBottom w:val="120"/>
          <w:divBdr>
            <w:top w:val="none" w:sz="0" w:space="0" w:color="auto"/>
            <w:left w:val="none" w:sz="0" w:space="0" w:color="auto"/>
            <w:bottom w:val="none" w:sz="0" w:space="0" w:color="auto"/>
            <w:right w:val="none" w:sz="0" w:space="0" w:color="auto"/>
          </w:divBdr>
        </w:div>
      </w:divsChild>
    </w:div>
    <w:div w:id="840896317">
      <w:bodyDiv w:val="1"/>
      <w:marLeft w:val="0"/>
      <w:marRight w:val="0"/>
      <w:marTop w:val="0"/>
      <w:marBottom w:val="0"/>
      <w:divBdr>
        <w:top w:val="none" w:sz="0" w:space="0" w:color="auto"/>
        <w:left w:val="none" w:sz="0" w:space="0" w:color="auto"/>
        <w:bottom w:val="none" w:sz="0" w:space="0" w:color="auto"/>
        <w:right w:val="none" w:sz="0" w:space="0" w:color="auto"/>
      </w:divBdr>
    </w:div>
    <w:div w:id="952900599">
      <w:bodyDiv w:val="1"/>
      <w:marLeft w:val="0"/>
      <w:marRight w:val="0"/>
      <w:marTop w:val="0"/>
      <w:marBottom w:val="0"/>
      <w:divBdr>
        <w:top w:val="none" w:sz="0" w:space="0" w:color="auto"/>
        <w:left w:val="none" w:sz="0" w:space="0" w:color="auto"/>
        <w:bottom w:val="none" w:sz="0" w:space="0" w:color="auto"/>
        <w:right w:val="none" w:sz="0" w:space="0" w:color="auto"/>
      </w:divBdr>
    </w:div>
    <w:div w:id="1250237238">
      <w:bodyDiv w:val="1"/>
      <w:marLeft w:val="0"/>
      <w:marRight w:val="0"/>
      <w:marTop w:val="0"/>
      <w:marBottom w:val="0"/>
      <w:divBdr>
        <w:top w:val="none" w:sz="0" w:space="0" w:color="auto"/>
        <w:left w:val="none" w:sz="0" w:space="0" w:color="auto"/>
        <w:bottom w:val="none" w:sz="0" w:space="0" w:color="auto"/>
        <w:right w:val="none" w:sz="0" w:space="0" w:color="auto"/>
      </w:divBdr>
      <w:divsChild>
        <w:div w:id="192231274">
          <w:marLeft w:val="446"/>
          <w:marRight w:val="0"/>
          <w:marTop w:val="0"/>
          <w:marBottom w:val="160"/>
          <w:divBdr>
            <w:top w:val="none" w:sz="0" w:space="0" w:color="auto"/>
            <w:left w:val="none" w:sz="0" w:space="0" w:color="auto"/>
            <w:bottom w:val="none" w:sz="0" w:space="0" w:color="auto"/>
            <w:right w:val="none" w:sz="0" w:space="0" w:color="auto"/>
          </w:divBdr>
        </w:div>
        <w:div w:id="208688537">
          <w:marLeft w:val="446"/>
          <w:marRight w:val="0"/>
          <w:marTop w:val="0"/>
          <w:marBottom w:val="160"/>
          <w:divBdr>
            <w:top w:val="none" w:sz="0" w:space="0" w:color="auto"/>
            <w:left w:val="none" w:sz="0" w:space="0" w:color="auto"/>
            <w:bottom w:val="none" w:sz="0" w:space="0" w:color="auto"/>
            <w:right w:val="none" w:sz="0" w:space="0" w:color="auto"/>
          </w:divBdr>
        </w:div>
        <w:div w:id="1508590915">
          <w:marLeft w:val="446"/>
          <w:marRight w:val="0"/>
          <w:marTop w:val="0"/>
          <w:marBottom w:val="160"/>
          <w:divBdr>
            <w:top w:val="none" w:sz="0" w:space="0" w:color="auto"/>
            <w:left w:val="none" w:sz="0" w:space="0" w:color="auto"/>
            <w:bottom w:val="none" w:sz="0" w:space="0" w:color="auto"/>
            <w:right w:val="none" w:sz="0" w:space="0" w:color="auto"/>
          </w:divBdr>
        </w:div>
        <w:div w:id="1131627905">
          <w:marLeft w:val="446"/>
          <w:marRight w:val="0"/>
          <w:marTop w:val="0"/>
          <w:marBottom w:val="160"/>
          <w:divBdr>
            <w:top w:val="none" w:sz="0" w:space="0" w:color="auto"/>
            <w:left w:val="none" w:sz="0" w:space="0" w:color="auto"/>
            <w:bottom w:val="none" w:sz="0" w:space="0" w:color="auto"/>
            <w:right w:val="none" w:sz="0" w:space="0" w:color="auto"/>
          </w:divBdr>
        </w:div>
        <w:div w:id="1781728643">
          <w:marLeft w:val="446"/>
          <w:marRight w:val="0"/>
          <w:marTop w:val="0"/>
          <w:marBottom w:val="160"/>
          <w:divBdr>
            <w:top w:val="none" w:sz="0" w:space="0" w:color="auto"/>
            <w:left w:val="none" w:sz="0" w:space="0" w:color="auto"/>
            <w:bottom w:val="none" w:sz="0" w:space="0" w:color="auto"/>
            <w:right w:val="none" w:sz="0" w:space="0" w:color="auto"/>
          </w:divBdr>
        </w:div>
        <w:div w:id="103504316">
          <w:marLeft w:val="446"/>
          <w:marRight w:val="0"/>
          <w:marTop w:val="0"/>
          <w:marBottom w:val="160"/>
          <w:divBdr>
            <w:top w:val="none" w:sz="0" w:space="0" w:color="auto"/>
            <w:left w:val="none" w:sz="0" w:space="0" w:color="auto"/>
            <w:bottom w:val="none" w:sz="0" w:space="0" w:color="auto"/>
            <w:right w:val="none" w:sz="0" w:space="0" w:color="auto"/>
          </w:divBdr>
        </w:div>
        <w:div w:id="868839750">
          <w:marLeft w:val="446"/>
          <w:marRight w:val="0"/>
          <w:marTop w:val="0"/>
          <w:marBottom w:val="160"/>
          <w:divBdr>
            <w:top w:val="none" w:sz="0" w:space="0" w:color="auto"/>
            <w:left w:val="none" w:sz="0" w:space="0" w:color="auto"/>
            <w:bottom w:val="none" w:sz="0" w:space="0" w:color="auto"/>
            <w:right w:val="none" w:sz="0" w:space="0" w:color="auto"/>
          </w:divBdr>
        </w:div>
        <w:div w:id="1625115836">
          <w:marLeft w:val="446"/>
          <w:marRight w:val="0"/>
          <w:marTop w:val="0"/>
          <w:marBottom w:val="160"/>
          <w:divBdr>
            <w:top w:val="none" w:sz="0" w:space="0" w:color="auto"/>
            <w:left w:val="none" w:sz="0" w:space="0" w:color="auto"/>
            <w:bottom w:val="none" w:sz="0" w:space="0" w:color="auto"/>
            <w:right w:val="none" w:sz="0" w:space="0" w:color="auto"/>
          </w:divBdr>
        </w:div>
        <w:div w:id="1960259098">
          <w:marLeft w:val="446"/>
          <w:marRight w:val="0"/>
          <w:marTop w:val="0"/>
          <w:marBottom w:val="160"/>
          <w:divBdr>
            <w:top w:val="none" w:sz="0" w:space="0" w:color="auto"/>
            <w:left w:val="none" w:sz="0" w:space="0" w:color="auto"/>
            <w:bottom w:val="none" w:sz="0" w:space="0" w:color="auto"/>
            <w:right w:val="none" w:sz="0" w:space="0" w:color="auto"/>
          </w:divBdr>
        </w:div>
        <w:div w:id="1289706164">
          <w:marLeft w:val="446"/>
          <w:marRight w:val="0"/>
          <w:marTop w:val="0"/>
          <w:marBottom w:val="160"/>
          <w:divBdr>
            <w:top w:val="none" w:sz="0" w:space="0" w:color="auto"/>
            <w:left w:val="none" w:sz="0" w:space="0" w:color="auto"/>
            <w:bottom w:val="none" w:sz="0" w:space="0" w:color="auto"/>
            <w:right w:val="none" w:sz="0" w:space="0" w:color="auto"/>
          </w:divBdr>
        </w:div>
      </w:divsChild>
    </w:div>
    <w:div w:id="1428382541">
      <w:bodyDiv w:val="1"/>
      <w:marLeft w:val="0"/>
      <w:marRight w:val="0"/>
      <w:marTop w:val="0"/>
      <w:marBottom w:val="0"/>
      <w:divBdr>
        <w:top w:val="none" w:sz="0" w:space="0" w:color="auto"/>
        <w:left w:val="none" w:sz="0" w:space="0" w:color="auto"/>
        <w:bottom w:val="none" w:sz="0" w:space="0" w:color="auto"/>
        <w:right w:val="none" w:sz="0" w:space="0" w:color="auto"/>
      </w:divBdr>
    </w:div>
    <w:div w:id="1438213631">
      <w:bodyDiv w:val="1"/>
      <w:marLeft w:val="0"/>
      <w:marRight w:val="0"/>
      <w:marTop w:val="0"/>
      <w:marBottom w:val="0"/>
      <w:divBdr>
        <w:top w:val="none" w:sz="0" w:space="0" w:color="auto"/>
        <w:left w:val="none" w:sz="0" w:space="0" w:color="auto"/>
        <w:bottom w:val="none" w:sz="0" w:space="0" w:color="auto"/>
        <w:right w:val="none" w:sz="0" w:space="0" w:color="auto"/>
      </w:divBdr>
    </w:div>
    <w:div w:id="1444953942">
      <w:bodyDiv w:val="1"/>
      <w:marLeft w:val="0"/>
      <w:marRight w:val="0"/>
      <w:marTop w:val="0"/>
      <w:marBottom w:val="0"/>
      <w:divBdr>
        <w:top w:val="none" w:sz="0" w:space="0" w:color="auto"/>
        <w:left w:val="none" w:sz="0" w:space="0" w:color="auto"/>
        <w:bottom w:val="none" w:sz="0" w:space="0" w:color="auto"/>
        <w:right w:val="none" w:sz="0" w:space="0" w:color="auto"/>
      </w:divBdr>
    </w:div>
    <w:div w:id="1472944987">
      <w:bodyDiv w:val="1"/>
      <w:marLeft w:val="0"/>
      <w:marRight w:val="0"/>
      <w:marTop w:val="0"/>
      <w:marBottom w:val="0"/>
      <w:divBdr>
        <w:top w:val="none" w:sz="0" w:space="0" w:color="auto"/>
        <w:left w:val="none" w:sz="0" w:space="0" w:color="auto"/>
        <w:bottom w:val="none" w:sz="0" w:space="0" w:color="auto"/>
        <w:right w:val="none" w:sz="0" w:space="0" w:color="auto"/>
      </w:divBdr>
    </w:div>
    <w:div w:id="1493721197">
      <w:bodyDiv w:val="1"/>
      <w:marLeft w:val="0"/>
      <w:marRight w:val="0"/>
      <w:marTop w:val="0"/>
      <w:marBottom w:val="0"/>
      <w:divBdr>
        <w:top w:val="none" w:sz="0" w:space="0" w:color="auto"/>
        <w:left w:val="none" w:sz="0" w:space="0" w:color="auto"/>
        <w:bottom w:val="none" w:sz="0" w:space="0" w:color="auto"/>
        <w:right w:val="none" w:sz="0" w:space="0" w:color="auto"/>
      </w:divBdr>
      <w:divsChild>
        <w:div w:id="943414648">
          <w:marLeft w:val="446"/>
          <w:marRight w:val="0"/>
          <w:marTop w:val="0"/>
          <w:marBottom w:val="160"/>
          <w:divBdr>
            <w:top w:val="none" w:sz="0" w:space="0" w:color="auto"/>
            <w:left w:val="none" w:sz="0" w:space="0" w:color="auto"/>
            <w:bottom w:val="none" w:sz="0" w:space="0" w:color="auto"/>
            <w:right w:val="none" w:sz="0" w:space="0" w:color="auto"/>
          </w:divBdr>
        </w:div>
        <w:div w:id="1385254348">
          <w:marLeft w:val="446"/>
          <w:marRight w:val="0"/>
          <w:marTop w:val="0"/>
          <w:marBottom w:val="160"/>
          <w:divBdr>
            <w:top w:val="none" w:sz="0" w:space="0" w:color="auto"/>
            <w:left w:val="none" w:sz="0" w:space="0" w:color="auto"/>
            <w:bottom w:val="none" w:sz="0" w:space="0" w:color="auto"/>
            <w:right w:val="none" w:sz="0" w:space="0" w:color="auto"/>
          </w:divBdr>
        </w:div>
        <w:div w:id="1148012940">
          <w:marLeft w:val="446"/>
          <w:marRight w:val="0"/>
          <w:marTop w:val="0"/>
          <w:marBottom w:val="160"/>
          <w:divBdr>
            <w:top w:val="none" w:sz="0" w:space="0" w:color="auto"/>
            <w:left w:val="none" w:sz="0" w:space="0" w:color="auto"/>
            <w:bottom w:val="none" w:sz="0" w:space="0" w:color="auto"/>
            <w:right w:val="none" w:sz="0" w:space="0" w:color="auto"/>
          </w:divBdr>
        </w:div>
        <w:div w:id="590360592">
          <w:marLeft w:val="446"/>
          <w:marRight w:val="0"/>
          <w:marTop w:val="0"/>
          <w:marBottom w:val="160"/>
          <w:divBdr>
            <w:top w:val="none" w:sz="0" w:space="0" w:color="auto"/>
            <w:left w:val="none" w:sz="0" w:space="0" w:color="auto"/>
            <w:bottom w:val="none" w:sz="0" w:space="0" w:color="auto"/>
            <w:right w:val="none" w:sz="0" w:space="0" w:color="auto"/>
          </w:divBdr>
        </w:div>
      </w:divsChild>
    </w:div>
    <w:div w:id="1509322514">
      <w:bodyDiv w:val="1"/>
      <w:marLeft w:val="0"/>
      <w:marRight w:val="0"/>
      <w:marTop w:val="0"/>
      <w:marBottom w:val="0"/>
      <w:divBdr>
        <w:top w:val="none" w:sz="0" w:space="0" w:color="auto"/>
        <w:left w:val="none" w:sz="0" w:space="0" w:color="auto"/>
        <w:bottom w:val="none" w:sz="0" w:space="0" w:color="auto"/>
        <w:right w:val="none" w:sz="0" w:space="0" w:color="auto"/>
      </w:divBdr>
    </w:div>
    <w:div w:id="1827164698">
      <w:bodyDiv w:val="1"/>
      <w:marLeft w:val="0"/>
      <w:marRight w:val="0"/>
      <w:marTop w:val="0"/>
      <w:marBottom w:val="0"/>
      <w:divBdr>
        <w:top w:val="none" w:sz="0" w:space="0" w:color="auto"/>
        <w:left w:val="none" w:sz="0" w:space="0" w:color="auto"/>
        <w:bottom w:val="none" w:sz="0" w:space="0" w:color="auto"/>
        <w:right w:val="none" w:sz="0" w:space="0" w:color="auto"/>
      </w:divBdr>
      <w:divsChild>
        <w:div w:id="2099666027">
          <w:marLeft w:val="446"/>
          <w:marRight w:val="0"/>
          <w:marTop w:val="0"/>
          <w:marBottom w:val="160"/>
          <w:divBdr>
            <w:top w:val="none" w:sz="0" w:space="0" w:color="auto"/>
            <w:left w:val="none" w:sz="0" w:space="0" w:color="auto"/>
            <w:bottom w:val="none" w:sz="0" w:space="0" w:color="auto"/>
            <w:right w:val="none" w:sz="0" w:space="0" w:color="auto"/>
          </w:divBdr>
        </w:div>
        <w:div w:id="211308235">
          <w:marLeft w:val="446"/>
          <w:marRight w:val="0"/>
          <w:marTop w:val="0"/>
          <w:marBottom w:val="160"/>
          <w:divBdr>
            <w:top w:val="none" w:sz="0" w:space="0" w:color="auto"/>
            <w:left w:val="none" w:sz="0" w:space="0" w:color="auto"/>
            <w:bottom w:val="none" w:sz="0" w:space="0" w:color="auto"/>
            <w:right w:val="none" w:sz="0" w:space="0" w:color="auto"/>
          </w:divBdr>
        </w:div>
      </w:divsChild>
    </w:div>
    <w:div w:id="1897085817">
      <w:bodyDiv w:val="1"/>
      <w:marLeft w:val="0"/>
      <w:marRight w:val="0"/>
      <w:marTop w:val="0"/>
      <w:marBottom w:val="0"/>
      <w:divBdr>
        <w:top w:val="none" w:sz="0" w:space="0" w:color="auto"/>
        <w:left w:val="none" w:sz="0" w:space="0" w:color="auto"/>
        <w:bottom w:val="none" w:sz="0" w:space="0" w:color="auto"/>
        <w:right w:val="none" w:sz="0" w:space="0" w:color="auto"/>
      </w:divBdr>
    </w:div>
    <w:div w:id="2091079492">
      <w:bodyDiv w:val="1"/>
      <w:marLeft w:val="0"/>
      <w:marRight w:val="0"/>
      <w:marTop w:val="0"/>
      <w:marBottom w:val="0"/>
      <w:divBdr>
        <w:top w:val="none" w:sz="0" w:space="0" w:color="auto"/>
        <w:left w:val="none" w:sz="0" w:space="0" w:color="auto"/>
        <w:bottom w:val="none" w:sz="0" w:space="0" w:color="auto"/>
        <w:right w:val="none" w:sz="0" w:space="0" w:color="auto"/>
      </w:divBdr>
    </w:div>
    <w:div w:id="21136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spgenbiosecurity@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76616-8574-439F-AE78-BEA1A8AF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9ED35-3237-4880-8EC3-303B657F1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Strategy 2022-2025</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2022-2025</dc:title>
  <dc:subject/>
  <dc:creator>Inspector-General of Biosecurity</dc:creator>
  <cp:keywords/>
  <dc:description/>
  <cp:revision>4</cp:revision>
  <dcterms:created xsi:type="dcterms:W3CDTF">2023-01-16T22:32:00Z</dcterms:created>
  <dcterms:modified xsi:type="dcterms:W3CDTF">2023-01-20T03:55:00Z</dcterms:modified>
</cp:coreProperties>
</file>