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AB8" w:rsidRDefault="0063633E" w:rsidP="006074B9">
      <w:bookmarkStart w:id="0" w:name="_Toc338227739"/>
      <w:r w:rsidRPr="00D35D74">
        <w:rPr>
          <w:noProof/>
        </w:rPr>
        <w:drawing>
          <wp:inline distT="0" distB="0" distL="0" distR="0">
            <wp:extent cx="2113915" cy="958215"/>
            <wp:effectExtent l="0" t="0" r="635" b="0"/>
            <wp:docPr id="2" name="Picture 2" descr="Interim Inspector-General of Biosecurity, Australian 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im Inspector-General of Biosecurity, Australian Department of Agriculture and Water Resources"/>
                    <pic:cNvPicPr>
                      <a:picLocks noChangeAspect="1" noChangeArrowheads="1"/>
                    </pic:cNvPicPr>
                  </pic:nvPicPr>
                  <pic:blipFill>
                    <a:blip r:embed="rId8" cstate="print">
                      <a:extLst>
                        <a:ext uri="{28A0092B-C50C-407E-A947-70E740481C1C}">
                          <a14:useLocalDpi xmlns:a14="http://schemas.microsoft.com/office/drawing/2010/main" val="0"/>
                        </a:ext>
                      </a:extLst>
                    </a:blip>
                    <a:srcRect r="1103"/>
                    <a:stretch>
                      <a:fillRect/>
                    </a:stretch>
                  </pic:blipFill>
                  <pic:spPr bwMode="auto">
                    <a:xfrm>
                      <a:off x="0" y="0"/>
                      <a:ext cx="2113915" cy="958215"/>
                    </a:xfrm>
                    <a:prstGeom prst="rect">
                      <a:avLst/>
                    </a:prstGeom>
                    <a:noFill/>
                    <a:ln>
                      <a:noFill/>
                    </a:ln>
                  </pic:spPr>
                </pic:pic>
              </a:graphicData>
            </a:graphic>
          </wp:inline>
        </w:drawing>
      </w:r>
      <w:bookmarkStart w:id="1" w:name="OLE_LINK9"/>
      <w:bookmarkStart w:id="2" w:name="OLE_LINK10"/>
    </w:p>
    <w:p w:rsidR="00846AB8" w:rsidRDefault="00846AB8" w:rsidP="0079101C">
      <w:pPr>
        <w:pStyle w:val="Heading1"/>
        <w:rPr>
          <w:rFonts w:ascii="Times New Roman" w:hAnsi="Times New Roman"/>
        </w:rPr>
      </w:pPr>
      <w:bookmarkStart w:id="3" w:name="_Toc444774638"/>
      <w:bookmarkStart w:id="4" w:name="_Toc444774818"/>
      <w:bookmarkStart w:id="5" w:name="_Toc450834442"/>
      <w:bookmarkEnd w:id="1"/>
      <w:bookmarkEnd w:id="2"/>
      <w:r w:rsidRPr="0079101C">
        <w:rPr>
          <w:rFonts w:ascii="Calibri" w:eastAsia="Times New Roman" w:hAnsi="Calibri" w:cs="Times New Roman"/>
          <w:color w:val="000000"/>
          <w:kern w:val="0"/>
          <w:sz w:val="48"/>
          <w:szCs w:val="48"/>
        </w:rPr>
        <w:t>Interim Inspector</w:t>
      </w:r>
      <w:r w:rsidR="0079101C">
        <w:rPr>
          <w:rFonts w:ascii="Calibri" w:eastAsia="Times New Roman" w:hAnsi="Calibri" w:cs="Times New Roman"/>
          <w:color w:val="000000"/>
          <w:kern w:val="0"/>
          <w:sz w:val="48"/>
          <w:szCs w:val="48"/>
        </w:rPr>
        <w:t>-</w:t>
      </w:r>
      <w:r w:rsidRPr="0079101C">
        <w:rPr>
          <w:rFonts w:ascii="Calibri" w:eastAsia="Times New Roman" w:hAnsi="Calibri" w:cs="Times New Roman"/>
          <w:color w:val="000000"/>
          <w:kern w:val="0"/>
          <w:sz w:val="48"/>
          <w:szCs w:val="48"/>
        </w:rPr>
        <w:t xml:space="preserve">General of Biosecurity </w:t>
      </w:r>
      <w:r w:rsidR="001D273C">
        <w:rPr>
          <w:rFonts w:ascii="Calibri" w:eastAsia="Times New Roman" w:hAnsi="Calibri" w:cs="Times New Roman"/>
          <w:color w:val="000000"/>
          <w:kern w:val="0"/>
          <w:sz w:val="48"/>
          <w:szCs w:val="48"/>
        </w:rPr>
        <w:t>annual r</w:t>
      </w:r>
      <w:r w:rsidR="00D84586" w:rsidRPr="0079101C">
        <w:rPr>
          <w:rFonts w:ascii="Calibri" w:eastAsia="Times New Roman" w:hAnsi="Calibri" w:cs="Times New Roman"/>
          <w:color w:val="000000"/>
          <w:kern w:val="0"/>
          <w:sz w:val="48"/>
          <w:szCs w:val="48"/>
        </w:rPr>
        <w:t>eport 2015–</w:t>
      </w:r>
      <w:r w:rsidR="00266E36" w:rsidRPr="0079101C">
        <w:rPr>
          <w:rFonts w:ascii="Calibri" w:eastAsia="Times New Roman" w:hAnsi="Calibri" w:cs="Times New Roman"/>
          <w:color w:val="000000"/>
          <w:kern w:val="0"/>
          <w:sz w:val="48"/>
          <w:szCs w:val="48"/>
        </w:rPr>
        <w:t>16</w:t>
      </w:r>
      <w:r w:rsidRPr="00CE5D0B">
        <w:t xml:space="preserve"> </w:t>
      </w:r>
      <w:r w:rsidR="00E53620">
        <w:rPr>
          <w:rFonts w:ascii="Times New Roman" w:hAnsi="Times New Roman"/>
        </w:rPr>
        <w:pict>
          <v:rect id="_x0000_i1025" style="width:0;height:1.5pt" o:hralign="center" o:hrstd="t" o:hr="t" fillcolor="#aca899" stroked="f"/>
        </w:pict>
      </w:r>
      <w:bookmarkEnd w:id="3"/>
      <w:bookmarkEnd w:id="4"/>
      <w:bookmarkEnd w:id="5"/>
    </w:p>
    <w:p w:rsidR="00396EF7" w:rsidRPr="00390E33" w:rsidRDefault="00846AB8" w:rsidP="00BA5D16">
      <w:pPr>
        <w:tabs>
          <w:tab w:val="left" w:pos="7857"/>
        </w:tabs>
        <w:rPr>
          <w:rStyle w:val="Strong"/>
          <w:rFonts w:eastAsia="Calibri"/>
        </w:rPr>
      </w:pPr>
      <w:r w:rsidRPr="00390E33">
        <w:rPr>
          <w:rStyle w:val="Strong"/>
          <w:rFonts w:eastAsia="Calibri"/>
        </w:rPr>
        <w:t>Audit report</w:t>
      </w:r>
    </w:p>
    <w:p w:rsidR="00846AB8" w:rsidRPr="000369A9" w:rsidRDefault="00D84586" w:rsidP="006074B9">
      <w:r>
        <w:t>No. 2015–</w:t>
      </w:r>
      <w:r w:rsidR="00266E36" w:rsidRPr="00F742FE">
        <w:t>16/05</w:t>
      </w:r>
    </w:p>
    <w:p w:rsidR="00846AB8" w:rsidRDefault="0063633E" w:rsidP="006074B9">
      <w:r>
        <w:rPr>
          <w:noProof/>
        </w:rPr>
        <w:drawing>
          <wp:inline distT="0" distB="0" distL="0" distR="0">
            <wp:extent cx="5976620" cy="5976620"/>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1915_0415_biosphere - IIGB_V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76620" cy="5976620"/>
                    </a:xfrm>
                    <a:prstGeom prst="rect">
                      <a:avLst/>
                    </a:prstGeom>
                    <a:noFill/>
                    <a:ln>
                      <a:noFill/>
                    </a:ln>
                  </pic:spPr>
                </pic:pic>
              </a:graphicData>
            </a:graphic>
          </wp:inline>
        </w:drawing>
      </w:r>
    </w:p>
    <w:p w:rsidR="00846AB8" w:rsidRDefault="005C4B9F" w:rsidP="006074B9">
      <w:pPr>
        <w:pStyle w:val="Tabletext"/>
      </w:pPr>
      <w:r>
        <w:br w:type="page"/>
      </w:r>
      <w:r w:rsidR="00846AB8">
        <w:lastRenderedPageBreak/>
        <w:t>© Commonwealth of Australia 2016</w:t>
      </w:r>
    </w:p>
    <w:p w:rsidR="00846AB8" w:rsidRDefault="00846AB8" w:rsidP="00846AB8">
      <w:pPr>
        <w:pStyle w:val="Copyrightpageheading"/>
      </w:pPr>
      <w:r>
        <w:t>Ownership of intellectual property rights</w:t>
      </w:r>
    </w:p>
    <w:p w:rsidR="00846AB8" w:rsidRDefault="00846AB8" w:rsidP="006074B9">
      <w:pPr>
        <w:pStyle w:val="Tabletext"/>
      </w:pPr>
      <w:r>
        <w:t>Unless otherwise noted, copyright (and any other intellectual property rights, if any) in this publication is owned by the Commonwealth of Australia (referred to as the Commonwealth).</w:t>
      </w:r>
    </w:p>
    <w:p w:rsidR="00846AB8" w:rsidRDefault="00846AB8" w:rsidP="00846AB8">
      <w:pPr>
        <w:pStyle w:val="Copyrightpageheading"/>
      </w:pPr>
      <w:proofErr w:type="gramStart"/>
      <w:r>
        <w:t>Creative Commons</w:t>
      </w:r>
      <w:proofErr w:type="gramEnd"/>
      <w:r>
        <w:t xml:space="preserve"> licence</w:t>
      </w:r>
    </w:p>
    <w:p w:rsidR="00846AB8" w:rsidRDefault="00846AB8" w:rsidP="006074B9">
      <w:pPr>
        <w:pStyle w:val="Tabletext"/>
      </w:pPr>
      <w:r>
        <w:t>All material in this publication is licensed under a Creative Commons Attribution 3.0 Australia Licence, save for content supplied by third parties, logos and the Commonwealth Coat of Arms.</w:t>
      </w:r>
    </w:p>
    <w:p w:rsidR="00846AB8" w:rsidRDefault="0063633E" w:rsidP="006074B9">
      <w:pPr>
        <w:pStyle w:val="Tabletext"/>
      </w:pPr>
      <w:r w:rsidRPr="00A045D1">
        <w:rPr>
          <w:noProof/>
          <w:lang w:eastAsia="en-AU" w:bidi="ar-SA"/>
        </w:rPr>
        <w:drawing>
          <wp:inline distT="0" distB="0" distL="0" distR="0">
            <wp:extent cx="723900" cy="255905"/>
            <wp:effectExtent l="0" t="0" r="0" b="0"/>
            <wp:docPr id="4" name="Picture 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3900" cy="255905"/>
                    </a:xfrm>
                    <a:prstGeom prst="rect">
                      <a:avLst/>
                    </a:prstGeom>
                    <a:noFill/>
                    <a:ln>
                      <a:noFill/>
                    </a:ln>
                  </pic:spPr>
                </pic:pic>
              </a:graphicData>
            </a:graphic>
          </wp:inline>
        </w:drawing>
      </w:r>
    </w:p>
    <w:p w:rsidR="00846AB8" w:rsidRDefault="00846AB8" w:rsidP="006074B9">
      <w:pPr>
        <w:pStyle w:val="Tabletext"/>
      </w:pPr>
      <w:r>
        <w:t xml:space="preserve">Creative Commons Attribution 3.0 Australia Licence is a standard form licence agreement that allows you to copy, distribute, transmit and adapt this publication provided you attribute the work. A summary of the licence terms is available from </w:t>
      </w:r>
      <w:hyperlink r:id="rId11" w:history="1">
        <w:r>
          <w:rPr>
            <w:rStyle w:val="Hyperlink"/>
          </w:rPr>
          <w:t>creativecommons.org/licenses/by/3.0/au/</w:t>
        </w:r>
        <w:proofErr w:type="spellStart"/>
        <w:r>
          <w:rPr>
            <w:rStyle w:val="Hyperlink"/>
          </w:rPr>
          <w:t>deed.en</w:t>
        </w:r>
        <w:proofErr w:type="spellEnd"/>
      </w:hyperlink>
      <w:r>
        <w:t xml:space="preserve">. The full licence terms are available from </w:t>
      </w:r>
      <w:hyperlink r:id="rId12" w:history="1">
        <w:r>
          <w:rPr>
            <w:rStyle w:val="Hyperlink"/>
          </w:rPr>
          <w:t>creativecommons.org/licenses/by/3.0/au/</w:t>
        </w:r>
        <w:proofErr w:type="spellStart"/>
        <w:r>
          <w:rPr>
            <w:rStyle w:val="Hyperlink"/>
          </w:rPr>
          <w:t>legalcode</w:t>
        </w:r>
        <w:proofErr w:type="spellEnd"/>
      </w:hyperlink>
      <w:r>
        <w:t>.</w:t>
      </w:r>
    </w:p>
    <w:p w:rsidR="00846AB8" w:rsidRDefault="00846AB8" w:rsidP="00846AB8">
      <w:pPr>
        <w:pStyle w:val="Copyrightpageheading"/>
      </w:pPr>
      <w:r>
        <w:t>Cataloguing data</w:t>
      </w:r>
    </w:p>
    <w:p w:rsidR="00846AB8" w:rsidRDefault="00846AB8" w:rsidP="006074B9">
      <w:pPr>
        <w:pStyle w:val="Tabletext"/>
      </w:pPr>
      <w:r>
        <w:t>Interim Inspector</w:t>
      </w:r>
      <w:r w:rsidR="0079101C">
        <w:t>-</w:t>
      </w:r>
      <w:r>
        <w:t>General of Biosecurity 2016</w:t>
      </w:r>
      <w:r w:rsidR="00266E36">
        <w:t xml:space="preserve"> </w:t>
      </w:r>
      <w:r w:rsidR="00266E36">
        <w:rPr>
          <w:i/>
        </w:rPr>
        <w:t>Interim Inspector</w:t>
      </w:r>
      <w:r w:rsidR="0079101C">
        <w:rPr>
          <w:i/>
        </w:rPr>
        <w:t>-</w:t>
      </w:r>
      <w:r w:rsidR="001D273C">
        <w:rPr>
          <w:i/>
        </w:rPr>
        <w:t>General of Biosecurity annual r</w:t>
      </w:r>
      <w:r w:rsidR="00266E36">
        <w:rPr>
          <w:i/>
        </w:rPr>
        <w:t>eport 2015</w:t>
      </w:r>
      <w:r w:rsidR="00266E36">
        <w:rPr>
          <w:i/>
        </w:rPr>
        <w:noBreakHyphen/>
        <w:t>16</w:t>
      </w:r>
      <w:r>
        <w:t>, Department of Agriculture and Water Resources, Canberra.</w:t>
      </w:r>
    </w:p>
    <w:p w:rsidR="00846AB8" w:rsidRDefault="00846AB8" w:rsidP="00846AB8">
      <w:pPr>
        <w:pStyle w:val="Copyrightpageheading"/>
      </w:pPr>
      <w:r>
        <w:t>Internet</w:t>
      </w:r>
    </w:p>
    <w:p w:rsidR="005C4B9F" w:rsidRDefault="00990427" w:rsidP="006074B9">
      <w:pPr>
        <w:pStyle w:val="Tabletext"/>
      </w:pPr>
      <w:r>
        <w:rPr>
          <w:rStyle w:val="Emphasis"/>
        </w:rPr>
        <w:t>Interim Inspector</w:t>
      </w:r>
      <w:r w:rsidR="0079101C">
        <w:rPr>
          <w:rStyle w:val="Emphasis"/>
        </w:rPr>
        <w:t>-</w:t>
      </w:r>
      <w:r w:rsidR="00846AB8">
        <w:rPr>
          <w:rStyle w:val="Emphasis"/>
        </w:rPr>
        <w:t xml:space="preserve">General of Biosecurity </w:t>
      </w:r>
      <w:r w:rsidR="001D273C">
        <w:rPr>
          <w:rStyle w:val="Emphasis"/>
        </w:rPr>
        <w:t>annual r</w:t>
      </w:r>
      <w:r w:rsidR="00266E36">
        <w:rPr>
          <w:rStyle w:val="Emphasis"/>
        </w:rPr>
        <w:t>eport 2015</w:t>
      </w:r>
      <w:r>
        <w:rPr>
          <w:rStyle w:val="Emphasis"/>
        </w:rPr>
        <w:t>–</w:t>
      </w:r>
      <w:r w:rsidR="00846AB8">
        <w:rPr>
          <w:rStyle w:val="Emphasis"/>
        </w:rPr>
        <w:t xml:space="preserve">2016 </w:t>
      </w:r>
      <w:r w:rsidR="00846AB8">
        <w:t xml:space="preserve">is available at </w:t>
      </w:r>
      <w:hyperlink r:id="rId13" w:history="1">
        <w:r w:rsidR="00846AB8">
          <w:rPr>
            <w:rStyle w:val="Hyperlink"/>
          </w:rPr>
          <w:t>igb.gov.au/Pages/completed-audits-and-reviews.aspx</w:t>
        </w:r>
      </w:hyperlink>
      <w:r w:rsidR="00846AB8">
        <w:t>.</w:t>
      </w:r>
    </w:p>
    <w:p w:rsidR="00846AB8" w:rsidRDefault="00846AB8" w:rsidP="006074B9">
      <w:pPr>
        <w:pStyle w:val="Tabletext"/>
      </w:pPr>
      <w:r>
        <w:t>Interim Inspector</w:t>
      </w:r>
      <w:r w:rsidR="0079101C">
        <w:t>-</w:t>
      </w:r>
      <w:r>
        <w:t>General of Biosecurity</w:t>
      </w:r>
    </w:p>
    <w:p w:rsidR="00846AB8" w:rsidRDefault="00846AB8" w:rsidP="006074B9">
      <w:pPr>
        <w:pStyle w:val="Tabletext"/>
      </w:pPr>
      <w:r>
        <w:t>Department of Agriculture and Water Resources</w:t>
      </w:r>
    </w:p>
    <w:p w:rsidR="00396EF7" w:rsidRDefault="00846AB8" w:rsidP="006074B9">
      <w:pPr>
        <w:pStyle w:val="Tabletext"/>
      </w:pPr>
      <w:r>
        <w:t>Postal address GPO Box 858 Canberra ACT 2</w:t>
      </w:r>
      <w:r w:rsidR="00396EF7">
        <w:t>601</w:t>
      </w:r>
    </w:p>
    <w:p w:rsidR="005C4B9F" w:rsidRDefault="00396EF7" w:rsidP="006074B9">
      <w:pPr>
        <w:pStyle w:val="Tabletext"/>
      </w:pPr>
      <w:r>
        <w:t>Switchboard +61 2 6272 3933</w:t>
      </w:r>
    </w:p>
    <w:p w:rsidR="005C4B9F" w:rsidRDefault="00846AB8" w:rsidP="006074B9">
      <w:pPr>
        <w:pStyle w:val="Tabletext"/>
      </w:pPr>
      <w:r>
        <w:t xml:space="preserve">Email </w:t>
      </w:r>
      <w:hyperlink r:id="rId14" w:history="1">
        <w:r>
          <w:rPr>
            <w:rStyle w:val="Hyperlink"/>
          </w:rPr>
          <w:t>inspgenbiosecurity@agriculture.gov.au</w:t>
        </w:r>
      </w:hyperlink>
    </w:p>
    <w:p w:rsidR="00846AB8" w:rsidRDefault="00846AB8" w:rsidP="006074B9">
      <w:pPr>
        <w:pStyle w:val="Tabletext"/>
      </w:pPr>
      <w:r>
        <w:t xml:space="preserve">Web </w:t>
      </w:r>
      <w:hyperlink r:id="rId15" w:history="1">
        <w:r>
          <w:rPr>
            <w:rStyle w:val="Hyperlink"/>
          </w:rPr>
          <w:t>igb.gov.au/Pages/def</w:t>
        </w:r>
        <w:bookmarkStart w:id="6" w:name="_Hlt418064088"/>
        <w:bookmarkStart w:id="7" w:name="_Hlt418064089"/>
        <w:r>
          <w:rPr>
            <w:rStyle w:val="Hyperlink"/>
          </w:rPr>
          <w:t>a</w:t>
        </w:r>
        <w:bookmarkEnd w:id="6"/>
        <w:bookmarkEnd w:id="7"/>
        <w:r>
          <w:rPr>
            <w:rStyle w:val="Hyperlink"/>
          </w:rPr>
          <w:t>ult.aspx</w:t>
        </w:r>
      </w:hyperlink>
    </w:p>
    <w:p w:rsidR="00846AB8" w:rsidRDefault="00846AB8" w:rsidP="006074B9">
      <w:pPr>
        <w:pStyle w:val="Tabletext"/>
      </w:pPr>
      <w:r>
        <w:t xml:space="preserve">Inquiries about the licence and any use of this document should be sent to </w:t>
      </w:r>
      <w:hyperlink r:id="rId16" w:history="1">
        <w:r>
          <w:rPr>
            <w:rStyle w:val="Hyperlink"/>
          </w:rPr>
          <w:t>copyright@agriculture.gov.au</w:t>
        </w:r>
      </w:hyperlink>
      <w:r>
        <w:t>.</w:t>
      </w:r>
    </w:p>
    <w:p w:rsidR="00846AB8" w:rsidRDefault="00846AB8" w:rsidP="006074B9">
      <w:pPr>
        <w:pStyle w:val="Tabletext"/>
      </w:pPr>
      <w:r>
        <w:t>The Australian Government, represented by the Interim Inspector</w:t>
      </w:r>
      <w:r w:rsidR="0079101C">
        <w:t>-</w:t>
      </w:r>
      <w:r>
        <w:t>General of Biosecurity, has exercised due care and skill in preparing and compiling the information and data in this publication. Notwith</w:t>
      </w:r>
      <w:r w:rsidR="0079101C">
        <w:t>standing, the Interim Inspector-</w:t>
      </w:r>
      <w:r>
        <w:t>General of Biosecurity, Australian Government employees and advisers disclaim all liability, including for negligence and any loss, damage, injury, expense or cost incurred by any person as a result of accessing, using or relying on information or data in this publication to the maximum extent permitted by law.</w:t>
      </w:r>
    </w:p>
    <w:p w:rsidR="00290A5A" w:rsidRPr="00CC719A" w:rsidRDefault="00290A5A" w:rsidP="00CC719A">
      <w:pPr>
        <w:pStyle w:val="TOCHeading"/>
      </w:pPr>
      <w:r w:rsidRPr="00CC719A">
        <w:lastRenderedPageBreak/>
        <w:t>Contents</w:t>
      </w:r>
    </w:p>
    <w:p w:rsidR="00CC719A" w:rsidRPr="004C35E8" w:rsidRDefault="00290A5A" w:rsidP="0098028F">
      <w:pPr>
        <w:pStyle w:val="TOC1"/>
        <w:rPr>
          <w:color w:val="auto"/>
          <w:sz w:val="22"/>
          <w:szCs w:val="22"/>
        </w:rPr>
      </w:pPr>
      <w:r>
        <w:rPr>
          <w:sz w:val="20"/>
        </w:rPr>
        <w:fldChar w:fldCharType="begin"/>
      </w:r>
      <w:r>
        <w:rPr>
          <w:sz w:val="20"/>
        </w:rPr>
        <w:instrText xml:space="preserve"> TOC \h \z \t "Heading 2,1,Heading 3,2" </w:instrText>
      </w:r>
      <w:r>
        <w:rPr>
          <w:sz w:val="20"/>
        </w:rPr>
        <w:fldChar w:fldCharType="separate"/>
      </w:r>
      <w:hyperlink w:anchor="_Toc450910632" w:history="1">
        <w:r w:rsidR="00CC719A" w:rsidRPr="00F75C99">
          <w:rPr>
            <w:rStyle w:val="Hyperlink"/>
          </w:rPr>
          <w:t>Introduction</w:t>
        </w:r>
        <w:r w:rsidR="00CC719A">
          <w:rPr>
            <w:webHidden/>
          </w:rPr>
          <w:tab/>
        </w:r>
        <w:r w:rsidR="00CC719A">
          <w:rPr>
            <w:webHidden/>
          </w:rPr>
          <w:fldChar w:fldCharType="begin"/>
        </w:r>
        <w:r w:rsidR="00CC719A">
          <w:rPr>
            <w:webHidden/>
          </w:rPr>
          <w:instrText xml:space="preserve"> PAGEREF _Toc450910632 \h </w:instrText>
        </w:r>
        <w:r w:rsidR="00CC719A">
          <w:rPr>
            <w:webHidden/>
          </w:rPr>
        </w:r>
        <w:r w:rsidR="00CC719A">
          <w:rPr>
            <w:webHidden/>
          </w:rPr>
          <w:fldChar w:fldCharType="separate"/>
        </w:r>
        <w:r w:rsidR="00CC719A">
          <w:rPr>
            <w:webHidden/>
          </w:rPr>
          <w:t>1</w:t>
        </w:r>
        <w:r w:rsidR="00CC719A">
          <w:rPr>
            <w:webHidden/>
          </w:rPr>
          <w:fldChar w:fldCharType="end"/>
        </w:r>
      </w:hyperlink>
    </w:p>
    <w:p w:rsidR="00CC719A" w:rsidRPr="004C35E8" w:rsidRDefault="00E53620" w:rsidP="0098028F">
      <w:pPr>
        <w:pStyle w:val="TOC1"/>
        <w:rPr>
          <w:color w:val="auto"/>
          <w:sz w:val="22"/>
          <w:szCs w:val="22"/>
        </w:rPr>
      </w:pPr>
      <w:hyperlink w:anchor="_Toc450910633" w:history="1">
        <w:r w:rsidR="00CC719A" w:rsidRPr="00F75C99">
          <w:rPr>
            <w:rStyle w:val="Hyperlink"/>
          </w:rPr>
          <w:t>Role of the Interim Inspector-General of Biosecurity</w:t>
        </w:r>
        <w:r w:rsidR="00CC719A">
          <w:rPr>
            <w:webHidden/>
          </w:rPr>
          <w:tab/>
        </w:r>
        <w:r w:rsidR="00CC719A">
          <w:rPr>
            <w:webHidden/>
          </w:rPr>
          <w:fldChar w:fldCharType="begin"/>
        </w:r>
        <w:r w:rsidR="00CC719A">
          <w:rPr>
            <w:webHidden/>
          </w:rPr>
          <w:instrText xml:space="preserve"> PAGEREF _Toc450910633 \h </w:instrText>
        </w:r>
        <w:r w:rsidR="00CC719A">
          <w:rPr>
            <w:webHidden/>
          </w:rPr>
        </w:r>
        <w:r w:rsidR="00CC719A">
          <w:rPr>
            <w:webHidden/>
          </w:rPr>
          <w:fldChar w:fldCharType="separate"/>
        </w:r>
        <w:r w:rsidR="00CC719A">
          <w:rPr>
            <w:webHidden/>
          </w:rPr>
          <w:t>2</w:t>
        </w:r>
        <w:r w:rsidR="00CC719A">
          <w:rPr>
            <w:webHidden/>
          </w:rPr>
          <w:fldChar w:fldCharType="end"/>
        </w:r>
      </w:hyperlink>
    </w:p>
    <w:p w:rsidR="00CC719A" w:rsidRPr="004C35E8" w:rsidRDefault="00E53620" w:rsidP="0098028F">
      <w:pPr>
        <w:pStyle w:val="TOC1"/>
        <w:rPr>
          <w:color w:val="auto"/>
          <w:sz w:val="22"/>
          <w:szCs w:val="22"/>
        </w:rPr>
      </w:pPr>
      <w:hyperlink w:anchor="_Toc450910634" w:history="1">
        <w:r w:rsidR="00CC719A" w:rsidRPr="00F75C99">
          <w:rPr>
            <w:rStyle w:val="Hyperlink"/>
          </w:rPr>
          <w:t>Status of the 2015–16 work program</w:t>
        </w:r>
        <w:r w:rsidR="00CC719A">
          <w:rPr>
            <w:webHidden/>
          </w:rPr>
          <w:tab/>
        </w:r>
        <w:r w:rsidR="00CC719A">
          <w:rPr>
            <w:webHidden/>
          </w:rPr>
          <w:fldChar w:fldCharType="begin"/>
        </w:r>
        <w:r w:rsidR="00CC719A">
          <w:rPr>
            <w:webHidden/>
          </w:rPr>
          <w:instrText xml:space="preserve"> PAGEREF _Toc450910634 \h </w:instrText>
        </w:r>
        <w:r w:rsidR="00CC719A">
          <w:rPr>
            <w:webHidden/>
          </w:rPr>
        </w:r>
        <w:r w:rsidR="00CC719A">
          <w:rPr>
            <w:webHidden/>
          </w:rPr>
          <w:fldChar w:fldCharType="separate"/>
        </w:r>
        <w:r w:rsidR="00CC719A">
          <w:rPr>
            <w:webHidden/>
          </w:rPr>
          <w:t>3</w:t>
        </w:r>
        <w:r w:rsidR="00CC719A">
          <w:rPr>
            <w:webHidden/>
          </w:rPr>
          <w:fldChar w:fldCharType="end"/>
        </w:r>
      </w:hyperlink>
    </w:p>
    <w:p w:rsidR="00CC719A" w:rsidRPr="004C35E8" w:rsidRDefault="00E53620" w:rsidP="0098028F">
      <w:pPr>
        <w:pStyle w:val="TOC2"/>
        <w:rPr>
          <w:color w:val="auto"/>
          <w:szCs w:val="22"/>
        </w:rPr>
      </w:pPr>
      <w:hyperlink w:anchor="_Toc450910635" w:history="1">
        <w:r w:rsidR="00CC719A" w:rsidRPr="00F75C99">
          <w:rPr>
            <w:rStyle w:val="Hyperlink"/>
          </w:rPr>
          <w:t>Implementation of previous Interim Inspector-General of Biosecurity recommendations–July 2015</w:t>
        </w:r>
        <w:r w:rsidR="00CC719A">
          <w:rPr>
            <w:webHidden/>
          </w:rPr>
          <w:tab/>
        </w:r>
        <w:r w:rsidR="00CC719A">
          <w:rPr>
            <w:webHidden/>
          </w:rPr>
          <w:fldChar w:fldCharType="begin"/>
        </w:r>
        <w:r w:rsidR="00CC719A">
          <w:rPr>
            <w:webHidden/>
          </w:rPr>
          <w:instrText xml:space="preserve"> PAGEREF _Toc450910635 \h </w:instrText>
        </w:r>
        <w:r w:rsidR="00CC719A">
          <w:rPr>
            <w:webHidden/>
          </w:rPr>
        </w:r>
        <w:r w:rsidR="00CC719A">
          <w:rPr>
            <w:webHidden/>
          </w:rPr>
          <w:fldChar w:fldCharType="separate"/>
        </w:r>
        <w:r w:rsidR="00CC719A">
          <w:rPr>
            <w:webHidden/>
          </w:rPr>
          <w:t>3</w:t>
        </w:r>
        <w:r w:rsidR="00CC719A">
          <w:rPr>
            <w:webHidden/>
          </w:rPr>
          <w:fldChar w:fldCharType="end"/>
        </w:r>
      </w:hyperlink>
    </w:p>
    <w:p w:rsidR="00CC719A" w:rsidRPr="004C35E8" w:rsidRDefault="00E53620" w:rsidP="0098028F">
      <w:pPr>
        <w:pStyle w:val="TOC2"/>
        <w:rPr>
          <w:color w:val="auto"/>
          <w:szCs w:val="22"/>
        </w:rPr>
      </w:pPr>
      <w:hyperlink w:anchor="_Toc450910636" w:history="1">
        <w:r w:rsidR="00CC719A" w:rsidRPr="00F75C99">
          <w:rPr>
            <w:rStyle w:val="Hyperlink"/>
          </w:rPr>
          <w:t>Effectiveness of biosecurity controls for importation of natural sausage casings</w:t>
        </w:r>
        <w:r w:rsidR="00CC719A">
          <w:rPr>
            <w:webHidden/>
          </w:rPr>
          <w:tab/>
        </w:r>
        <w:r w:rsidR="00CC719A">
          <w:rPr>
            <w:webHidden/>
          </w:rPr>
          <w:fldChar w:fldCharType="begin"/>
        </w:r>
        <w:r w:rsidR="00CC719A">
          <w:rPr>
            <w:webHidden/>
          </w:rPr>
          <w:instrText xml:space="preserve"> PAGEREF _Toc450910636 \h </w:instrText>
        </w:r>
        <w:r w:rsidR="00CC719A">
          <w:rPr>
            <w:webHidden/>
          </w:rPr>
        </w:r>
        <w:r w:rsidR="00CC719A">
          <w:rPr>
            <w:webHidden/>
          </w:rPr>
          <w:fldChar w:fldCharType="separate"/>
        </w:r>
        <w:r w:rsidR="00CC719A">
          <w:rPr>
            <w:webHidden/>
          </w:rPr>
          <w:t>3</w:t>
        </w:r>
        <w:r w:rsidR="00CC719A">
          <w:rPr>
            <w:webHidden/>
          </w:rPr>
          <w:fldChar w:fldCharType="end"/>
        </w:r>
      </w:hyperlink>
    </w:p>
    <w:p w:rsidR="00CC719A" w:rsidRPr="004C35E8" w:rsidRDefault="00E53620" w:rsidP="0098028F">
      <w:pPr>
        <w:pStyle w:val="TOC2"/>
        <w:rPr>
          <w:color w:val="auto"/>
          <w:szCs w:val="22"/>
        </w:rPr>
      </w:pPr>
      <w:hyperlink w:anchor="_Toc450910637" w:history="1">
        <w:r w:rsidR="00CC719A" w:rsidRPr="00F75C99">
          <w:rPr>
            <w:rStyle w:val="Hyperlink"/>
          </w:rPr>
          <w:t>Horse imports: management of biosecurity risks (January to June 2015 and July to December 2015)</w:t>
        </w:r>
        <w:r w:rsidR="00CC719A">
          <w:rPr>
            <w:webHidden/>
          </w:rPr>
          <w:tab/>
        </w:r>
        <w:r w:rsidR="00CC719A">
          <w:rPr>
            <w:webHidden/>
          </w:rPr>
          <w:fldChar w:fldCharType="begin"/>
        </w:r>
        <w:r w:rsidR="00CC719A">
          <w:rPr>
            <w:webHidden/>
          </w:rPr>
          <w:instrText xml:space="preserve"> PAGEREF _Toc450910637 \h </w:instrText>
        </w:r>
        <w:r w:rsidR="00CC719A">
          <w:rPr>
            <w:webHidden/>
          </w:rPr>
        </w:r>
        <w:r w:rsidR="00CC719A">
          <w:rPr>
            <w:webHidden/>
          </w:rPr>
          <w:fldChar w:fldCharType="separate"/>
        </w:r>
        <w:r w:rsidR="00CC719A">
          <w:rPr>
            <w:webHidden/>
          </w:rPr>
          <w:t>4</w:t>
        </w:r>
        <w:r w:rsidR="00CC719A">
          <w:rPr>
            <w:webHidden/>
          </w:rPr>
          <w:fldChar w:fldCharType="end"/>
        </w:r>
      </w:hyperlink>
    </w:p>
    <w:p w:rsidR="00CC719A" w:rsidRPr="004C35E8" w:rsidRDefault="00E53620" w:rsidP="0098028F">
      <w:pPr>
        <w:pStyle w:val="TOC2"/>
        <w:rPr>
          <w:color w:val="auto"/>
          <w:szCs w:val="22"/>
        </w:rPr>
      </w:pPr>
      <w:hyperlink w:anchor="_Toc450910638" w:history="1">
        <w:r w:rsidR="00CC719A" w:rsidRPr="00F75C99">
          <w:rPr>
            <w:rStyle w:val="Hyperlink"/>
          </w:rPr>
          <w:t>Management of biosecurity risks associated with timber packaging and dunnage</w:t>
        </w:r>
        <w:r w:rsidR="00CC719A">
          <w:rPr>
            <w:webHidden/>
          </w:rPr>
          <w:tab/>
        </w:r>
        <w:r w:rsidR="00CC719A">
          <w:rPr>
            <w:webHidden/>
          </w:rPr>
          <w:fldChar w:fldCharType="begin"/>
        </w:r>
        <w:r w:rsidR="00CC719A">
          <w:rPr>
            <w:webHidden/>
          </w:rPr>
          <w:instrText xml:space="preserve"> PAGEREF _Toc450910638 \h </w:instrText>
        </w:r>
        <w:r w:rsidR="00CC719A">
          <w:rPr>
            <w:webHidden/>
          </w:rPr>
        </w:r>
        <w:r w:rsidR="00CC719A">
          <w:rPr>
            <w:webHidden/>
          </w:rPr>
          <w:fldChar w:fldCharType="separate"/>
        </w:r>
        <w:r w:rsidR="00CC719A">
          <w:rPr>
            <w:webHidden/>
          </w:rPr>
          <w:t>4</w:t>
        </w:r>
        <w:r w:rsidR="00CC719A">
          <w:rPr>
            <w:webHidden/>
          </w:rPr>
          <w:fldChar w:fldCharType="end"/>
        </w:r>
      </w:hyperlink>
    </w:p>
    <w:p w:rsidR="00CC719A" w:rsidRPr="004C35E8" w:rsidRDefault="00E53620" w:rsidP="0098028F">
      <w:pPr>
        <w:pStyle w:val="TOC2"/>
        <w:rPr>
          <w:color w:val="auto"/>
          <w:szCs w:val="22"/>
        </w:rPr>
      </w:pPr>
      <w:hyperlink w:anchor="_Toc450910639" w:history="1">
        <w:r w:rsidR="00CC719A" w:rsidRPr="00F75C99">
          <w:rPr>
            <w:rStyle w:val="Hyperlink"/>
          </w:rPr>
          <w:t>Management of biosecurity risks associated with imported ships' stores</w:t>
        </w:r>
        <w:r w:rsidR="00CC719A">
          <w:rPr>
            <w:webHidden/>
          </w:rPr>
          <w:tab/>
        </w:r>
        <w:r w:rsidR="00CC719A">
          <w:rPr>
            <w:webHidden/>
          </w:rPr>
          <w:fldChar w:fldCharType="begin"/>
        </w:r>
        <w:r w:rsidR="00CC719A">
          <w:rPr>
            <w:webHidden/>
          </w:rPr>
          <w:instrText xml:space="preserve"> PAGEREF _Toc450910639 \h </w:instrText>
        </w:r>
        <w:r w:rsidR="00CC719A">
          <w:rPr>
            <w:webHidden/>
          </w:rPr>
        </w:r>
        <w:r w:rsidR="00CC719A">
          <w:rPr>
            <w:webHidden/>
          </w:rPr>
          <w:fldChar w:fldCharType="separate"/>
        </w:r>
        <w:r w:rsidR="00CC719A">
          <w:rPr>
            <w:webHidden/>
          </w:rPr>
          <w:t>6</w:t>
        </w:r>
        <w:r w:rsidR="00CC719A">
          <w:rPr>
            <w:webHidden/>
          </w:rPr>
          <w:fldChar w:fldCharType="end"/>
        </w:r>
      </w:hyperlink>
    </w:p>
    <w:p w:rsidR="00CC719A" w:rsidRPr="004C35E8" w:rsidRDefault="00E53620" w:rsidP="0098028F">
      <w:pPr>
        <w:pStyle w:val="TOC2"/>
        <w:rPr>
          <w:color w:val="auto"/>
          <w:szCs w:val="22"/>
        </w:rPr>
      </w:pPr>
      <w:hyperlink w:anchor="_Toc450910640" w:history="1">
        <w:r w:rsidR="00CC719A" w:rsidRPr="00F75C99">
          <w:rPr>
            <w:rStyle w:val="Hyperlink"/>
          </w:rPr>
          <w:t>Effectiveness of biosecurity controls for importation of tomato and carrot seeds</w:t>
        </w:r>
        <w:r w:rsidR="00CC719A">
          <w:rPr>
            <w:webHidden/>
          </w:rPr>
          <w:tab/>
        </w:r>
        <w:r w:rsidR="00CC719A">
          <w:rPr>
            <w:webHidden/>
          </w:rPr>
          <w:fldChar w:fldCharType="begin"/>
        </w:r>
        <w:r w:rsidR="00CC719A">
          <w:rPr>
            <w:webHidden/>
          </w:rPr>
          <w:instrText xml:space="preserve"> PAGEREF _Toc450910640 \h </w:instrText>
        </w:r>
        <w:r w:rsidR="00CC719A">
          <w:rPr>
            <w:webHidden/>
          </w:rPr>
        </w:r>
        <w:r w:rsidR="00CC719A">
          <w:rPr>
            <w:webHidden/>
          </w:rPr>
          <w:fldChar w:fldCharType="separate"/>
        </w:r>
        <w:r w:rsidR="00CC719A">
          <w:rPr>
            <w:webHidden/>
          </w:rPr>
          <w:t>6</w:t>
        </w:r>
        <w:r w:rsidR="00CC719A">
          <w:rPr>
            <w:webHidden/>
          </w:rPr>
          <w:fldChar w:fldCharType="end"/>
        </w:r>
      </w:hyperlink>
    </w:p>
    <w:p w:rsidR="00CC719A" w:rsidRPr="004C35E8" w:rsidRDefault="00E53620" w:rsidP="0098028F">
      <w:pPr>
        <w:pStyle w:val="TOC2"/>
        <w:rPr>
          <w:color w:val="auto"/>
          <w:szCs w:val="22"/>
        </w:rPr>
      </w:pPr>
      <w:hyperlink w:anchor="_Toc450910641" w:history="1">
        <w:r w:rsidR="00CC719A" w:rsidRPr="00F75C99">
          <w:rPr>
            <w:rStyle w:val="Hyperlink"/>
          </w:rPr>
          <w:t>Implementation of previous Interim Inspector-General of Biosecurity recommendations – April 2016</w:t>
        </w:r>
        <w:r w:rsidR="00CC719A">
          <w:rPr>
            <w:webHidden/>
          </w:rPr>
          <w:tab/>
        </w:r>
        <w:r w:rsidR="00CC719A">
          <w:rPr>
            <w:webHidden/>
          </w:rPr>
          <w:fldChar w:fldCharType="begin"/>
        </w:r>
        <w:r w:rsidR="00CC719A">
          <w:rPr>
            <w:webHidden/>
          </w:rPr>
          <w:instrText xml:space="preserve"> PAGEREF _Toc450910641 \h </w:instrText>
        </w:r>
        <w:r w:rsidR="00CC719A">
          <w:rPr>
            <w:webHidden/>
          </w:rPr>
        </w:r>
        <w:r w:rsidR="00CC719A">
          <w:rPr>
            <w:webHidden/>
          </w:rPr>
          <w:fldChar w:fldCharType="separate"/>
        </w:r>
        <w:r w:rsidR="00CC719A">
          <w:rPr>
            <w:webHidden/>
          </w:rPr>
          <w:t>7</w:t>
        </w:r>
        <w:r w:rsidR="00CC719A">
          <w:rPr>
            <w:webHidden/>
          </w:rPr>
          <w:fldChar w:fldCharType="end"/>
        </w:r>
      </w:hyperlink>
    </w:p>
    <w:p w:rsidR="00CC719A" w:rsidRPr="004C35E8" w:rsidRDefault="00E53620" w:rsidP="0098028F">
      <w:pPr>
        <w:pStyle w:val="TOC1"/>
        <w:rPr>
          <w:color w:val="auto"/>
          <w:sz w:val="22"/>
          <w:szCs w:val="22"/>
        </w:rPr>
      </w:pPr>
      <w:hyperlink w:anchor="_Toc450910642" w:history="1">
        <w:r w:rsidR="00CC719A" w:rsidRPr="00F75C99">
          <w:rPr>
            <w:rStyle w:val="Hyperlink"/>
          </w:rPr>
          <w:t>Summary</w:t>
        </w:r>
        <w:r w:rsidR="00CC719A">
          <w:rPr>
            <w:webHidden/>
          </w:rPr>
          <w:tab/>
        </w:r>
        <w:r w:rsidR="00CC719A">
          <w:rPr>
            <w:webHidden/>
          </w:rPr>
          <w:fldChar w:fldCharType="begin"/>
        </w:r>
        <w:r w:rsidR="00CC719A">
          <w:rPr>
            <w:webHidden/>
          </w:rPr>
          <w:instrText xml:space="preserve"> PAGEREF _Toc450910642 \h </w:instrText>
        </w:r>
        <w:r w:rsidR="00CC719A">
          <w:rPr>
            <w:webHidden/>
          </w:rPr>
        </w:r>
        <w:r w:rsidR="00CC719A">
          <w:rPr>
            <w:webHidden/>
          </w:rPr>
          <w:fldChar w:fldCharType="separate"/>
        </w:r>
        <w:r w:rsidR="00CC719A">
          <w:rPr>
            <w:webHidden/>
          </w:rPr>
          <w:t>9</w:t>
        </w:r>
        <w:r w:rsidR="00CC719A">
          <w:rPr>
            <w:webHidden/>
          </w:rPr>
          <w:fldChar w:fldCharType="end"/>
        </w:r>
      </w:hyperlink>
    </w:p>
    <w:p w:rsidR="007B4A71" w:rsidRPr="00C40895" w:rsidRDefault="00290A5A" w:rsidP="006074B9">
      <w:r>
        <w:rPr>
          <w:b/>
          <w:bCs/>
          <w:sz w:val="20"/>
          <w:szCs w:val="20"/>
        </w:rPr>
        <w:fldChar w:fldCharType="end"/>
      </w:r>
    </w:p>
    <w:p w:rsidR="00581499" w:rsidRPr="00C40895" w:rsidRDefault="00581499" w:rsidP="006074B9">
      <w:pPr>
        <w:sectPr w:rsidR="00581499" w:rsidRPr="00C40895" w:rsidSect="0079101C">
          <w:headerReference w:type="even" r:id="rId17"/>
          <w:headerReference w:type="default" r:id="rId18"/>
          <w:footerReference w:type="even" r:id="rId19"/>
          <w:footerReference w:type="default" r:id="rId20"/>
          <w:headerReference w:type="first" r:id="rId21"/>
          <w:footerReference w:type="first" r:id="rId22"/>
          <w:pgSz w:w="11906" w:h="16838"/>
          <w:pgMar w:top="1134" w:right="1247" w:bottom="1134" w:left="1247" w:header="709" w:footer="709" w:gutter="0"/>
          <w:pgNumType w:fmt="lowerRoman"/>
          <w:cols w:space="708"/>
          <w:titlePg/>
          <w:docGrid w:linePitch="360"/>
        </w:sectPr>
      </w:pPr>
    </w:p>
    <w:p w:rsidR="00DD4845" w:rsidRPr="00CC719A" w:rsidRDefault="00DD4845" w:rsidP="00290A5A">
      <w:pPr>
        <w:pStyle w:val="Heading2"/>
      </w:pPr>
      <w:bookmarkStart w:id="8" w:name="_Toc450834443"/>
      <w:bookmarkStart w:id="9" w:name="_Toc450910632"/>
      <w:bookmarkEnd w:id="0"/>
      <w:r w:rsidRPr="005C4B9F">
        <w:lastRenderedPageBreak/>
        <w:t>Introduction</w:t>
      </w:r>
      <w:bookmarkEnd w:id="8"/>
      <w:bookmarkEnd w:id="9"/>
    </w:p>
    <w:p w:rsidR="0029782B" w:rsidRPr="00670FF3" w:rsidRDefault="0029782B" w:rsidP="006074B9">
      <w:r w:rsidRPr="00670FF3">
        <w:t xml:space="preserve">The position of Interim </w:t>
      </w:r>
      <w:r w:rsidRPr="006074B9">
        <w:t>Inspector</w:t>
      </w:r>
      <w:r w:rsidR="006440D6" w:rsidRPr="00670FF3">
        <w:t>-</w:t>
      </w:r>
      <w:r w:rsidRPr="00670FF3">
        <w:t>General of Biosecurity (IIGB) was established as part of the government's response to the 2008 Beale Review, an independent wide</w:t>
      </w:r>
      <w:r w:rsidR="005C0788" w:rsidRPr="00670FF3">
        <w:t>-</w:t>
      </w:r>
      <w:r w:rsidRPr="00670FF3">
        <w:t>ranging review of Australia's quarantine arrangements. The initial IIGB appointment was made in July 2009, with the intention that a permanent position would be established when new biosecurity legislation was finalised.</w:t>
      </w:r>
    </w:p>
    <w:p w:rsidR="00CC7F33" w:rsidRPr="00670FF3" w:rsidRDefault="00CC7F33" w:rsidP="006074B9">
      <w:r w:rsidRPr="00670FF3">
        <w:t>On 1 July 2013</w:t>
      </w:r>
      <w:r w:rsidR="00FF1DB9" w:rsidRPr="00670FF3">
        <w:t>,</w:t>
      </w:r>
      <w:r w:rsidRPr="00670FF3">
        <w:t xml:space="preserve"> I was appoint</w:t>
      </w:r>
      <w:r w:rsidR="00600FCC" w:rsidRPr="00670FF3">
        <w:t>ed as IIGB for a two</w:t>
      </w:r>
      <w:r w:rsidR="005C0788" w:rsidRPr="00670FF3">
        <w:t>-</w:t>
      </w:r>
      <w:r w:rsidR="0029782B" w:rsidRPr="00670FF3">
        <w:t>year term.</w:t>
      </w:r>
      <w:r w:rsidRPr="00670FF3">
        <w:t xml:space="preserve"> In June 2015 this appointment was extended to 15 June 2016, to allow time to recruit a suitable candidate for appointment as the first </w:t>
      </w:r>
      <w:r w:rsidR="004834C7" w:rsidRPr="00670FF3">
        <w:t>Inspector-General</w:t>
      </w:r>
      <w:r w:rsidRPr="00670FF3">
        <w:t xml:space="preserve"> of</w:t>
      </w:r>
      <w:r w:rsidR="00FF1DB9" w:rsidRPr="00670FF3">
        <w:t xml:space="preserve"> Biosecurity (IGB) under the</w:t>
      </w:r>
      <w:r w:rsidRPr="00670FF3">
        <w:t xml:space="preserve"> </w:t>
      </w:r>
      <w:r w:rsidRPr="00670FF3">
        <w:rPr>
          <w:i/>
        </w:rPr>
        <w:t>Biosecurity Act 2015</w:t>
      </w:r>
      <w:r w:rsidRPr="00670FF3">
        <w:t>.</w:t>
      </w:r>
    </w:p>
    <w:p w:rsidR="00CC7F33" w:rsidRPr="00670FF3" w:rsidRDefault="00CC7F33" w:rsidP="006074B9">
      <w:r w:rsidRPr="00670FF3">
        <w:t xml:space="preserve">I have formally </w:t>
      </w:r>
      <w:r w:rsidR="007B32B8" w:rsidRPr="00670FF3">
        <w:t>notified</w:t>
      </w:r>
      <w:r w:rsidRPr="00670FF3">
        <w:t xml:space="preserve"> the Minister of my intention to relinquish the pos</w:t>
      </w:r>
      <w:r w:rsidR="0029782B" w:rsidRPr="00670FF3">
        <w:t>ition of IIGB on 29 April 2016.</w:t>
      </w:r>
      <w:r w:rsidRPr="00670FF3">
        <w:t xml:space="preserve"> Accordingly, this report covers the 10</w:t>
      </w:r>
      <w:r w:rsidR="005C0788" w:rsidRPr="00670FF3">
        <w:t>-</w:t>
      </w:r>
      <w:r w:rsidR="00747198" w:rsidRPr="00670FF3">
        <w:t>month period 1 July 2015 to 30 </w:t>
      </w:r>
      <w:r w:rsidRPr="00670FF3">
        <w:t>April 2016.</w:t>
      </w:r>
      <w:r w:rsidR="005C0788" w:rsidRPr="00670FF3">
        <w:t xml:space="preserve"> Dr Helen Scott-</w:t>
      </w:r>
      <w:r w:rsidR="00747198" w:rsidRPr="00670FF3">
        <w:t>Orr has been a</w:t>
      </w:r>
      <w:r w:rsidR="00600FCC" w:rsidRPr="00670FF3">
        <w:t xml:space="preserve">ppointed as the first </w:t>
      </w:r>
      <w:r w:rsidR="004834C7" w:rsidRPr="00670FF3">
        <w:t>Inspector-General</w:t>
      </w:r>
      <w:r w:rsidR="00747198" w:rsidRPr="00670FF3">
        <w:t xml:space="preserve"> of Biosecurity, and will take up her appointment in July 2016.</w:t>
      </w:r>
    </w:p>
    <w:p w:rsidR="00CC7F33" w:rsidRPr="00670FF3" w:rsidRDefault="00600FCC" w:rsidP="006074B9">
      <w:r w:rsidRPr="00670FF3">
        <w:t>During 2015–</w:t>
      </w:r>
      <w:r w:rsidR="0070436C" w:rsidRPr="00670FF3">
        <w:t>16,</w:t>
      </w:r>
      <w:r w:rsidR="00D95FE0" w:rsidRPr="00670FF3">
        <w:t xml:space="preserve"> eight </w:t>
      </w:r>
      <w:r w:rsidR="00CC7F33" w:rsidRPr="00670FF3">
        <w:t xml:space="preserve">reports were </w:t>
      </w:r>
      <w:r w:rsidR="00D95FE0" w:rsidRPr="00670FF3">
        <w:t>completed</w:t>
      </w:r>
      <w:r w:rsidR="00976F87" w:rsidRPr="00670FF3">
        <w:t xml:space="preserve">, containing 24 </w:t>
      </w:r>
      <w:r w:rsidR="00D95FE0" w:rsidRPr="00670FF3">
        <w:t>recommendations.</w:t>
      </w:r>
      <w:r w:rsidR="00CC7F33" w:rsidRPr="00670FF3">
        <w:t xml:space="preserve"> The publication of one additional report completed in 2014</w:t>
      </w:r>
      <w:r w:rsidRPr="00670FF3">
        <w:t>–</w:t>
      </w:r>
      <w:r w:rsidR="00CC7F33" w:rsidRPr="00670FF3">
        <w:t>15, was deferred, pending finalisation of the Department of Agriculture and Water Resources current enterprise agreement negotiations.</w:t>
      </w:r>
    </w:p>
    <w:p w:rsidR="00F04408" w:rsidRPr="006440D6" w:rsidRDefault="00E8220B" w:rsidP="006440D6">
      <w:pPr>
        <w:pStyle w:val="Heading2"/>
        <w:keepNext w:val="0"/>
        <w:pageBreakBefore/>
        <w:spacing w:before="0" w:after="240"/>
        <w:rPr>
          <w:rFonts w:eastAsia="Times New Roman" w:cs="Times New Roman"/>
          <w:iCs w:val="0"/>
          <w:color w:val="000000"/>
          <w:sz w:val="36"/>
        </w:rPr>
      </w:pPr>
      <w:bookmarkStart w:id="10" w:name="_Toc450834444"/>
      <w:bookmarkStart w:id="11" w:name="_Toc450910633"/>
      <w:r w:rsidRPr="006440D6">
        <w:rPr>
          <w:rFonts w:eastAsia="Times New Roman" w:cs="Times New Roman"/>
          <w:iCs w:val="0"/>
          <w:color w:val="000000"/>
          <w:sz w:val="36"/>
        </w:rPr>
        <w:lastRenderedPageBreak/>
        <w:t>Role of the Interim Inspector</w:t>
      </w:r>
      <w:r w:rsidR="006440D6" w:rsidRPr="006440D6">
        <w:rPr>
          <w:rFonts w:eastAsia="Times New Roman" w:cs="Times New Roman"/>
          <w:iCs w:val="0"/>
          <w:color w:val="000000"/>
          <w:sz w:val="36"/>
        </w:rPr>
        <w:t>-</w:t>
      </w:r>
      <w:r w:rsidRPr="006440D6">
        <w:rPr>
          <w:rFonts w:eastAsia="Times New Roman" w:cs="Times New Roman"/>
          <w:iCs w:val="0"/>
          <w:color w:val="000000"/>
          <w:sz w:val="36"/>
        </w:rPr>
        <w:t>General of Biosecurity</w:t>
      </w:r>
      <w:bookmarkEnd w:id="10"/>
      <w:bookmarkEnd w:id="11"/>
    </w:p>
    <w:p w:rsidR="0070436C" w:rsidRPr="00670FF3" w:rsidRDefault="0070436C" w:rsidP="006074B9">
      <w:r w:rsidRPr="00670FF3">
        <w:t>The Beale Review emphasised the value of independent assessments in providing “indispensable assistance in verifying the performance of individual programs and providing an objective overview of the organisation”. Such a specialist independent audit function would provide industry and the wider community with additional assurance about the effectiveness of Australia’s biosecurity system. An impartial and transparent scrutiny of specific aspects of biosecurity controls and management should also provide stronger assurance regarding the quality of the department’s policies and procedures.</w:t>
      </w:r>
    </w:p>
    <w:p w:rsidR="0070436C" w:rsidRPr="00670FF3" w:rsidRDefault="0070436C" w:rsidP="006074B9">
      <w:r w:rsidRPr="00670FF3">
        <w:t xml:space="preserve">With the initial IIGB appointment in July 2009, the role subsumed that of the Interim </w:t>
      </w:r>
      <w:r w:rsidR="004834C7" w:rsidRPr="00670FF3">
        <w:t>Inspector-General</w:t>
      </w:r>
      <w:r w:rsidRPr="00670FF3">
        <w:t xml:space="preserve"> of Horse Importation, which had been established following the </w:t>
      </w:r>
      <w:proofErr w:type="spellStart"/>
      <w:r w:rsidRPr="00670FF3">
        <w:t>Callinan</w:t>
      </w:r>
      <w:proofErr w:type="spellEnd"/>
      <w:r w:rsidRPr="00670FF3">
        <w:t xml:space="preserve"> Inquiry into the outbreak of equine influenza in 2007.</w:t>
      </w:r>
    </w:p>
    <w:p w:rsidR="0070436C" w:rsidRPr="00670FF3" w:rsidRDefault="0070436C" w:rsidP="006074B9">
      <w:r w:rsidRPr="00670FF3">
        <w:t>The IIGB role has a broad scope to audit, investigate and review the biosecurity systems and risk management measures that are the responsibility of the department’s biosecurity divisions. Audits or investigations may be commissioned by the Minister, or developed as part of an annual work program by the IIGB. An in</w:t>
      </w:r>
      <w:r w:rsidR="00DC5A81" w:rsidRPr="00670FF3">
        <w:t xml:space="preserve">dicative annual work program has been </w:t>
      </w:r>
      <w:r w:rsidRPr="00670FF3">
        <w:t xml:space="preserve">published on the </w:t>
      </w:r>
      <w:hyperlink r:id="rId23" w:history="1">
        <w:r w:rsidRPr="003C2B01">
          <w:rPr>
            <w:rStyle w:val="Hyperlink"/>
          </w:rPr>
          <w:t>IIGB website</w:t>
        </w:r>
      </w:hyperlink>
      <w:r w:rsidRPr="00670FF3">
        <w:t xml:space="preserve"> in each year.</w:t>
      </w:r>
    </w:p>
    <w:p w:rsidR="0070436C" w:rsidRPr="00670FF3" w:rsidRDefault="0070436C" w:rsidP="006074B9">
      <w:r w:rsidRPr="00670FF3">
        <w:t>The IIGB reports directly to the Minister and makes</w:t>
      </w:r>
      <w:r w:rsidR="00DC5A81" w:rsidRPr="00670FF3">
        <w:t xml:space="preserve"> the reports with</w:t>
      </w:r>
      <w:r w:rsidRPr="00670FF3">
        <w:t xml:space="preserve"> key findings and recommendations</w:t>
      </w:r>
      <w:r w:rsidR="00DC5A81" w:rsidRPr="00670FF3">
        <w:t>,</w:t>
      </w:r>
      <w:r w:rsidR="00D84586" w:rsidRPr="00670FF3">
        <w:t xml:space="preserve"> publicly available.</w:t>
      </w:r>
    </w:p>
    <w:p w:rsidR="0070436C" w:rsidRPr="00670FF3" w:rsidRDefault="0070436C" w:rsidP="006074B9">
      <w:r w:rsidRPr="00670FF3">
        <w:t xml:space="preserve">The value of the IIGB’s specialised and independent oversight of Australia’s biosecurity arrangements has been recognised by the government, department and industry stakeholders. In the future, this will be reinforced by the establishment of the statutory position of </w:t>
      </w:r>
      <w:r w:rsidR="004834C7" w:rsidRPr="00670FF3">
        <w:t>Inspector-General</w:t>
      </w:r>
      <w:r w:rsidRPr="00670FF3">
        <w:t xml:space="preserve"> of Biosecurity, as defi</w:t>
      </w:r>
      <w:r w:rsidR="00DC5A81" w:rsidRPr="00670FF3">
        <w:t xml:space="preserve">ned in the </w:t>
      </w:r>
      <w:r w:rsidR="00DC5A81" w:rsidRPr="00670FF3">
        <w:rPr>
          <w:i/>
        </w:rPr>
        <w:t>Biosecurity Act 2015</w:t>
      </w:r>
      <w:r w:rsidRPr="00670FF3">
        <w:t>. This important ground-breaking legislation, passed by the Australian Parliament on 14 May 2015, will provide Australian industry and the wider community with greater confidence in the effectiveness of biosecurity systems used to protect Australia’s primary industries and unique environment, flora</w:t>
      </w:r>
      <w:r w:rsidR="00D84586" w:rsidRPr="00670FF3">
        <w:t xml:space="preserve"> and fauna.</w:t>
      </w:r>
    </w:p>
    <w:p w:rsidR="00453155" w:rsidRPr="006440D6" w:rsidRDefault="00600FCC" w:rsidP="006440D6">
      <w:pPr>
        <w:pStyle w:val="Heading2"/>
        <w:keepNext w:val="0"/>
        <w:pageBreakBefore/>
        <w:spacing w:before="0" w:after="240"/>
        <w:rPr>
          <w:rFonts w:eastAsia="Times New Roman" w:cs="Times New Roman"/>
          <w:iCs w:val="0"/>
          <w:color w:val="000000"/>
          <w:sz w:val="36"/>
        </w:rPr>
      </w:pPr>
      <w:bookmarkStart w:id="12" w:name="_Toc450834445"/>
      <w:bookmarkStart w:id="13" w:name="_Toc450910634"/>
      <w:r w:rsidRPr="006440D6">
        <w:rPr>
          <w:rFonts w:eastAsia="Times New Roman" w:cs="Times New Roman"/>
          <w:iCs w:val="0"/>
          <w:color w:val="000000"/>
          <w:sz w:val="36"/>
        </w:rPr>
        <w:lastRenderedPageBreak/>
        <w:t>Status of the 2015–</w:t>
      </w:r>
      <w:r w:rsidR="00453155" w:rsidRPr="006440D6">
        <w:rPr>
          <w:rFonts w:eastAsia="Times New Roman" w:cs="Times New Roman"/>
          <w:iCs w:val="0"/>
          <w:color w:val="000000"/>
          <w:sz w:val="36"/>
        </w:rPr>
        <w:t>16 work program</w:t>
      </w:r>
      <w:bookmarkEnd w:id="12"/>
      <w:bookmarkEnd w:id="13"/>
    </w:p>
    <w:p w:rsidR="00453155" w:rsidRPr="00670FF3" w:rsidRDefault="00600FCC" w:rsidP="006074B9">
      <w:bookmarkStart w:id="14" w:name="_Ref270004170"/>
      <w:r w:rsidRPr="00670FF3">
        <w:t>In 2015–</w:t>
      </w:r>
      <w:r w:rsidR="00E21260" w:rsidRPr="00670FF3">
        <w:t>16</w:t>
      </w:r>
      <w:r w:rsidR="006C5EFF" w:rsidRPr="00670FF3">
        <w:t xml:space="preserve">, </w:t>
      </w:r>
      <w:r w:rsidR="005977DA" w:rsidRPr="00670FF3">
        <w:t>I</w:t>
      </w:r>
      <w:r w:rsidR="00453155" w:rsidRPr="00670FF3">
        <w:t xml:space="preserve"> </w:t>
      </w:r>
      <w:r w:rsidR="006C5EFF" w:rsidRPr="00670FF3">
        <w:t>completed eight</w:t>
      </w:r>
      <w:r w:rsidR="00453155" w:rsidRPr="00670FF3">
        <w:t xml:space="preserve"> audits</w:t>
      </w:r>
      <w:r w:rsidR="006C5EFF" w:rsidRPr="00670FF3">
        <w:t xml:space="preserve"> and reviews</w:t>
      </w:r>
      <w:r w:rsidR="00453155" w:rsidRPr="00670FF3">
        <w:t xml:space="preserve"> (see</w:t>
      </w:r>
      <w:r w:rsidR="00B82A73" w:rsidRPr="00670FF3">
        <w:t xml:space="preserve"> </w:t>
      </w:r>
      <w:r w:rsidR="00B82A73" w:rsidRPr="00670FF3">
        <w:fldChar w:fldCharType="begin"/>
      </w:r>
      <w:r w:rsidR="00B82A73" w:rsidRPr="00670FF3">
        <w:instrText xml:space="preserve"> REF _Ref450833355 \h  \* MERGEFORMAT </w:instrText>
      </w:r>
      <w:r w:rsidR="00B82A73" w:rsidRPr="00670FF3">
        <w:fldChar w:fldCharType="separate"/>
      </w:r>
      <w:r w:rsidR="00B82A73" w:rsidRPr="00670FF3">
        <w:rPr>
          <w:rFonts w:eastAsia="Calibri"/>
          <w:bCs/>
          <w:iCs/>
          <w:color w:val="404040"/>
          <w:szCs w:val="18"/>
          <w:lang w:eastAsia="en-US"/>
        </w:rPr>
        <w:t>Table 1</w:t>
      </w:r>
      <w:r w:rsidR="00B82A73" w:rsidRPr="00670FF3">
        <w:fldChar w:fldCharType="end"/>
      </w:r>
      <w:r w:rsidR="00453155" w:rsidRPr="00670FF3">
        <w:t xml:space="preserve">). A summary of each of these audits and reviews is provided below. Completed reports are available at </w:t>
      </w:r>
      <w:hyperlink r:id="rId24" w:history="1">
        <w:r w:rsidR="00396EF7" w:rsidRPr="006074B9">
          <w:t>http://www.igb.gov.au/</w:t>
        </w:r>
      </w:hyperlink>
      <w:r w:rsidR="00453155" w:rsidRPr="006074B9">
        <w:t>).</w:t>
      </w:r>
    </w:p>
    <w:p w:rsidR="00453155" w:rsidRPr="00B16B27" w:rsidRDefault="00B82A73" w:rsidP="00B16B27">
      <w:pPr>
        <w:pStyle w:val="Caption"/>
      </w:pPr>
      <w:bookmarkStart w:id="15" w:name="_Ref450833355"/>
      <w:bookmarkEnd w:id="14"/>
      <w:r w:rsidRPr="00B16B27">
        <w:t xml:space="preserve">Table </w:t>
      </w:r>
      <w:r w:rsidR="00E53620">
        <w:fldChar w:fldCharType="begin"/>
      </w:r>
      <w:r w:rsidR="00E53620">
        <w:instrText xml:space="preserve"> SEQ Table \* ARA</w:instrText>
      </w:r>
      <w:r w:rsidR="00E53620">
        <w:instrText xml:space="preserve">BIC </w:instrText>
      </w:r>
      <w:r w:rsidR="00E53620">
        <w:fldChar w:fldCharType="separate"/>
      </w:r>
      <w:r w:rsidRPr="00B16B27">
        <w:t>1</w:t>
      </w:r>
      <w:r w:rsidR="00E53620">
        <w:fldChar w:fldCharType="end"/>
      </w:r>
      <w:bookmarkEnd w:id="15"/>
      <w:r w:rsidRPr="00B16B27">
        <w:t xml:space="preserve"> Interim Inspector-General of Biosecurity work program, 2015–16</w:t>
      </w:r>
    </w:p>
    <w:tbl>
      <w:tblPr>
        <w:tblW w:w="4839" w:type="pct"/>
        <w:jc w:val="center"/>
        <w:tblBorders>
          <w:top w:val="single" w:sz="4" w:space="0" w:color="auto"/>
          <w:bottom w:val="single" w:sz="4" w:space="0" w:color="auto"/>
        </w:tblBorders>
        <w:tblLook w:val="04A0" w:firstRow="1" w:lastRow="0" w:firstColumn="1" w:lastColumn="0" w:noHBand="0" w:noVBand="1"/>
      </w:tblPr>
      <w:tblGrid>
        <w:gridCol w:w="1348"/>
        <w:gridCol w:w="5433"/>
        <w:gridCol w:w="2328"/>
      </w:tblGrid>
      <w:tr w:rsidR="00453155" w:rsidRPr="003642A4" w:rsidTr="00B82A73">
        <w:trPr>
          <w:trHeight w:val="353"/>
          <w:jc w:val="center"/>
        </w:trPr>
        <w:tc>
          <w:tcPr>
            <w:tcW w:w="740" w:type="pct"/>
            <w:shd w:val="clear" w:color="auto" w:fill="auto"/>
            <w:vAlign w:val="center"/>
          </w:tcPr>
          <w:p w:rsidR="00453155" w:rsidRPr="00B82A73" w:rsidRDefault="00453155" w:rsidP="006074B9">
            <w:pPr>
              <w:pStyle w:val="Tabletext"/>
            </w:pPr>
            <w:r w:rsidRPr="00B82A73">
              <w:t>Activity</w:t>
            </w:r>
          </w:p>
        </w:tc>
        <w:tc>
          <w:tcPr>
            <w:tcW w:w="2982" w:type="pct"/>
            <w:shd w:val="clear" w:color="auto" w:fill="auto"/>
            <w:vAlign w:val="center"/>
          </w:tcPr>
          <w:p w:rsidR="00453155" w:rsidRPr="00B82A73" w:rsidRDefault="00453155" w:rsidP="006074B9">
            <w:pPr>
              <w:pStyle w:val="Tabletext"/>
              <w:rPr>
                <w:spacing w:val="20"/>
              </w:rPr>
            </w:pPr>
            <w:r w:rsidRPr="00B82A73">
              <w:t>Audit/review title</w:t>
            </w:r>
          </w:p>
        </w:tc>
        <w:tc>
          <w:tcPr>
            <w:tcW w:w="1278" w:type="pct"/>
            <w:shd w:val="clear" w:color="auto" w:fill="auto"/>
            <w:vAlign w:val="center"/>
          </w:tcPr>
          <w:p w:rsidR="00453155" w:rsidRPr="00B82A73" w:rsidRDefault="00453155" w:rsidP="006074B9">
            <w:pPr>
              <w:pStyle w:val="Tabletext"/>
              <w:rPr>
                <w:spacing w:val="20"/>
              </w:rPr>
            </w:pPr>
            <w:r w:rsidRPr="00B82A73">
              <w:t>Status</w:t>
            </w:r>
          </w:p>
        </w:tc>
      </w:tr>
      <w:tr w:rsidR="00453155" w:rsidRPr="003642A4" w:rsidTr="00B82A73">
        <w:trPr>
          <w:jc w:val="center"/>
        </w:trPr>
        <w:tc>
          <w:tcPr>
            <w:tcW w:w="740" w:type="pct"/>
            <w:shd w:val="clear" w:color="auto" w:fill="auto"/>
          </w:tcPr>
          <w:p w:rsidR="00453155" w:rsidRPr="00B82A73" w:rsidRDefault="00453155" w:rsidP="006074B9">
            <w:pPr>
              <w:pStyle w:val="Tabletext"/>
            </w:pPr>
            <w:r w:rsidRPr="00B82A73">
              <w:t>Audit</w:t>
            </w:r>
          </w:p>
        </w:tc>
        <w:tc>
          <w:tcPr>
            <w:tcW w:w="2982" w:type="pct"/>
            <w:shd w:val="clear" w:color="auto" w:fill="auto"/>
          </w:tcPr>
          <w:p w:rsidR="00453155" w:rsidRPr="00B82A73" w:rsidRDefault="00324707" w:rsidP="006074B9">
            <w:pPr>
              <w:pStyle w:val="Tabletext"/>
            </w:pPr>
            <w:r w:rsidRPr="00B82A73">
              <w:t>Implementation of previous Interim Inspector-General of Biosecurity recommendations</w:t>
            </w:r>
            <w:r w:rsidR="00600FCC" w:rsidRPr="00B82A73">
              <w:t>–</w:t>
            </w:r>
            <w:r w:rsidR="00CE61B4" w:rsidRPr="00B82A73">
              <w:t>July 2015</w:t>
            </w:r>
          </w:p>
        </w:tc>
        <w:tc>
          <w:tcPr>
            <w:tcW w:w="1278" w:type="pct"/>
            <w:shd w:val="clear" w:color="auto" w:fill="auto"/>
          </w:tcPr>
          <w:p w:rsidR="00453155" w:rsidRPr="00B82A73" w:rsidRDefault="00396EF7" w:rsidP="006074B9">
            <w:pPr>
              <w:pStyle w:val="Tabletext"/>
            </w:pPr>
            <w:r w:rsidRPr="00B82A73">
              <w:t>Published</w:t>
            </w:r>
            <w:r w:rsidR="00670C5D" w:rsidRPr="00B82A73">
              <w:t xml:space="preserve"> 24 August </w:t>
            </w:r>
            <w:r w:rsidR="00324707" w:rsidRPr="00B82A73">
              <w:t>2015</w:t>
            </w:r>
          </w:p>
        </w:tc>
      </w:tr>
      <w:tr w:rsidR="00453155" w:rsidRPr="003642A4" w:rsidTr="00B82A73">
        <w:trPr>
          <w:jc w:val="center"/>
        </w:trPr>
        <w:tc>
          <w:tcPr>
            <w:tcW w:w="740" w:type="pct"/>
            <w:shd w:val="clear" w:color="auto" w:fill="auto"/>
          </w:tcPr>
          <w:p w:rsidR="00453155" w:rsidRPr="00B82A73" w:rsidRDefault="00453155" w:rsidP="006074B9">
            <w:pPr>
              <w:pStyle w:val="Tabletext"/>
            </w:pPr>
            <w:r w:rsidRPr="00B82A73">
              <w:t>Audit</w:t>
            </w:r>
          </w:p>
        </w:tc>
        <w:tc>
          <w:tcPr>
            <w:tcW w:w="2982" w:type="pct"/>
            <w:shd w:val="clear" w:color="auto" w:fill="auto"/>
          </w:tcPr>
          <w:p w:rsidR="00453155" w:rsidRPr="00B82A73" w:rsidRDefault="00324707" w:rsidP="006074B9">
            <w:pPr>
              <w:pStyle w:val="Tabletext"/>
            </w:pPr>
            <w:r w:rsidRPr="00B82A73">
              <w:t>Effectiveness of biosecurity controls for importation of natural sausage casings</w:t>
            </w:r>
          </w:p>
        </w:tc>
        <w:tc>
          <w:tcPr>
            <w:tcW w:w="1278" w:type="pct"/>
            <w:shd w:val="clear" w:color="auto" w:fill="auto"/>
          </w:tcPr>
          <w:p w:rsidR="00453155" w:rsidRPr="00B82A73" w:rsidRDefault="00453155" w:rsidP="006074B9">
            <w:pPr>
              <w:pStyle w:val="Tabletext"/>
            </w:pPr>
            <w:r w:rsidRPr="00B82A73">
              <w:t>Published</w:t>
            </w:r>
            <w:r w:rsidR="00670C5D" w:rsidRPr="00B82A73">
              <w:t xml:space="preserve"> 27 October </w:t>
            </w:r>
            <w:r w:rsidR="00324707" w:rsidRPr="00B82A73">
              <w:t>2015</w:t>
            </w:r>
          </w:p>
        </w:tc>
      </w:tr>
      <w:tr w:rsidR="00453155" w:rsidRPr="003642A4" w:rsidTr="00B82A73">
        <w:trPr>
          <w:jc w:val="center"/>
        </w:trPr>
        <w:tc>
          <w:tcPr>
            <w:tcW w:w="740" w:type="pct"/>
            <w:shd w:val="clear" w:color="auto" w:fill="auto"/>
          </w:tcPr>
          <w:p w:rsidR="00453155" w:rsidRPr="00B82A73" w:rsidRDefault="00453155" w:rsidP="006074B9">
            <w:pPr>
              <w:pStyle w:val="Tabletext"/>
            </w:pPr>
            <w:r w:rsidRPr="00B82A73">
              <w:t>Review</w:t>
            </w:r>
          </w:p>
        </w:tc>
        <w:tc>
          <w:tcPr>
            <w:tcW w:w="2982" w:type="pct"/>
            <w:shd w:val="clear" w:color="auto" w:fill="auto"/>
          </w:tcPr>
          <w:p w:rsidR="00453155" w:rsidRPr="00B82A73" w:rsidRDefault="00453155" w:rsidP="006074B9">
            <w:pPr>
              <w:pStyle w:val="Tabletext"/>
            </w:pPr>
            <w:r w:rsidRPr="00B82A73">
              <w:t>Horse imports: management of biosecurity risks J</w:t>
            </w:r>
            <w:r w:rsidR="00324707" w:rsidRPr="00B82A73">
              <w:t>anuary to June 2015</w:t>
            </w:r>
          </w:p>
        </w:tc>
        <w:tc>
          <w:tcPr>
            <w:tcW w:w="1278" w:type="pct"/>
            <w:shd w:val="clear" w:color="auto" w:fill="auto"/>
          </w:tcPr>
          <w:p w:rsidR="00453155" w:rsidRPr="00B82A73" w:rsidRDefault="00CB2D07" w:rsidP="006074B9">
            <w:pPr>
              <w:pStyle w:val="Tabletext"/>
            </w:pPr>
            <w:r w:rsidRPr="00B82A73">
              <w:t>Published</w:t>
            </w:r>
            <w:r w:rsidR="00670C5D" w:rsidRPr="00B82A73">
              <w:t xml:space="preserve"> 3 March </w:t>
            </w:r>
            <w:r w:rsidR="009A48C9" w:rsidRPr="00B82A73">
              <w:t>2016</w:t>
            </w:r>
          </w:p>
        </w:tc>
      </w:tr>
      <w:tr w:rsidR="009A48C9" w:rsidRPr="003642A4" w:rsidTr="00B82A73">
        <w:trPr>
          <w:jc w:val="center"/>
        </w:trPr>
        <w:tc>
          <w:tcPr>
            <w:tcW w:w="740" w:type="pct"/>
            <w:shd w:val="clear" w:color="auto" w:fill="auto"/>
          </w:tcPr>
          <w:p w:rsidR="009A48C9" w:rsidRPr="00B82A73" w:rsidRDefault="009A48C9" w:rsidP="006074B9">
            <w:pPr>
              <w:pStyle w:val="Tabletext"/>
            </w:pPr>
            <w:r w:rsidRPr="00B82A73">
              <w:t>Review</w:t>
            </w:r>
          </w:p>
        </w:tc>
        <w:tc>
          <w:tcPr>
            <w:tcW w:w="2982" w:type="pct"/>
            <w:shd w:val="clear" w:color="auto" w:fill="auto"/>
          </w:tcPr>
          <w:p w:rsidR="009A48C9" w:rsidRPr="00B82A73" w:rsidRDefault="009A48C9" w:rsidP="006074B9">
            <w:pPr>
              <w:pStyle w:val="Tabletext"/>
            </w:pPr>
            <w:r w:rsidRPr="00B82A73">
              <w:t>Horse imports: management of biosecurity risks July to December 2015</w:t>
            </w:r>
          </w:p>
        </w:tc>
        <w:tc>
          <w:tcPr>
            <w:tcW w:w="1278" w:type="pct"/>
            <w:shd w:val="clear" w:color="auto" w:fill="auto"/>
          </w:tcPr>
          <w:p w:rsidR="009A48C9" w:rsidRPr="00B82A73" w:rsidRDefault="009A48C9" w:rsidP="006074B9">
            <w:pPr>
              <w:pStyle w:val="Tabletext"/>
            </w:pPr>
            <w:r w:rsidRPr="00B82A73">
              <w:t>Published</w:t>
            </w:r>
            <w:r w:rsidR="00670C5D" w:rsidRPr="00B82A73">
              <w:t xml:space="preserve"> 1 April </w:t>
            </w:r>
            <w:r w:rsidR="000823DE" w:rsidRPr="00B82A73">
              <w:t>2016</w:t>
            </w:r>
          </w:p>
        </w:tc>
      </w:tr>
      <w:tr w:rsidR="00453155" w:rsidRPr="003642A4" w:rsidTr="00B82A73">
        <w:trPr>
          <w:jc w:val="center"/>
        </w:trPr>
        <w:tc>
          <w:tcPr>
            <w:tcW w:w="740" w:type="pct"/>
            <w:shd w:val="clear" w:color="auto" w:fill="auto"/>
          </w:tcPr>
          <w:p w:rsidR="00453155" w:rsidRPr="00B82A73" w:rsidRDefault="00453155" w:rsidP="006074B9">
            <w:pPr>
              <w:pStyle w:val="Tabletext"/>
            </w:pPr>
            <w:r w:rsidRPr="00B82A73">
              <w:t>Audit</w:t>
            </w:r>
          </w:p>
        </w:tc>
        <w:tc>
          <w:tcPr>
            <w:tcW w:w="2982" w:type="pct"/>
            <w:shd w:val="clear" w:color="auto" w:fill="auto"/>
          </w:tcPr>
          <w:p w:rsidR="00453155" w:rsidRPr="00B82A73" w:rsidRDefault="00324707" w:rsidP="006074B9">
            <w:pPr>
              <w:pStyle w:val="Tabletext"/>
            </w:pPr>
            <w:r w:rsidRPr="00B82A73">
              <w:t>Implementation of previous Interim Inspector-General of Biosecurity recommendations</w:t>
            </w:r>
            <w:r w:rsidR="00600FCC" w:rsidRPr="00B82A73">
              <w:t>–</w:t>
            </w:r>
            <w:r w:rsidR="00CE61B4" w:rsidRPr="00B82A73">
              <w:t>April 2016</w:t>
            </w:r>
          </w:p>
        </w:tc>
        <w:tc>
          <w:tcPr>
            <w:tcW w:w="1278" w:type="pct"/>
            <w:shd w:val="clear" w:color="auto" w:fill="auto"/>
          </w:tcPr>
          <w:p w:rsidR="00453155" w:rsidRPr="00B82A73" w:rsidRDefault="00DC5A81" w:rsidP="006074B9">
            <w:pPr>
              <w:pStyle w:val="Tabletext"/>
            </w:pPr>
            <w:r w:rsidRPr="00B82A73">
              <w:t>Published</w:t>
            </w:r>
            <w:r w:rsidR="00670C5D" w:rsidRPr="00B82A73">
              <w:t xml:space="preserve"> 28 April </w:t>
            </w:r>
            <w:r w:rsidRPr="00B82A73">
              <w:t>2016</w:t>
            </w:r>
          </w:p>
        </w:tc>
      </w:tr>
      <w:tr w:rsidR="00453155" w:rsidRPr="003642A4" w:rsidTr="00B82A73">
        <w:trPr>
          <w:jc w:val="center"/>
        </w:trPr>
        <w:tc>
          <w:tcPr>
            <w:tcW w:w="740" w:type="pct"/>
            <w:shd w:val="clear" w:color="auto" w:fill="auto"/>
          </w:tcPr>
          <w:p w:rsidR="00453155" w:rsidRPr="00B82A73" w:rsidRDefault="00453155" w:rsidP="006074B9">
            <w:pPr>
              <w:pStyle w:val="Tabletext"/>
            </w:pPr>
            <w:r w:rsidRPr="00B82A73">
              <w:t>Audit</w:t>
            </w:r>
          </w:p>
        </w:tc>
        <w:tc>
          <w:tcPr>
            <w:tcW w:w="2982" w:type="pct"/>
            <w:shd w:val="clear" w:color="auto" w:fill="auto"/>
          </w:tcPr>
          <w:p w:rsidR="00453155" w:rsidRPr="00B82A73" w:rsidRDefault="00453155" w:rsidP="006074B9">
            <w:pPr>
              <w:pStyle w:val="Tabletext"/>
            </w:pPr>
            <w:r w:rsidRPr="00B82A73">
              <w:t>Management of biosecurity risks associated with timber packaging and dunnage</w:t>
            </w:r>
          </w:p>
        </w:tc>
        <w:tc>
          <w:tcPr>
            <w:tcW w:w="1278" w:type="pct"/>
            <w:shd w:val="clear" w:color="auto" w:fill="auto"/>
          </w:tcPr>
          <w:p w:rsidR="00453155" w:rsidRPr="00B82A73" w:rsidRDefault="00C92E9D" w:rsidP="006074B9">
            <w:pPr>
              <w:pStyle w:val="Tabletext"/>
            </w:pPr>
            <w:r w:rsidRPr="00B82A73">
              <w:t>Provided to Minister</w:t>
            </w:r>
            <w:r w:rsidR="00670C5D" w:rsidRPr="00B82A73">
              <w:t xml:space="preserve"> </w:t>
            </w:r>
            <w:r w:rsidRPr="00B82A73">
              <w:t>on 8</w:t>
            </w:r>
            <w:r w:rsidR="00670C5D" w:rsidRPr="00B82A73">
              <w:t> April </w:t>
            </w:r>
            <w:r w:rsidRPr="00B82A73">
              <w:t>2016</w:t>
            </w:r>
          </w:p>
        </w:tc>
      </w:tr>
      <w:tr w:rsidR="00324707" w:rsidRPr="003642A4" w:rsidTr="00B82A73">
        <w:trPr>
          <w:jc w:val="center"/>
        </w:trPr>
        <w:tc>
          <w:tcPr>
            <w:tcW w:w="740" w:type="pct"/>
            <w:shd w:val="clear" w:color="auto" w:fill="auto"/>
          </w:tcPr>
          <w:p w:rsidR="00324707" w:rsidRPr="00B82A73" w:rsidRDefault="00DC5A81" w:rsidP="006074B9">
            <w:pPr>
              <w:pStyle w:val="Tabletext"/>
            </w:pPr>
            <w:r w:rsidRPr="00B82A73">
              <w:t>Review</w:t>
            </w:r>
          </w:p>
        </w:tc>
        <w:tc>
          <w:tcPr>
            <w:tcW w:w="2982" w:type="pct"/>
            <w:shd w:val="clear" w:color="auto" w:fill="auto"/>
          </w:tcPr>
          <w:p w:rsidR="00324707" w:rsidRPr="00B82A73" w:rsidRDefault="00324707" w:rsidP="006074B9">
            <w:pPr>
              <w:pStyle w:val="Tabletext"/>
            </w:pPr>
            <w:r w:rsidRPr="00B82A73">
              <w:t>Management of biosecurity risks associated with imported ships' stores</w:t>
            </w:r>
          </w:p>
        </w:tc>
        <w:tc>
          <w:tcPr>
            <w:tcW w:w="1278" w:type="pct"/>
            <w:shd w:val="clear" w:color="auto" w:fill="auto"/>
          </w:tcPr>
          <w:p w:rsidR="00324707" w:rsidRPr="00B82A73" w:rsidRDefault="00C92E9D" w:rsidP="006074B9">
            <w:pPr>
              <w:pStyle w:val="Tabletext"/>
            </w:pPr>
            <w:r w:rsidRPr="00B82A73">
              <w:t>Provided to Minister</w:t>
            </w:r>
            <w:r w:rsidR="00670C5D" w:rsidRPr="00B82A73">
              <w:t xml:space="preserve"> </w:t>
            </w:r>
            <w:r w:rsidRPr="00B82A73">
              <w:t>on 18 April 2016</w:t>
            </w:r>
          </w:p>
        </w:tc>
      </w:tr>
      <w:tr w:rsidR="00453155" w:rsidRPr="003642A4" w:rsidTr="00B82A73">
        <w:trPr>
          <w:jc w:val="center"/>
        </w:trPr>
        <w:tc>
          <w:tcPr>
            <w:tcW w:w="740" w:type="pct"/>
            <w:shd w:val="clear" w:color="auto" w:fill="auto"/>
          </w:tcPr>
          <w:p w:rsidR="00453155" w:rsidRPr="00B82A73" w:rsidRDefault="00324707" w:rsidP="006074B9">
            <w:pPr>
              <w:pStyle w:val="Tabletext"/>
            </w:pPr>
            <w:r w:rsidRPr="00B82A73">
              <w:t>Audit</w:t>
            </w:r>
          </w:p>
        </w:tc>
        <w:tc>
          <w:tcPr>
            <w:tcW w:w="2982" w:type="pct"/>
            <w:shd w:val="clear" w:color="auto" w:fill="auto"/>
          </w:tcPr>
          <w:p w:rsidR="00453155" w:rsidRPr="00B82A73" w:rsidRDefault="00324707" w:rsidP="006074B9">
            <w:pPr>
              <w:pStyle w:val="Tabletext"/>
            </w:pPr>
            <w:r w:rsidRPr="00B82A73">
              <w:t>Effectiveness of biosecurity risks associated with importation of tomato and carrot seeds</w:t>
            </w:r>
          </w:p>
        </w:tc>
        <w:tc>
          <w:tcPr>
            <w:tcW w:w="1278" w:type="pct"/>
            <w:shd w:val="clear" w:color="auto" w:fill="auto"/>
          </w:tcPr>
          <w:p w:rsidR="00453155" w:rsidRPr="00B82A73" w:rsidRDefault="00FF1DB9" w:rsidP="006074B9">
            <w:pPr>
              <w:pStyle w:val="Tabletext"/>
            </w:pPr>
            <w:r w:rsidRPr="00B82A73">
              <w:t>Provided to Minister</w:t>
            </w:r>
            <w:r w:rsidR="00670C5D" w:rsidRPr="00B82A73">
              <w:t xml:space="preserve"> </w:t>
            </w:r>
            <w:r w:rsidRPr="00B82A73">
              <w:t>on 26</w:t>
            </w:r>
            <w:r w:rsidR="008351F4" w:rsidRPr="00B82A73">
              <w:t xml:space="preserve"> April 2016</w:t>
            </w:r>
          </w:p>
        </w:tc>
      </w:tr>
    </w:tbl>
    <w:p w:rsidR="00CB2D07" w:rsidRPr="00F86AC6" w:rsidRDefault="00CB2D07" w:rsidP="00D05630">
      <w:pPr>
        <w:pStyle w:val="Heading3"/>
      </w:pPr>
      <w:bookmarkStart w:id="16" w:name="_Toc444774639"/>
      <w:bookmarkStart w:id="17" w:name="_Toc444774819"/>
      <w:bookmarkStart w:id="18" w:name="_Toc450834446"/>
      <w:bookmarkStart w:id="19" w:name="_Toc450910635"/>
      <w:bookmarkStart w:id="20" w:name="_Toc421011601"/>
      <w:r w:rsidRPr="00F86AC6">
        <w:t>Implementation of previous Interim Inspector-General of Biosecurity recommendations</w:t>
      </w:r>
      <w:r w:rsidR="00600FCC" w:rsidRPr="00F86AC6">
        <w:t>–</w:t>
      </w:r>
      <w:r w:rsidR="00CE61B4" w:rsidRPr="00F86AC6">
        <w:t>July</w:t>
      </w:r>
      <w:r w:rsidR="00E53620">
        <w:t> </w:t>
      </w:r>
      <w:bookmarkStart w:id="21" w:name="_GoBack"/>
      <w:bookmarkEnd w:id="21"/>
      <w:r w:rsidR="002829E1" w:rsidRPr="00F86AC6">
        <w:t>2015</w:t>
      </w:r>
      <w:bookmarkEnd w:id="16"/>
      <w:bookmarkEnd w:id="17"/>
      <w:bookmarkEnd w:id="18"/>
      <w:bookmarkEnd w:id="19"/>
    </w:p>
    <w:p w:rsidR="009F39AC" w:rsidRPr="00670FF3" w:rsidRDefault="009F39AC" w:rsidP="00B16B27">
      <w:r w:rsidRPr="00670FF3">
        <w:t>Initially this review was undert</w:t>
      </w:r>
      <w:r w:rsidR="00600FCC" w:rsidRPr="00670FF3">
        <w:t>aken as part of the IIGB’s 2014–</w:t>
      </w:r>
      <w:r w:rsidRPr="00670FF3">
        <w:t>15 work program. Due to competing priorities the review was complete</w:t>
      </w:r>
      <w:r w:rsidR="00600FCC" w:rsidRPr="00670FF3">
        <w:t>d within the 2015–</w:t>
      </w:r>
      <w:r w:rsidRPr="00670FF3">
        <w:t>16 work program.</w:t>
      </w:r>
    </w:p>
    <w:p w:rsidR="005478A1" w:rsidRPr="00670FF3" w:rsidRDefault="00FA1CFF" w:rsidP="00B16B27">
      <w:r w:rsidRPr="00670FF3">
        <w:t>The objective of the</w:t>
      </w:r>
      <w:r w:rsidR="00CB2D07" w:rsidRPr="00670FF3">
        <w:t xml:space="preserve"> review was to assess the adequacy of actions taken by the department to implement</w:t>
      </w:r>
      <w:r w:rsidR="005478A1" w:rsidRPr="00670FF3">
        <w:t xml:space="preserve"> the original intent or purpose of</w:t>
      </w:r>
      <w:r w:rsidR="00CB2D07" w:rsidRPr="00670FF3">
        <w:t xml:space="preserve"> recommendations from all previous IIGB and IIGHI audits and reviews</w:t>
      </w:r>
      <w:r w:rsidR="003A237E" w:rsidRPr="00670FF3">
        <w:t>.</w:t>
      </w:r>
    </w:p>
    <w:p w:rsidR="003F4453" w:rsidRPr="00670FF3" w:rsidRDefault="003A237E" w:rsidP="00B16B27">
      <w:r w:rsidRPr="00670FF3">
        <w:t xml:space="preserve">The </w:t>
      </w:r>
      <w:r w:rsidR="003F4453" w:rsidRPr="00670FF3">
        <w:t xml:space="preserve">scope of the </w:t>
      </w:r>
      <w:r w:rsidRPr="00670FF3">
        <w:t xml:space="preserve">review </w:t>
      </w:r>
      <w:r w:rsidR="003F4453" w:rsidRPr="00670FF3">
        <w:t>included actions recorded against 95 recommendations in the department’s internal database (eTRAC) where the department had marked implementation of the recommendation as ‘complete’.</w:t>
      </w:r>
    </w:p>
    <w:p w:rsidR="003A237E" w:rsidRPr="00670FF3" w:rsidRDefault="00D83546" w:rsidP="00B16B27">
      <w:r w:rsidRPr="00670FF3">
        <w:t>For 11 of the recommendations</w:t>
      </w:r>
      <w:r w:rsidR="00FA1CFF" w:rsidRPr="00670FF3">
        <w:t>,</w:t>
      </w:r>
      <w:r w:rsidRPr="00670FF3">
        <w:t xml:space="preserve"> </w:t>
      </w:r>
      <w:r w:rsidR="005977DA" w:rsidRPr="00670FF3">
        <w:t>I</w:t>
      </w:r>
      <w:r w:rsidR="006631EB" w:rsidRPr="00670FF3">
        <w:t xml:space="preserve"> approached the department for further information on the actions taken to </w:t>
      </w:r>
      <w:r w:rsidR="005478A1" w:rsidRPr="00670FF3">
        <w:t xml:space="preserve">implement </w:t>
      </w:r>
      <w:r w:rsidR="003A237E" w:rsidRPr="00670FF3">
        <w:t>the recommendation.</w:t>
      </w:r>
      <w:r w:rsidRPr="00670FF3">
        <w:t xml:space="preserve"> </w:t>
      </w:r>
      <w:r w:rsidR="003A237E" w:rsidRPr="00670FF3">
        <w:t xml:space="preserve">I </w:t>
      </w:r>
      <w:r w:rsidR="003F4453" w:rsidRPr="00670FF3">
        <w:t>am</w:t>
      </w:r>
      <w:r w:rsidR="003A237E" w:rsidRPr="00670FF3">
        <w:t xml:space="preserve"> satisfied with all </w:t>
      </w:r>
      <w:r w:rsidRPr="00670FF3">
        <w:t xml:space="preserve">the responded </w:t>
      </w:r>
      <w:r w:rsidR="003F4453" w:rsidRPr="00670FF3">
        <w:t xml:space="preserve">information </w:t>
      </w:r>
      <w:r w:rsidR="005478A1" w:rsidRPr="00670FF3">
        <w:t xml:space="preserve">and closed </w:t>
      </w:r>
      <w:r w:rsidR="003F4453" w:rsidRPr="00670FF3">
        <w:t>the</w:t>
      </w:r>
      <w:r w:rsidR="005478A1" w:rsidRPr="00670FF3">
        <w:t xml:space="preserve"> 95 recommendations</w:t>
      </w:r>
      <w:r w:rsidR="003F4453" w:rsidRPr="00670FF3">
        <w:t xml:space="preserve"> under review</w:t>
      </w:r>
      <w:r w:rsidR="005478A1" w:rsidRPr="00670FF3">
        <w:t xml:space="preserve"> </w:t>
      </w:r>
      <w:r w:rsidR="00600FCC" w:rsidRPr="00670FF3">
        <w:t>for no further action or</w:t>
      </w:r>
      <w:r w:rsidR="00B81487" w:rsidRPr="00670FF3">
        <w:t xml:space="preserve"> follow</w:t>
      </w:r>
      <w:r w:rsidR="00B81487" w:rsidRPr="00670FF3">
        <w:noBreakHyphen/>
      </w:r>
      <w:r w:rsidR="005478A1" w:rsidRPr="00670FF3">
        <w:t>up.</w:t>
      </w:r>
    </w:p>
    <w:p w:rsidR="00585F90" w:rsidRPr="00F86AC6" w:rsidRDefault="00585F90" w:rsidP="00D05630">
      <w:pPr>
        <w:pStyle w:val="Heading3"/>
      </w:pPr>
      <w:bookmarkStart w:id="22" w:name="_Toc444774640"/>
      <w:bookmarkStart w:id="23" w:name="_Toc444774820"/>
      <w:bookmarkStart w:id="24" w:name="_Toc450834447"/>
      <w:bookmarkStart w:id="25" w:name="_Toc450910636"/>
      <w:r w:rsidRPr="00F86AC6">
        <w:t>Effectiveness of biosecurity controls for importation of natural sausage casings</w:t>
      </w:r>
      <w:bookmarkEnd w:id="22"/>
      <w:bookmarkEnd w:id="23"/>
      <w:bookmarkEnd w:id="24"/>
      <w:bookmarkEnd w:id="25"/>
    </w:p>
    <w:p w:rsidR="008D21E3" w:rsidRPr="00670FF3" w:rsidRDefault="00600FCC" w:rsidP="006074B9">
      <w:r w:rsidRPr="00670FF3">
        <w:t>As part of the IIGB’s 2015–</w:t>
      </w:r>
      <w:r w:rsidR="00C85157" w:rsidRPr="00670FF3">
        <w:t>16</w:t>
      </w:r>
      <w:r w:rsidR="00C0785B" w:rsidRPr="00670FF3">
        <w:t xml:space="preserve"> work program, </w:t>
      </w:r>
      <w:r w:rsidR="008D21E3" w:rsidRPr="00670FF3">
        <w:t>I</w:t>
      </w:r>
      <w:r w:rsidR="00C0785B" w:rsidRPr="00670FF3">
        <w:t xml:space="preserve"> examined the effectiveness of controls for import</w:t>
      </w:r>
      <w:r w:rsidR="00E21260" w:rsidRPr="00670FF3">
        <w:t>ation of natural sausage casings</w:t>
      </w:r>
      <w:r w:rsidR="008D21E3" w:rsidRPr="00670FF3">
        <w:t xml:space="preserve"> into Australia.</w:t>
      </w:r>
    </w:p>
    <w:p w:rsidR="00E21260" w:rsidRPr="00670FF3" w:rsidRDefault="008D21E3" w:rsidP="006074B9">
      <w:r w:rsidRPr="00670FF3">
        <w:t xml:space="preserve">Natural sausage casings are derived from the fibrous, connective tissue layer of the intestinal tract of cattle, goats, sheep and pigs. </w:t>
      </w:r>
      <w:r w:rsidR="0041577F" w:rsidRPr="00670FF3">
        <w:t>I</w:t>
      </w:r>
      <w:r w:rsidRPr="00670FF3">
        <w:t xml:space="preserve">mported natural sausage casings are unlikely to contain exotic disease agents due to the high salt </w:t>
      </w:r>
      <w:r w:rsidR="00DC5A81" w:rsidRPr="00670FF3">
        <w:t>environment during post</w:t>
      </w:r>
      <w:r w:rsidR="00DC5A81" w:rsidRPr="00670FF3">
        <w:noBreakHyphen/>
      </w:r>
      <w:r w:rsidR="0041577F" w:rsidRPr="00670FF3">
        <w:t xml:space="preserve">processing, storage and transport. However, </w:t>
      </w:r>
      <w:r w:rsidRPr="00670FF3">
        <w:t>an import permit is required and all imports must comply with conditions listed on the permit.</w:t>
      </w:r>
    </w:p>
    <w:p w:rsidR="008D21E3" w:rsidRPr="00670FF3" w:rsidRDefault="008D21E3" w:rsidP="006074B9">
      <w:r w:rsidRPr="00670FF3">
        <w:lastRenderedPageBreak/>
        <w:t>Between 2012 and 2014, 26 import permits were active for cattle, goats, sheep and pig casings. During this period Australia imported more than 16 million units of natural sausage casings.</w:t>
      </w:r>
    </w:p>
    <w:p w:rsidR="00053EF2" w:rsidRPr="00670FF3" w:rsidRDefault="00053EF2" w:rsidP="006074B9">
      <w:r w:rsidRPr="00670FF3">
        <w:t>Overall, I consider that the department effectively manages the biosecurity risks associated with importation of natural sausage casings and generally applies appropriate controls. As a result of my findings in this audit</w:t>
      </w:r>
      <w:r w:rsidR="00DC5A81" w:rsidRPr="00670FF3">
        <w:t>,</w:t>
      </w:r>
      <w:r w:rsidRPr="00670FF3">
        <w:t xml:space="preserve"> I have made four recommendations to furthe</w:t>
      </w:r>
      <w:r w:rsidR="00FA1CFF" w:rsidRPr="00670FF3">
        <w:t>r improve the existing controls:</w:t>
      </w:r>
    </w:p>
    <w:p w:rsidR="00053EF2" w:rsidRPr="00670FF3" w:rsidRDefault="00053EF2" w:rsidP="006074B9">
      <w:pPr>
        <w:numPr>
          <w:ilvl w:val="0"/>
          <w:numId w:val="8"/>
        </w:numPr>
      </w:pPr>
      <w:r w:rsidRPr="00670FF3">
        <w:t>Update the import risk analysis for natural sausage casings, incorporating relevant internal policies and/or guidelines used by policy and operational areas for imports into Australia. An update might consider any relevant scientific literature on the persistence of pathogenic agents in sausage casings published since 1999.</w:t>
      </w:r>
    </w:p>
    <w:p w:rsidR="00053EF2" w:rsidRPr="00670FF3" w:rsidRDefault="00053EF2" w:rsidP="006074B9">
      <w:pPr>
        <w:numPr>
          <w:ilvl w:val="0"/>
          <w:numId w:val="8"/>
        </w:numPr>
      </w:pPr>
      <w:r w:rsidRPr="00670FF3">
        <w:t>Consider conducting periodic in-country evaluations of approved countries’ competent authorities to ensure they meet Australia’s biosecurity requirements for the production and export of natural sausage casings.</w:t>
      </w:r>
    </w:p>
    <w:p w:rsidR="00053EF2" w:rsidRPr="00670FF3" w:rsidRDefault="007D5A53" w:rsidP="006074B9">
      <w:pPr>
        <w:numPr>
          <w:ilvl w:val="0"/>
          <w:numId w:val="8"/>
        </w:numPr>
      </w:pPr>
      <w:r w:rsidRPr="00670FF3">
        <w:t>Record the import permit number and inspection outcomes for all natural sausage casing consignments imported into Australia. These data should be available to relevant areas in the department, to assess whether policies and regulations are effectively addressing the biosecurity risks.</w:t>
      </w:r>
    </w:p>
    <w:p w:rsidR="007D5A53" w:rsidRPr="00670FF3" w:rsidRDefault="007D5A53" w:rsidP="006074B9">
      <w:pPr>
        <w:numPr>
          <w:ilvl w:val="0"/>
          <w:numId w:val="8"/>
        </w:numPr>
      </w:pPr>
      <w:r w:rsidRPr="00670FF3">
        <w:t xml:space="preserve">Update the </w:t>
      </w:r>
      <w:r w:rsidR="00707B59" w:rsidRPr="00670FF3">
        <w:t>import conditions</w:t>
      </w:r>
      <w:r w:rsidRPr="00670FF3">
        <w:t xml:space="preserve"> database to improve clarity and accessibility of import requirements for importing natural sausage casings into Australia.</w:t>
      </w:r>
    </w:p>
    <w:p w:rsidR="00053EF2" w:rsidRPr="00F86AC6" w:rsidRDefault="005A3919" w:rsidP="00D05630">
      <w:pPr>
        <w:pStyle w:val="Heading3"/>
      </w:pPr>
      <w:bookmarkStart w:id="26" w:name="_Toc444774641"/>
      <w:bookmarkStart w:id="27" w:name="_Toc444774821"/>
      <w:bookmarkStart w:id="28" w:name="_Toc450834448"/>
      <w:bookmarkStart w:id="29" w:name="_Toc450910637"/>
      <w:r w:rsidRPr="00F86AC6">
        <w:t>Horse imports: management of biosecurity risks</w:t>
      </w:r>
      <w:r w:rsidR="00A13C6E" w:rsidRPr="00F86AC6">
        <w:t xml:space="preserve"> (</w:t>
      </w:r>
      <w:r w:rsidR="00272357" w:rsidRPr="00F86AC6">
        <w:t>J</w:t>
      </w:r>
      <w:r w:rsidRPr="00F86AC6">
        <w:t>anuary to June 2015</w:t>
      </w:r>
      <w:bookmarkEnd w:id="26"/>
      <w:bookmarkEnd w:id="27"/>
      <w:r w:rsidR="00272357" w:rsidRPr="00F86AC6">
        <w:t xml:space="preserve"> and July to December</w:t>
      </w:r>
      <w:r w:rsidR="00D05630">
        <w:t> </w:t>
      </w:r>
      <w:r w:rsidR="00272357" w:rsidRPr="00F86AC6">
        <w:t>2015</w:t>
      </w:r>
      <w:r w:rsidR="00A13C6E" w:rsidRPr="00F86AC6">
        <w:t>)</w:t>
      </w:r>
      <w:bookmarkEnd w:id="28"/>
      <w:bookmarkEnd w:id="29"/>
    </w:p>
    <w:p w:rsidR="00DA1BEC" w:rsidRPr="00670FF3" w:rsidRDefault="00600FCC" w:rsidP="006074B9">
      <w:r w:rsidRPr="00670FF3">
        <w:t>As part of the IIGB’s 2014–</w:t>
      </w:r>
      <w:r w:rsidR="00DA1BEC" w:rsidRPr="00670FF3">
        <w:t xml:space="preserve">15 </w:t>
      </w:r>
      <w:r w:rsidRPr="00670FF3">
        <w:t>and 2015–</w:t>
      </w:r>
      <w:r w:rsidR="00272357" w:rsidRPr="00670FF3">
        <w:t xml:space="preserve">16 </w:t>
      </w:r>
      <w:r w:rsidR="00DA1BEC" w:rsidRPr="00670FF3">
        <w:t>work program</w:t>
      </w:r>
      <w:r w:rsidR="00272357" w:rsidRPr="00670FF3">
        <w:t>s</w:t>
      </w:r>
      <w:r w:rsidR="00DA1BEC" w:rsidRPr="00670FF3">
        <w:t>, I</w:t>
      </w:r>
      <w:r w:rsidR="00272357" w:rsidRPr="00670FF3">
        <w:t xml:space="preserve"> undertook two</w:t>
      </w:r>
      <w:r w:rsidR="00DA1BEC" w:rsidRPr="00670FF3">
        <w:t xml:space="preserve"> desktop review</w:t>
      </w:r>
      <w:r w:rsidR="00272357" w:rsidRPr="00670FF3">
        <w:t>s</w:t>
      </w:r>
      <w:r w:rsidR="00DA1BEC" w:rsidRPr="00670FF3">
        <w:t xml:space="preserve"> of data and documentation relating to the import of horses to Australia during the period</w:t>
      </w:r>
      <w:r w:rsidR="00272357" w:rsidRPr="00670FF3">
        <w:t>s</w:t>
      </w:r>
      <w:r w:rsidR="00DA1BEC" w:rsidRPr="00670FF3">
        <w:t xml:space="preserve"> January to June 2015</w:t>
      </w:r>
      <w:r w:rsidR="00272357" w:rsidRPr="00670FF3">
        <w:t xml:space="preserve"> and July to December 2015</w:t>
      </w:r>
      <w:r w:rsidR="00DA1BEC" w:rsidRPr="00670FF3">
        <w:t>.</w:t>
      </w:r>
    </w:p>
    <w:p w:rsidR="00453155" w:rsidRPr="00670FF3" w:rsidRDefault="00DA1BEC" w:rsidP="006074B9">
      <w:r w:rsidRPr="00670FF3">
        <w:t>The review</w:t>
      </w:r>
      <w:r w:rsidR="00272357" w:rsidRPr="00670FF3">
        <w:t>s</w:t>
      </w:r>
      <w:r w:rsidRPr="00670FF3">
        <w:t xml:space="preserve"> assessed:</w:t>
      </w:r>
    </w:p>
    <w:p w:rsidR="00DA1BEC" w:rsidRPr="00670FF3" w:rsidRDefault="00DA1BEC" w:rsidP="006074B9">
      <w:pPr>
        <w:numPr>
          <w:ilvl w:val="0"/>
          <w:numId w:val="8"/>
        </w:numPr>
      </w:pPr>
      <w:r w:rsidRPr="00670FF3">
        <w:t>appr</w:t>
      </w:r>
      <w:r w:rsidR="00600FCC" w:rsidRPr="00670FF3">
        <w:t>oval processes for offshore pre–</w:t>
      </w:r>
      <w:r w:rsidRPr="00670FF3">
        <w:t>export quarantine premises used for the export of horses to Australia that were approved by the department during 2015</w:t>
      </w:r>
    </w:p>
    <w:p w:rsidR="00DA1BEC" w:rsidRPr="00670FF3" w:rsidRDefault="00DA1BEC" w:rsidP="006074B9">
      <w:pPr>
        <w:numPr>
          <w:ilvl w:val="0"/>
          <w:numId w:val="8"/>
        </w:numPr>
      </w:pPr>
      <w:r w:rsidRPr="00670FF3">
        <w:t>approval processes for o</w:t>
      </w:r>
      <w:r w:rsidR="00600FCC" w:rsidRPr="00670FF3">
        <w:t>nshore post–</w:t>
      </w:r>
      <w:r w:rsidR="00B94649" w:rsidRPr="00670FF3">
        <w:t>arrival quarantine</w:t>
      </w:r>
      <w:r w:rsidRPr="00670FF3">
        <w:t xml:space="preserve"> premises used for the import of horses to Australia that were approved by the department during 2015</w:t>
      </w:r>
    </w:p>
    <w:bookmarkEnd w:id="20"/>
    <w:p w:rsidR="00DA1BEC" w:rsidRPr="00670FF3" w:rsidRDefault="00DA1BEC" w:rsidP="006074B9">
      <w:pPr>
        <w:numPr>
          <w:ilvl w:val="0"/>
          <w:numId w:val="8"/>
        </w:numPr>
      </w:pPr>
      <w:r w:rsidRPr="00670FF3">
        <w:t xml:space="preserve">horse import numbers </w:t>
      </w:r>
      <w:r w:rsidR="005977DA" w:rsidRPr="00670FF3">
        <w:t xml:space="preserve">for 2015 </w:t>
      </w:r>
      <w:r w:rsidRPr="00670FF3">
        <w:t>including individual horse details, import permits,</w:t>
      </w:r>
      <w:r w:rsidR="00600FCC" w:rsidRPr="00670FF3">
        <w:t xml:space="preserve"> pre–export quarantine and post–</w:t>
      </w:r>
      <w:r w:rsidR="00B94649" w:rsidRPr="00670FF3">
        <w:t>arrival quarantine</w:t>
      </w:r>
      <w:r w:rsidRPr="00670FF3">
        <w:t xml:space="preserve"> premises used for each animal</w:t>
      </w:r>
    </w:p>
    <w:p w:rsidR="00585F90" w:rsidRPr="00670FF3" w:rsidRDefault="00DA1BEC" w:rsidP="006074B9">
      <w:pPr>
        <w:numPr>
          <w:ilvl w:val="0"/>
          <w:numId w:val="8"/>
        </w:numPr>
      </w:pPr>
      <w:proofErr w:type="gramStart"/>
      <w:r w:rsidRPr="00670FF3">
        <w:t>details</w:t>
      </w:r>
      <w:proofErr w:type="gramEnd"/>
      <w:r w:rsidRPr="00670FF3">
        <w:t xml:space="preserve"> of any biosecurity incidents reported to the department </w:t>
      </w:r>
      <w:r w:rsidR="005977DA" w:rsidRPr="00670FF3">
        <w:t xml:space="preserve">during 2015 </w:t>
      </w:r>
      <w:r w:rsidRPr="00670FF3">
        <w:t>including the response procedures.</w:t>
      </w:r>
    </w:p>
    <w:p w:rsidR="00453155" w:rsidRPr="00670FF3" w:rsidRDefault="003E18DC" w:rsidP="006074B9">
      <w:r w:rsidRPr="00670FF3">
        <w:t>I note that the department’s biosecurity risk management procedures for importing horses to Australia appear to be satisfactory. No recommendations were raised as part of th</w:t>
      </w:r>
      <w:r w:rsidR="00272357" w:rsidRPr="00670FF3">
        <w:t>ese</w:t>
      </w:r>
      <w:r w:rsidRPr="00670FF3">
        <w:t xml:space="preserve"> review</w:t>
      </w:r>
      <w:r w:rsidR="00272357" w:rsidRPr="00670FF3">
        <w:t>s</w:t>
      </w:r>
      <w:r w:rsidRPr="00670FF3">
        <w:t>.</w:t>
      </w:r>
    </w:p>
    <w:p w:rsidR="00D65ABA" w:rsidRPr="00F86AC6" w:rsidRDefault="005A39C9" w:rsidP="00D05630">
      <w:pPr>
        <w:pStyle w:val="Heading3"/>
      </w:pPr>
      <w:bookmarkStart w:id="30" w:name="_Toc444774642"/>
      <w:bookmarkStart w:id="31" w:name="_Toc444774822"/>
      <w:bookmarkStart w:id="32" w:name="_Toc450834449"/>
      <w:bookmarkStart w:id="33" w:name="_Toc450910638"/>
      <w:r w:rsidRPr="00F86AC6">
        <w:t>Management of biosecurity risks associated with timber packaging and dunnage</w:t>
      </w:r>
      <w:bookmarkEnd w:id="30"/>
      <w:bookmarkEnd w:id="31"/>
      <w:bookmarkEnd w:id="32"/>
      <w:bookmarkEnd w:id="33"/>
    </w:p>
    <w:p w:rsidR="00CF038E" w:rsidRPr="00670FF3" w:rsidRDefault="00600FCC" w:rsidP="006074B9">
      <w:r w:rsidRPr="00670FF3">
        <w:t>As part of the IIGB’s 2015–</w:t>
      </w:r>
      <w:r w:rsidR="00C85157" w:rsidRPr="00670FF3">
        <w:t>16 work program, I examined the effectiveness of the department’s biosecurity controls for timber packaging and timber dunnage (loose wood or matting used to keep cargo secure).</w:t>
      </w:r>
    </w:p>
    <w:p w:rsidR="00F40749" w:rsidRPr="00670FF3" w:rsidRDefault="00C85157" w:rsidP="006074B9">
      <w:r w:rsidRPr="00670FF3">
        <w:t xml:space="preserve">Packaging and dunnage are used to ensure </w:t>
      </w:r>
      <w:r w:rsidR="00F40749" w:rsidRPr="00670FF3">
        <w:t>goods transported to Australia</w:t>
      </w:r>
      <w:r w:rsidRPr="00670FF3">
        <w:t xml:space="preserve"> arrive intact and undamaged. A variety of materials is used to surround and s</w:t>
      </w:r>
      <w:r w:rsidR="00DC5A81" w:rsidRPr="00670FF3">
        <w:t xml:space="preserve">eparate items being transported. </w:t>
      </w:r>
      <w:r w:rsidR="00DC5A81" w:rsidRPr="00670FF3">
        <w:lastRenderedPageBreak/>
        <w:t>T</w:t>
      </w:r>
      <w:r w:rsidRPr="00670FF3">
        <w:t xml:space="preserve">imber </w:t>
      </w:r>
      <w:r w:rsidR="00F40749" w:rsidRPr="00670FF3">
        <w:t>is</w:t>
      </w:r>
      <w:r w:rsidRPr="00670FF3">
        <w:t xml:space="preserve"> the most common</w:t>
      </w:r>
      <w:r w:rsidR="00F40749" w:rsidRPr="00670FF3">
        <w:t>ly used</w:t>
      </w:r>
      <w:r w:rsidRPr="00670FF3">
        <w:t xml:space="preserve"> material due to its</w:t>
      </w:r>
      <w:r w:rsidR="00070879" w:rsidRPr="00670FF3">
        <w:t xml:space="preserve"> availability,</w:t>
      </w:r>
      <w:r w:rsidRPr="00670FF3">
        <w:t xml:space="preserve"> low cost, flexibility</w:t>
      </w:r>
      <w:r w:rsidR="00070879" w:rsidRPr="00670FF3">
        <w:t xml:space="preserve"> and</w:t>
      </w:r>
      <w:r w:rsidRPr="00670FF3">
        <w:t xml:space="preserve"> ease of use.</w:t>
      </w:r>
    </w:p>
    <w:p w:rsidR="001F204E" w:rsidRPr="00670FF3" w:rsidRDefault="001F204E" w:rsidP="006074B9">
      <w:r w:rsidRPr="00670FF3">
        <w:t>This low grade timber may contain pre-existing pests or pathogen damage and is a proven route for the introduction of harmful pests into Australia. In 2014, timber pallets were identified as the pathway for multiple entries of three exotic pests and one species of nematode.</w:t>
      </w:r>
    </w:p>
    <w:p w:rsidR="001F204E" w:rsidRPr="00670FF3" w:rsidRDefault="001932CD" w:rsidP="006074B9">
      <w:r w:rsidRPr="00670FF3">
        <w:t>Australia relies on the</w:t>
      </w:r>
      <w:r w:rsidR="001F204E" w:rsidRPr="00670FF3">
        <w:t xml:space="preserve"> </w:t>
      </w:r>
      <w:r w:rsidRPr="00670FF3">
        <w:t>International Standard for Phytosanitary Measures </w:t>
      </w:r>
      <w:r w:rsidR="001F204E" w:rsidRPr="00670FF3">
        <w:t>15 to mitigate risks associated with timber packaging. The standard contains several strategies to mitigate the biosecurity risks associated with timber and as a result the likelihood of a biosecurity risk occurring in processed and treated timber packaging is relatively low. However, not all timber is treated to the standard and the ever increasing volumes of timber packaging arriving in Australia suggest that these low likelihood events may start to occur at an unacceptable frequency.</w:t>
      </w:r>
    </w:p>
    <w:p w:rsidR="005908CA" w:rsidRPr="00670FF3" w:rsidRDefault="005908CA" w:rsidP="006074B9">
      <w:r w:rsidRPr="00670FF3">
        <w:t>I consider that the department is satisfactorily managing biosecurity risks associated with imported timber packaging and dunnage. However</w:t>
      </w:r>
      <w:r w:rsidR="004C427C" w:rsidRPr="00670FF3">
        <w:t>, my report contains</w:t>
      </w:r>
      <w:r w:rsidRPr="00670FF3">
        <w:t xml:space="preserve"> eight recommendations </w:t>
      </w:r>
      <w:r w:rsidR="004C427C" w:rsidRPr="00670FF3">
        <w:t>for the department to implement that will</w:t>
      </w:r>
      <w:r w:rsidRPr="00670FF3">
        <w:t xml:space="preserve"> improv</w:t>
      </w:r>
      <w:r w:rsidR="004C427C" w:rsidRPr="00670FF3">
        <w:t>e</w:t>
      </w:r>
      <w:r w:rsidR="00FA1CFF" w:rsidRPr="00670FF3">
        <w:t xml:space="preserve"> the existing controls:</w:t>
      </w:r>
    </w:p>
    <w:p w:rsidR="005908CA" w:rsidRPr="00D05630" w:rsidRDefault="004C427C" w:rsidP="00D05630">
      <w:pPr>
        <w:pStyle w:val="ListBullet"/>
      </w:pPr>
      <w:r w:rsidRPr="00D05630">
        <w:t>R</w:t>
      </w:r>
      <w:r w:rsidR="005908CA" w:rsidRPr="00D05630">
        <w:t>eview the process for initial approval and ongoing acceptance of annual packing declarations, including consideration of:</w:t>
      </w:r>
    </w:p>
    <w:p w:rsidR="005908CA" w:rsidRPr="00D05630" w:rsidRDefault="00FA1CFF" w:rsidP="00D05630">
      <w:pPr>
        <w:pStyle w:val="ListBullet2"/>
      </w:pPr>
      <w:r w:rsidRPr="00D05630">
        <w:t>developing</w:t>
      </w:r>
      <w:r w:rsidR="005908CA" w:rsidRPr="00D05630">
        <w:t xml:space="preserve"> a mandatory compliance history for individual packers</w:t>
      </w:r>
    </w:p>
    <w:p w:rsidR="005908CA" w:rsidRPr="00D05630" w:rsidRDefault="005908CA" w:rsidP="00D05630">
      <w:pPr>
        <w:pStyle w:val="ListBullet2"/>
      </w:pPr>
      <w:r w:rsidRPr="00D05630">
        <w:t>the feasibility of withdrawing or cancelling an annual declaration if required</w:t>
      </w:r>
    </w:p>
    <w:p w:rsidR="005908CA" w:rsidRPr="00D05630" w:rsidRDefault="005908CA" w:rsidP="00D05630">
      <w:pPr>
        <w:pStyle w:val="ListBullet2"/>
      </w:pPr>
      <w:proofErr w:type="gramStart"/>
      <w:r w:rsidRPr="00D05630">
        <w:t>varying</w:t>
      </w:r>
      <w:proofErr w:type="gramEnd"/>
      <w:r w:rsidRPr="00D05630">
        <w:t xml:space="preserve"> approval periods to reflect</w:t>
      </w:r>
      <w:r w:rsidR="00D84586" w:rsidRPr="00D05630">
        <w:t xml:space="preserve"> compliance history.</w:t>
      </w:r>
    </w:p>
    <w:p w:rsidR="00070879" w:rsidRPr="00670FF3" w:rsidRDefault="004C427C" w:rsidP="00D05630">
      <w:pPr>
        <w:pStyle w:val="ListBullet"/>
      </w:pPr>
      <w:r w:rsidRPr="00670FF3">
        <w:t>Re</w:t>
      </w:r>
      <w:r w:rsidR="005D4D3D" w:rsidRPr="00670FF3">
        <w:t xml:space="preserve">cord information about timber packaging in </w:t>
      </w:r>
      <w:r w:rsidR="00497D85" w:rsidRPr="00670FF3">
        <w:t>the import management system</w:t>
      </w:r>
      <w:r w:rsidR="00DC5A81" w:rsidRPr="00670FF3">
        <w:t xml:space="preserve"> </w:t>
      </w:r>
      <w:r w:rsidR="005D4D3D" w:rsidRPr="00670FF3">
        <w:t>for those consignments subject to document assessment by a department officer. This information would assist in identi</w:t>
      </w:r>
      <w:r w:rsidR="000C7DFE" w:rsidRPr="00670FF3">
        <w:t xml:space="preserve">fying undeclared or incorrectly </w:t>
      </w:r>
      <w:r w:rsidR="005D4D3D" w:rsidRPr="00670FF3">
        <w:t>declared timber packaging during inspections.</w:t>
      </w:r>
    </w:p>
    <w:p w:rsidR="005D4D3D" w:rsidRPr="00670FF3" w:rsidRDefault="00B1618C" w:rsidP="00D05630">
      <w:pPr>
        <w:pStyle w:val="ListBullet"/>
      </w:pPr>
      <w:r w:rsidRPr="00670FF3">
        <w:t>A</w:t>
      </w:r>
      <w:r w:rsidR="005D4D3D" w:rsidRPr="00670FF3">
        <w:t>ddress each of the issues identified in the timber packaging case study undertaken by the Plant Biosecurity Division in 2015</w:t>
      </w:r>
      <w:r w:rsidR="004C427C" w:rsidRPr="00670FF3">
        <w:t>.</w:t>
      </w:r>
    </w:p>
    <w:p w:rsidR="005D4D3D" w:rsidRPr="00670FF3" w:rsidRDefault="004C427C" w:rsidP="00D05630">
      <w:pPr>
        <w:pStyle w:val="ListBullet"/>
      </w:pPr>
      <w:r w:rsidRPr="00670FF3">
        <w:t>C</w:t>
      </w:r>
      <w:r w:rsidR="005D4D3D" w:rsidRPr="00670FF3">
        <w:t>onsider expanding the Cargo Compliance Verification programme beyond full container loads to include additional arrival pathways.</w:t>
      </w:r>
    </w:p>
    <w:p w:rsidR="005D4D3D" w:rsidRPr="00670FF3" w:rsidRDefault="004C427C" w:rsidP="00D05630">
      <w:pPr>
        <w:pStyle w:val="ListBullet"/>
      </w:pPr>
      <w:r w:rsidRPr="00670FF3">
        <w:t>D</w:t>
      </w:r>
      <w:r w:rsidR="00600FCC" w:rsidRPr="00670FF3">
        <w:t>evelop an over–</w:t>
      </w:r>
      <w:r w:rsidR="005D4D3D" w:rsidRPr="00670FF3">
        <w:t>arching surveillance policy that explains how surveillance fits into routine biosecurity activities, the priority to be given to surveillance when planning day-to-day activities and appropriate record-keeping requirements. This policy sh</w:t>
      </w:r>
      <w:r w:rsidR="00600FCC" w:rsidRPr="00670FF3">
        <w:t>ould link existing surveillance–</w:t>
      </w:r>
      <w:r w:rsidR="005D4D3D" w:rsidRPr="00670FF3">
        <w:t>related documents for all worksites and ensure relevant instructional material is provided at all worksites.</w:t>
      </w:r>
    </w:p>
    <w:p w:rsidR="005D4D3D" w:rsidRPr="00670FF3" w:rsidRDefault="004C427C" w:rsidP="00D05630">
      <w:pPr>
        <w:pStyle w:val="ListBullet"/>
      </w:pPr>
      <w:r w:rsidRPr="00670FF3">
        <w:t>C</w:t>
      </w:r>
      <w:r w:rsidR="005D4D3D" w:rsidRPr="00670FF3">
        <w:t>onsider using information from ‘quarantine risk material records’ to improve risk profiles.</w:t>
      </w:r>
    </w:p>
    <w:p w:rsidR="005D4D3D" w:rsidRPr="00670FF3" w:rsidRDefault="004C427C" w:rsidP="00D05630">
      <w:pPr>
        <w:pStyle w:val="ListBullet"/>
      </w:pPr>
      <w:r w:rsidRPr="00670FF3">
        <w:t>C</w:t>
      </w:r>
      <w:r w:rsidR="005D4D3D" w:rsidRPr="00670FF3">
        <w:t>onsider making biosecurity awareness and training material for industry easier to find on its website and investigate opportunities for extending the range and media used to deliver the content</w:t>
      </w:r>
      <w:r w:rsidRPr="00670FF3">
        <w:t>.</w:t>
      </w:r>
    </w:p>
    <w:p w:rsidR="005D4D3D" w:rsidRPr="00670FF3" w:rsidRDefault="004C427C" w:rsidP="00D05630">
      <w:pPr>
        <w:pStyle w:val="ListBullet"/>
      </w:pPr>
      <w:r w:rsidRPr="00670FF3">
        <w:t>R</w:t>
      </w:r>
      <w:r w:rsidR="005D4D3D" w:rsidRPr="00670FF3">
        <w:t>eview its internal communications policy to ensure biosecurity officers receive feedback about surveillance, audit outcomes and explanations for any policy changes.</w:t>
      </w:r>
    </w:p>
    <w:p w:rsidR="00D65ABA" w:rsidRPr="00F86AC6" w:rsidRDefault="005A39C9" w:rsidP="00D05630">
      <w:pPr>
        <w:pStyle w:val="Heading3"/>
      </w:pPr>
      <w:bookmarkStart w:id="34" w:name="_Toc444774643"/>
      <w:bookmarkStart w:id="35" w:name="_Toc444774823"/>
      <w:bookmarkStart w:id="36" w:name="_Toc450834450"/>
      <w:bookmarkStart w:id="37" w:name="_Toc450910639"/>
      <w:r w:rsidRPr="00F86AC6">
        <w:lastRenderedPageBreak/>
        <w:t>Management of biosecurity risks associated with imported ships' stores</w:t>
      </w:r>
      <w:bookmarkEnd w:id="34"/>
      <w:bookmarkEnd w:id="35"/>
      <w:bookmarkEnd w:id="36"/>
      <w:bookmarkEnd w:id="37"/>
    </w:p>
    <w:p w:rsidR="00976DDF" w:rsidRPr="00670FF3" w:rsidRDefault="00600FCC" w:rsidP="006074B9">
      <w:r w:rsidRPr="00670FF3">
        <w:t>As part of the IIGB’s 2015–</w:t>
      </w:r>
      <w:r w:rsidR="00976DDF" w:rsidRPr="00670FF3">
        <w:t>16 work program, I examined the department’s management of biosecurity risks associated with transhipped ships’ stores.</w:t>
      </w:r>
    </w:p>
    <w:p w:rsidR="00976DDF" w:rsidRPr="00670FF3" w:rsidRDefault="00976DDF" w:rsidP="006074B9">
      <w:r w:rsidRPr="00670FF3">
        <w:t>Shipping companies operating at Australian ports, in particular the cruise industry, often tranship food items (stores) and other goods through Australia for the use of passengers and/or crew aboard a departing vessel.</w:t>
      </w:r>
    </w:p>
    <w:p w:rsidR="00976DDF" w:rsidRPr="00670FF3" w:rsidRDefault="00976DDF" w:rsidP="006074B9">
      <w:r w:rsidRPr="00670FF3">
        <w:t>These stores, particularly foodstuffs, pose high biosecurity risks to Australia, as a potential pathway for the introduction of exotic pests or diseases. For example</w:t>
      </w:r>
      <w:r w:rsidR="00482C3B" w:rsidRPr="00670FF3">
        <w:t>,</w:t>
      </w:r>
      <w:r w:rsidRPr="00670FF3">
        <w:t xml:space="preserve"> items such as uncooked meat and seaf</w:t>
      </w:r>
      <w:r w:rsidR="00DC5A81" w:rsidRPr="00670FF3">
        <w:t>ood, fresh fruit and vegetables that are</w:t>
      </w:r>
      <w:r w:rsidRPr="00670FF3">
        <w:t xml:space="preserve"> not normally allowed as an import int</w:t>
      </w:r>
      <w:r w:rsidR="00482C3B" w:rsidRPr="00670FF3">
        <w:t>o Australia may be transhipped.</w:t>
      </w:r>
    </w:p>
    <w:p w:rsidR="00B1618C" w:rsidRPr="00670FF3" w:rsidRDefault="00B1618C" w:rsidP="006074B9">
      <w:r w:rsidRPr="00670FF3">
        <w:t xml:space="preserve">An import permit is required for </w:t>
      </w:r>
      <w:r w:rsidR="0089045A" w:rsidRPr="00670FF3">
        <w:t>stores transhipped to Australia. The department undertakes various border inspection and auditing activities to further manage the biosecurity risks of transhipped stores.</w:t>
      </w:r>
    </w:p>
    <w:p w:rsidR="00AA663C" w:rsidRPr="00670FF3" w:rsidRDefault="001F204E" w:rsidP="006074B9">
      <w:r w:rsidRPr="00670FF3">
        <w:t>I consider that the department is satisfactorily managing the biosecurity risks associated with transhipped stores</w:t>
      </w:r>
      <w:r w:rsidR="00AA663C" w:rsidRPr="00670FF3">
        <w:t xml:space="preserve"> and no recommendations are included in my report.</w:t>
      </w:r>
    </w:p>
    <w:p w:rsidR="001F204E" w:rsidRPr="00670FF3" w:rsidRDefault="001F204E" w:rsidP="006074B9">
      <w:r w:rsidRPr="00670FF3">
        <w:t xml:space="preserve">However, I note that Australian industry stakeholders continue to be concerned about the perceived biosecurity risks. In light of these concerns, it is desirable that the department keeps the consultation process under review, and actively explores ways in which it might be improved. I believe the commencement of the </w:t>
      </w:r>
      <w:r w:rsidRPr="00670FF3">
        <w:rPr>
          <w:i/>
        </w:rPr>
        <w:t>Biosecurity Act 2015</w:t>
      </w:r>
      <w:r w:rsidRPr="00670FF3">
        <w:t xml:space="preserve"> in June 2016 will provide a conduit for such improvement.</w:t>
      </w:r>
    </w:p>
    <w:p w:rsidR="00D65ABA" w:rsidRPr="00F86AC6" w:rsidRDefault="005A39C9" w:rsidP="00D05630">
      <w:pPr>
        <w:pStyle w:val="Heading3"/>
      </w:pPr>
      <w:bookmarkStart w:id="38" w:name="_Toc444774644"/>
      <w:bookmarkStart w:id="39" w:name="_Toc444774824"/>
      <w:bookmarkStart w:id="40" w:name="_Toc450834451"/>
      <w:bookmarkStart w:id="41" w:name="_Toc450910640"/>
      <w:r w:rsidRPr="00F86AC6">
        <w:t xml:space="preserve">Effectiveness of biosecurity </w:t>
      </w:r>
      <w:r w:rsidR="00EF4A16" w:rsidRPr="00F86AC6">
        <w:t>controls for</w:t>
      </w:r>
      <w:r w:rsidRPr="00F86AC6">
        <w:t xml:space="preserve"> importation of tomato and carrot seeds</w:t>
      </w:r>
      <w:bookmarkEnd w:id="38"/>
      <w:bookmarkEnd w:id="39"/>
      <w:bookmarkEnd w:id="40"/>
      <w:bookmarkEnd w:id="41"/>
    </w:p>
    <w:p w:rsidR="00CF038E" w:rsidRPr="00670FF3" w:rsidRDefault="00600FCC" w:rsidP="006074B9">
      <w:r w:rsidRPr="00670FF3">
        <w:t>As part of the IIGB 2015–</w:t>
      </w:r>
      <w:r w:rsidR="00C87A3D" w:rsidRPr="00670FF3">
        <w:t xml:space="preserve">16 work program, I examined the effectiveness of the department’s biosecurity controls for importing tomato and carrot seeds </w:t>
      </w:r>
      <w:r w:rsidR="00EF4A16" w:rsidRPr="00670FF3">
        <w:t>into Australia</w:t>
      </w:r>
      <w:r w:rsidR="00C22C97" w:rsidRPr="00670FF3">
        <w:t>.</w:t>
      </w:r>
    </w:p>
    <w:p w:rsidR="00182C5E" w:rsidRPr="00670FF3" w:rsidRDefault="00182C5E" w:rsidP="006074B9">
      <w:r w:rsidRPr="00670FF3">
        <w:t>Australia relies heavily on imported hybrid seeds for a range of vegetable crops, including tomatoes and carrots. The popularity of hybrids is due to their vigour, uniformity, disease resistance, stress tolerance and desirable horticultural traits, including early fruiting, longer shelf life and consistent yield. As the main regulatory agency, the department applies risk management measures in minimising incursions of foreign pests through imported vegetable seeds to help maintain Australia’s global market advantage in its export-oriented agricultural industries.</w:t>
      </w:r>
    </w:p>
    <w:p w:rsidR="00182C5E" w:rsidRPr="00670FF3" w:rsidRDefault="00EF4A16" w:rsidP="006074B9">
      <w:r w:rsidRPr="00670FF3">
        <w:t>A major</w:t>
      </w:r>
      <w:r w:rsidR="00182C5E" w:rsidRPr="00670FF3">
        <w:t xml:space="preserve"> biosecurity risk </w:t>
      </w:r>
      <w:r w:rsidRPr="00670FF3">
        <w:t xml:space="preserve">associated </w:t>
      </w:r>
      <w:r w:rsidR="00182C5E" w:rsidRPr="00670FF3">
        <w:t>with seed production is infection of seed with pathogens that cannot be detected by visual inspection. The department has identified specific plant pathogens of biosecurity concern that are not present in Australia that could be introduced via imported tomato and carrot seed.</w:t>
      </w:r>
    </w:p>
    <w:p w:rsidR="00182C5E" w:rsidRPr="00670FF3" w:rsidRDefault="00EF4A16" w:rsidP="006074B9">
      <w:r w:rsidRPr="00670FF3">
        <w:t>I consider</w:t>
      </w:r>
      <w:r w:rsidR="00182C5E" w:rsidRPr="00670FF3">
        <w:t xml:space="preserve"> that the importation of vegetable seeds into Australia will continue to pose significant challenges for the department and the wider industry. While the department has shown a commendable willingness to examine its performance in managing the biosecurity risks associated with importation of tomato and carrot seeds, and rectify the identified gaps</w:t>
      </w:r>
      <w:r w:rsidRPr="00670FF3">
        <w:t>,</w:t>
      </w:r>
      <w:r w:rsidR="00182C5E" w:rsidRPr="00670FF3">
        <w:t xml:space="preserve"> it is important that various issues identified in this report are addressed in a thorough, systematic manner. I have included 12 recommendations in my report</w:t>
      </w:r>
      <w:r w:rsidRPr="00670FF3">
        <w:t>, aimed</w:t>
      </w:r>
      <w:r w:rsidR="00182C5E" w:rsidRPr="00670FF3">
        <w:t xml:space="preserve"> to complement and support improvements in the current biosecurity system:</w:t>
      </w:r>
    </w:p>
    <w:p w:rsidR="00182C5E" w:rsidRPr="00D05630" w:rsidRDefault="00182C5E" w:rsidP="00D05630">
      <w:pPr>
        <w:pStyle w:val="ListBullet"/>
      </w:pPr>
      <w:r w:rsidRPr="00D05630">
        <w:t>Complete the pest risk analysis for importation of tomato seeds by December 2016.</w:t>
      </w:r>
    </w:p>
    <w:p w:rsidR="00182C5E" w:rsidRPr="00D05630" w:rsidRDefault="00182C5E" w:rsidP="00D05630">
      <w:pPr>
        <w:pStyle w:val="ListBullet"/>
      </w:pPr>
      <w:r w:rsidRPr="00D05630">
        <w:lastRenderedPageBreak/>
        <w:t>Review and consolidate the import conditions and clearance processes (that is, document assessment and verification inspection) for imported tomato and carrot seeds.</w:t>
      </w:r>
    </w:p>
    <w:p w:rsidR="00182C5E" w:rsidRPr="00D05630" w:rsidRDefault="00182C5E" w:rsidP="00D05630">
      <w:pPr>
        <w:pStyle w:val="ListBullet"/>
      </w:pPr>
      <w:r w:rsidRPr="00D05630">
        <w:t>Review import conditions for tomato and carrot seed</w:t>
      </w:r>
      <w:r w:rsidR="00DC5A81" w:rsidRPr="00D05630">
        <w:t>s</w:t>
      </w:r>
      <w:r w:rsidRPr="00D05630">
        <w:t xml:space="preserve"> listed in the BICON database to ensure clarity, consistency, scientific accuracy and usefulness for verification at the border.</w:t>
      </w:r>
    </w:p>
    <w:p w:rsidR="00182C5E" w:rsidRPr="00D05630" w:rsidRDefault="00182C5E" w:rsidP="00D05630">
      <w:pPr>
        <w:pStyle w:val="ListBullet"/>
      </w:pPr>
      <w:r w:rsidRPr="00D05630">
        <w:t>In consultation with Plant Health Australia and industry, develop national priority plant pest lists for tomato and carrot seeds, to be incorporated in industry biosecurity plans. These lists should be kept under continuous review.</w:t>
      </w:r>
    </w:p>
    <w:p w:rsidR="00182C5E" w:rsidRPr="00D05630" w:rsidRDefault="00182C5E" w:rsidP="00D05630">
      <w:pPr>
        <w:pStyle w:val="ListBullet"/>
      </w:pPr>
      <w:r w:rsidRPr="00D05630">
        <w:t>Ensure that staff conducting verification inspections at the border are well-trained, aware of biosecurity risks associated with imported seeds and adhere to standard operating procedures to minimise cross-contamination of consignments.</w:t>
      </w:r>
    </w:p>
    <w:p w:rsidR="00182C5E" w:rsidRPr="00D05630" w:rsidRDefault="00182C5E" w:rsidP="00D05630">
      <w:pPr>
        <w:pStyle w:val="ListBullet"/>
      </w:pPr>
      <w:r w:rsidRPr="00D05630">
        <w:t>Provide proactive leadership, in fostering a more collaborative approach amongst seed industry stakeholders, particularly with regard to harmonisation of phytosanitary import requirements.</w:t>
      </w:r>
    </w:p>
    <w:p w:rsidR="00182C5E" w:rsidRPr="00D05630" w:rsidRDefault="00182C5E" w:rsidP="00D05630">
      <w:pPr>
        <w:pStyle w:val="ListBullet"/>
      </w:pPr>
      <w:r w:rsidRPr="00D05630">
        <w:t>Pursue further expansion of ‘approved arrangements’ with reputable commercial companies, based on their use of integrated production and quality assurance systems.</w:t>
      </w:r>
    </w:p>
    <w:p w:rsidR="00182C5E" w:rsidRPr="00D05630" w:rsidRDefault="00182C5E" w:rsidP="00D05630">
      <w:pPr>
        <w:pStyle w:val="ListBullet"/>
      </w:pPr>
      <w:r w:rsidRPr="00D05630">
        <w:t>In consultation with industry, explore the possibilities of developing a ‘co-regulatory model’ where industry adopts and adheres to agreed recommendations, principles or codes of conduct that create an improved regulatory framework for importation of vegetable seeds.</w:t>
      </w:r>
    </w:p>
    <w:p w:rsidR="00182C5E" w:rsidRPr="00D05630" w:rsidRDefault="00182C5E" w:rsidP="00D05630">
      <w:pPr>
        <w:pStyle w:val="ListBullet"/>
      </w:pPr>
      <w:r w:rsidRPr="00D05630">
        <w:t>In collaboration with Plant Health Australia and relevant industry bodies, develop an over-arching national surveillance policy to assist the early detection of exotic plant pests. The surveillance data should also be recorded in a national register, for use in improving the management of risks associated with the seed import pathway.</w:t>
      </w:r>
    </w:p>
    <w:p w:rsidR="00182C5E" w:rsidRPr="00D05630" w:rsidRDefault="00182C5E" w:rsidP="00D05630">
      <w:pPr>
        <w:pStyle w:val="ListBullet"/>
      </w:pPr>
      <w:r w:rsidRPr="00D05630">
        <w:t>Approve offshore testing of small lots of t</w:t>
      </w:r>
      <w:r w:rsidR="00600FCC" w:rsidRPr="00D05630">
        <w:t>omato seed produced under fully–</w:t>
      </w:r>
      <w:r w:rsidRPr="00D05630">
        <w:t>integrated production systems with a view to recognising such systems as managing phytosanitary risks to an acceptable level.</w:t>
      </w:r>
    </w:p>
    <w:p w:rsidR="00182C5E" w:rsidRPr="00D05630" w:rsidRDefault="00182C5E" w:rsidP="00D05630">
      <w:pPr>
        <w:pStyle w:val="ListBullet"/>
      </w:pPr>
      <w:r w:rsidRPr="00D05630">
        <w:t>Support finalisation of the draft International Standard for Phytosanitary Measures on the international movement of seeds by the International Plant Protection Convention.</w:t>
      </w:r>
    </w:p>
    <w:p w:rsidR="00FE41AD" w:rsidRPr="00D05630" w:rsidRDefault="00182C5E" w:rsidP="00D05630">
      <w:pPr>
        <w:pStyle w:val="ListBullet"/>
      </w:pPr>
      <w:r w:rsidRPr="00D05630">
        <w:t>The Minister and the department should, under the auspices of Plant Health Australia, encourage a broad cross</w:t>
      </w:r>
      <w:r w:rsidR="00600FCC" w:rsidRPr="00D05630">
        <w:t>–</w:t>
      </w:r>
      <w:r w:rsidRPr="00D05630">
        <w:t>industry discussion to consider the benefits of establishing a single peak national body for the tomato industry, to provide more effective national industry coordination, particularly in managing biosecurity risks associated with tomato production.</w:t>
      </w:r>
    </w:p>
    <w:p w:rsidR="00D65ABA" w:rsidRPr="00F86AC6" w:rsidRDefault="00D65ABA" w:rsidP="00D05630">
      <w:pPr>
        <w:pStyle w:val="Heading3"/>
      </w:pPr>
      <w:bookmarkStart w:id="42" w:name="_Toc444774645"/>
      <w:bookmarkStart w:id="43" w:name="_Toc444774825"/>
      <w:bookmarkStart w:id="44" w:name="_Toc450834452"/>
      <w:bookmarkStart w:id="45" w:name="_Toc450910641"/>
      <w:r w:rsidRPr="00F86AC6">
        <w:t xml:space="preserve">Implementation of previous Interim Inspector-General of Biosecurity recommendations – </w:t>
      </w:r>
      <w:r w:rsidR="00A217E6" w:rsidRPr="00F86AC6">
        <w:t>April</w:t>
      </w:r>
      <w:r w:rsidRPr="00F86AC6">
        <w:t xml:space="preserve"> 2016</w:t>
      </w:r>
      <w:bookmarkEnd w:id="42"/>
      <w:bookmarkEnd w:id="43"/>
      <w:bookmarkEnd w:id="44"/>
      <w:bookmarkEnd w:id="45"/>
    </w:p>
    <w:p w:rsidR="009F39AC" w:rsidRPr="00670FF3" w:rsidRDefault="009F39AC" w:rsidP="00D05630">
      <w:r w:rsidRPr="00670FF3">
        <w:t>Following on from a si</w:t>
      </w:r>
      <w:r w:rsidR="00600FCC" w:rsidRPr="00670FF3">
        <w:t>milar review in the IIGB’s 2014–</w:t>
      </w:r>
      <w:r w:rsidRPr="00670FF3">
        <w:t xml:space="preserve">15 work program, </w:t>
      </w:r>
      <w:r w:rsidR="000C7DFE" w:rsidRPr="00670FF3">
        <w:t xml:space="preserve">I undertook </w:t>
      </w:r>
      <w:r w:rsidRPr="00670FF3">
        <w:t>this re</w:t>
      </w:r>
      <w:r w:rsidR="00600FCC" w:rsidRPr="00670FF3">
        <w:t>view as part of the IIGB’s 2015–</w:t>
      </w:r>
      <w:r w:rsidRPr="00670FF3">
        <w:t>16 work program.</w:t>
      </w:r>
    </w:p>
    <w:p w:rsidR="009F39AC" w:rsidRPr="00670FF3" w:rsidRDefault="009F39AC" w:rsidP="00D05630">
      <w:r w:rsidRPr="00670FF3">
        <w:t>The objective of this review was to assess the adequacy of actions taken by the department to implement the original intent or purpose of recommendations from all previous IIGB and IIGHI audits and reviews.</w:t>
      </w:r>
    </w:p>
    <w:p w:rsidR="007A1D88" w:rsidRPr="00670FF3" w:rsidRDefault="00942E5C" w:rsidP="00D05630">
      <w:r w:rsidRPr="00670FF3">
        <w:t>The scope of the review included actions recorded against 2</w:t>
      </w:r>
      <w:r w:rsidR="00A217E6" w:rsidRPr="00670FF3">
        <w:t>8</w:t>
      </w:r>
      <w:r w:rsidRPr="00670FF3">
        <w:t xml:space="preserve"> recommendations in the department’s internal database (eTRAC) where the department had marked implementation of the recommendation as ‘complete’ a</w:t>
      </w:r>
      <w:r w:rsidR="007A1D88" w:rsidRPr="00670FF3">
        <w:t>s at 1 February 2016</w:t>
      </w:r>
      <w:r w:rsidRPr="00670FF3">
        <w:t>.</w:t>
      </w:r>
    </w:p>
    <w:p w:rsidR="00982D3F" w:rsidRPr="00670FF3" w:rsidRDefault="009F39AC" w:rsidP="00D05630">
      <w:r w:rsidRPr="00670FF3">
        <w:lastRenderedPageBreak/>
        <w:t>For 1</w:t>
      </w:r>
      <w:r w:rsidR="00942E5C" w:rsidRPr="00670FF3">
        <w:t xml:space="preserve">4 </w:t>
      </w:r>
      <w:r w:rsidRPr="00670FF3">
        <w:t>of the recommendations</w:t>
      </w:r>
      <w:r w:rsidR="00DC5A81" w:rsidRPr="00670FF3">
        <w:t>,</w:t>
      </w:r>
      <w:r w:rsidRPr="00670FF3">
        <w:t xml:space="preserve"> I approached the department for further information on the actions taken to implement the recommendation. I am satisfied with all the responded information and have closed </w:t>
      </w:r>
      <w:r w:rsidR="00A217E6" w:rsidRPr="00670FF3">
        <w:t xml:space="preserve">20 </w:t>
      </w:r>
      <w:r w:rsidR="00982D3F" w:rsidRPr="00670FF3">
        <w:t>o</w:t>
      </w:r>
      <w:r w:rsidR="00A217E6" w:rsidRPr="00670FF3">
        <w:t>f the 28</w:t>
      </w:r>
      <w:r w:rsidRPr="00670FF3">
        <w:t xml:space="preserve"> recommendations under review for </w:t>
      </w:r>
      <w:r w:rsidR="00600FCC" w:rsidRPr="00670FF3">
        <w:t>no further action or follow–</w:t>
      </w:r>
      <w:r w:rsidR="00D84586" w:rsidRPr="00670FF3">
        <w:t>up.</w:t>
      </w:r>
    </w:p>
    <w:p w:rsidR="009F39AC" w:rsidRPr="00670FF3" w:rsidRDefault="00990E0A" w:rsidP="00D05630">
      <w:r w:rsidRPr="00670FF3">
        <w:t>It is likely that t</w:t>
      </w:r>
      <w:r w:rsidR="00A217E6" w:rsidRPr="00670FF3">
        <w:t xml:space="preserve">he remaining </w:t>
      </w:r>
      <w:r w:rsidR="00B82A73" w:rsidRPr="00670FF3">
        <w:t>eight</w:t>
      </w:r>
      <w:r w:rsidR="00A217E6" w:rsidRPr="00670FF3">
        <w:t xml:space="preserve"> recommendations will be reviewed again as part of the</w:t>
      </w:r>
      <w:r w:rsidR="00600FCC" w:rsidRPr="00670FF3">
        <w:t xml:space="preserve"> </w:t>
      </w:r>
      <w:r w:rsidR="004834C7" w:rsidRPr="00670FF3">
        <w:t>Inspector-General</w:t>
      </w:r>
      <w:r w:rsidR="00600FCC" w:rsidRPr="00670FF3">
        <w:t xml:space="preserve"> of Biosecurity’s 2016–</w:t>
      </w:r>
      <w:r w:rsidR="00982D3F" w:rsidRPr="00670FF3">
        <w:t>17 work program.</w:t>
      </w:r>
    </w:p>
    <w:p w:rsidR="00942E5C" w:rsidRPr="00670FF3" w:rsidRDefault="00942E5C" w:rsidP="00D05630">
      <w:r w:rsidRPr="00670FF3">
        <w:t>I consider</w:t>
      </w:r>
      <w:r w:rsidR="007A1D88" w:rsidRPr="00670FF3">
        <w:t xml:space="preserve"> that the ongoing rate of implementation of IIGB recommendations demonstrates the department’s solid commitment to continual improvement in biosecurity risk management.</w:t>
      </w:r>
    </w:p>
    <w:p w:rsidR="007A1D88" w:rsidRPr="00670FF3" w:rsidRDefault="007A1D88" w:rsidP="00D05630">
      <w:r w:rsidRPr="00670FF3">
        <w:t>No recommendations were raised as part of this review.</w:t>
      </w:r>
    </w:p>
    <w:p w:rsidR="00BD416B" w:rsidRPr="006440D6" w:rsidRDefault="00E8220B" w:rsidP="006440D6">
      <w:pPr>
        <w:pStyle w:val="Heading2"/>
        <w:keepNext w:val="0"/>
        <w:pageBreakBefore/>
        <w:spacing w:before="0" w:after="240"/>
        <w:rPr>
          <w:rFonts w:eastAsia="Times New Roman" w:cs="Times New Roman"/>
          <w:iCs w:val="0"/>
          <w:color w:val="000000"/>
          <w:sz w:val="36"/>
        </w:rPr>
      </w:pPr>
      <w:bookmarkStart w:id="46" w:name="_Toc450834453"/>
      <w:bookmarkStart w:id="47" w:name="_Toc450910642"/>
      <w:r w:rsidRPr="006440D6">
        <w:rPr>
          <w:rFonts w:eastAsia="Times New Roman" w:cs="Times New Roman"/>
          <w:iCs w:val="0"/>
          <w:color w:val="000000"/>
          <w:sz w:val="36"/>
        </w:rPr>
        <w:lastRenderedPageBreak/>
        <w:t>Summary</w:t>
      </w:r>
      <w:bookmarkEnd w:id="46"/>
      <w:bookmarkEnd w:id="47"/>
    </w:p>
    <w:p w:rsidR="00CC7F33" w:rsidRPr="00670FF3" w:rsidRDefault="00CC7F33" w:rsidP="00D05630">
      <w:r w:rsidRPr="00670FF3">
        <w:t xml:space="preserve">The </w:t>
      </w:r>
      <w:r w:rsidRPr="00670FF3">
        <w:rPr>
          <w:i/>
        </w:rPr>
        <w:t>Biosecurity Act 2015</w:t>
      </w:r>
      <w:r w:rsidRPr="00670FF3">
        <w:t xml:space="preserve"> received royal assent on </w:t>
      </w:r>
      <w:r w:rsidR="00F93C78" w:rsidRPr="00670FF3">
        <w:t>16 June</w:t>
      </w:r>
      <w:r w:rsidRPr="00670FF3">
        <w:t xml:space="preserve"> 2015, and most provisions of the new Act, including the appointment, responsibilit</w:t>
      </w:r>
      <w:r w:rsidR="00600FCC" w:rsidRPr="00670FF3">
        <w:t xml:space="preserve">ies and powers of the </w:t>
      </w:r>
      <w:r w:rsidR="004834C7" w:rsidRPr="00670FF3">
        <w:t>Inspector-General</w:t>
      </w:r>
      <w:r w:rsidRPr="00670FF3">
        <w:t xml:space="preserve"> of Biosecurity, will commence from 16 June 2016.</w:t>
      </w:r>
    </w:p>
    <w:p w:rsidR="00CC7F33" w:rsidRPr="00670FF3" w:rsidRDefault="00CC7F33" w:rsidP="00D05630">
      <w:r w:rsidRPr="00670FF3">
        <w:t>Since the outbreak of equine influenza in 2007, and several subsequent incursions of exotic pests and pathogens via various pathways, there has been recognition of the benefits in having an independent, impartial oversight of Austra</w:t>
      </w:r>
      <w:r w:rsidR="000C0D5A" w:rsidRPr="00670FF3">
        <w:t>lia’s biosecurity arrangements.</w:t>
      </w:r>
      <w:r w:rsidRPr="00670FF3">
        <w:t xml:space="preserve"> Since the establishment of the IIGB </w:t>
      </w:r>
      <w:r w:rsidR="00E72621" w:rsidRPr="00670FF3">
        <w:t>position</w:t>
      </w:r>
      <w:r w:rsidRPr="00670FF3">
        <w:t xml:space="preserve"> in 2009, the various audits and reviews have provided a wide range of recommendations aimed at improving the management of national biosecurity risks.</w:t>
      </w:r>
    </w:p>
    <w:p w:rsidR="008B525E" w:rsidRPr="00670FF3" w:rsidRDefault="00CC7F33" w:rsidP="00D05630">
      <w:r w:rsidRPr="00670FF3">
        <w:t xml:space="preserve">The establishment of the IGB role as a statutory position </w:t>
      </w:r>
      <w:r w:rsidR="00E72621" w:rsidRPr="00670FF3">
        <w:t>should improve</w:t>
      </w:r>
      <w:r w:rsidRPr="00670FF3">
        <w:t xml:space="preserve"> the ability to investigate possible biosecurity gaps, and should provide greater opportunities</w:t>
      </w:r>
      <w:r w:rsidR="000C0D5A" w:rsidRPr="00670FF3">
        <w:t xml:space="preserve"> to recommend </w:t>
      </w:r>
      <w:r w:rsidR="00E72621" w:rsidRPr="00670FF3">
        <w:t xml:space="preserve">appropriate </w:t>
      </w:r>
      <w:r w:rsidR="000C0D5A" w:rsidRPr="00670FF3">
        <w:t xml:space="preserve">remedial action. </w:t>
      </w:r>
      <w:r w:rsidRPr="00670FF3">
        <w:t xml:space="preserve">In </w:t>
      </w:r>
      <w:r w:rsidR="008B525E" w:rsidRPr="00670FF3">
        <w:t>addition</w:t>
      </w:r>
      <w:r w:rsidRPr="00670FF3">
        <w:t xml:space="preserve">, the </w:t>
      </w:r>
      <w:r w:rsidR="000C0D5A" w:rsidRPr="00670FF3">
        <w:t>IGB should be able to encourage</w:t>
      </w:r>
      <w:r w:rsidR="008B525E" w:rsidRPr="00670FF3">
        <w:t xml:space="preserve"> a more transparent, cooperative relationship between the department and the numerous industry sectors affected by biosecurity controls (including emergency response measures). There are significant mutual benefits in further develo</w:t>
      </w:r>
      <w:r w:rsidR="00600FCC" w:rsidRPr="00670FF3">
        <w:t>ping genuine, robust government–</w:t>
      </w:r>
      <w:r w:rsidR="008B525E" w:rsidRPr="00670FF3">
        <w:t>industry partnerships, to better manage our national biosecurity system.</w:t>
      </w:r>
    </w:p>
    <w:p w:rsidR="00453155" w:rsidRPr="00670FF3" w:rsidRDefault="00CC7F33" w:rsidP="00D05630">
      <w:r w:rsidRPr="00670FF3">
        <w:t>In undertaking the various audits and reviews</w:t>
      </w:r>
      <w:r w:rsidR="008B525E" w:rsidRPr="00670FF3">
        <w:t xml:space="preserve"> since 2013</w:t>
      </w:r>
      <w:r w:rsidRPr="00670FF3">
        <w:t>, the IIGB team has received constructive and generous support from all levels of the department,</w:t>
      </w:r>
      <w:r w:rsidR="000C0D5A" w:rsidRPr="00670FF3">
        <w:t xml:space="preserve"> in Canberra and the regions. </w:t>
      </w:r>
      <w:r w:rsidR="008B525E" w:rsidRPr="00670FF3">
        <w:t xml:space="preserve">The Minister and his staff have also consistently provided their helpful support. Importantly, </w:t>
      </w:r>
      <w:r w:rsidR="000C0D5A" w:rsidRPr="00670FF3">
        <w:t>I </w:t>
      </w:r>
      <w:r w:rsidRPr="00670FF3">
        <w:t xml:space="preserve">am pleased to acknowledge the valuable assistance provided by </w:t>
      </w:r>
      <w:r w:rsidR="008B525E" w:rsidRPr="00670FF3">
        <w:t>many</w:t>
      </w:r>
      <w:r w:rsidRPr="00670FF3">
        <w:t xml:space="preserve"> industry stakeholders, who recognise the importance of working closely with government to protect and enhance Australia’s enviable biosecurity status.</w:t>
      </w:r>
    </w:p>
    <w:p w:rsidR="00453155" w:rsidRPr="00670FF3" w:rsidRDefault="008D25A4" w:rsidP="006074B9">
      <w:r w:rsidRPr="00670FF3">
        <w:t>[Signed]</w:t>
      </w:r>
    </w:p>
    <w:p w:rsidR="00A33646" w:rsidRPr="00D05630" w:rsidRDefault="00453155" w:rsidP="00D05630">
      <w:pPr>
        <w:spacing w:before="0" w:after="0"/>
        <w:rPr>
          <w:rStyle w:val="Strong"/>
        </w:rPr>
      </w:pPr>
      <w:r w:rsidRPr="00D05630">
        <w:rPr>
          <w:rStyle w:val="Strong"/>
        </w:rPr>
        <w:t>Dr Michael Bond</w:t>
      </w:r>
    </w:p>
    <w:p w:rsidR="00453155" w:rsidRPr="00D05630" w:rsidRDefault="00453155" w:rsidP="00D05630">
      <w:pPr>
        <w:spacing w:before="0" w:after="0"/>
        <w:rPr>
          <w:rStyle w:val="Strong"/>
        </w:rPr>
      </w:pPr>
      <w:r w:rsidRPr="00D05630">
        <w:rPr>
          <w:rStyle w:val="Strong"/>
        </w:rPr>
        <w:t xml:space="preserve">Interim </w:t>
      </w:r>
      <w:r w:rsidR="004834C7" w:rsidRPr="00D05630">
        <w:rPr>
          <w:rStyle w:val="Strong"/>
        </w:rPr>
        <w:t>Inspector-General</w:t>
      </w:r>
      <w:r w:rsidRPr="00D05630">
        <w:rPr>
          <w:rStyle w:val="Strong"/>
        </w:rPr>
        <w:t xml:space="preserve"> of Biosecurity</w:t>
      </w:r>
    </w:p>
    <w:p w:rsidR="00453155" w:rsidRPr="00D05630" w:rsidRDefault="00E01A68" w:rsidP="00D05630">
      <w:pPr>
        <w:spacing w:before="0" w:after="0"/>
        <w:rPr>
          <w:rStyle w:val="Strong"/>
        </w:rPr>
      </w:pPr>
      <w:r w:rsidRPr="00D05630">
        <w:rPr>
          <w:rStyle w:val="Strong"/>
        </w:rPr>
        <w:t>29</w:t>
      </w:r>
      <w:r w:rsidR="00366394" w:rsidRPr="00D05630">
        <w:rPr>
          <w:rStyle w:val="Strong"/>
        </w:rPr>
        <w:t xml:space="preserve"> April 2016</w:t>
      </w:r>
    </w:p>
    <w:sectPr w:rsidR="00453155" w:rsidRPr="00D05630" w:rsidSect="00D05630">
      <w:pgSz w:w="11906" w:h="16838"/>
      <w:pgMar w:top="1418" w:right="1247" w:bottom="1134" w:left="124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BDA" w:rsidRDefault="00F40BDA" w:rsidP="006074B9">
      <w:r>
        <w:separator/>
      </w:r>
    </w:p>
    <w:p w:rsidR="00F40BDA" w:rsidRDefault="00F40BDA" w:rsidP="006074B9"/>
    <w:p w:rsidR="00F40BDA" w:rsidRDefault="00F40BDA" w:rsidP="006074B9"/>
    <w:p w:rsidR="00F40BDA" w:rsidRDefault="00F40BDA" w:rsidP="006074B9"/>
    <w:p w:rsidR="00F40BDA" w:rsidRDefault="00F40BDA" w:rsidP="006074B9"/>
    <w:p w:rsidR="00F40BDA" w:rsidRDefault="00F40BDA" w:rsidP="006074B9"/>
  </w:endnote>
  <w:endnote w:type="continuationSeparator" w:id="0">
    <w:p w:rsidR="00F40BDA" w:rsidRDefault="00F40BDA" w:rsidP="006074B9">
      <w:r>
        <w:continuationSeparator/>
      </w:r>
    </w:p>
    <w:p w:rsidR="00F40BDA" w:rsidRDefault="00F40BDA" w:rsidP="006074B9"/>
    <w:p w:rsidR="00F40BDA" w:rsidRDefault="00F40BDA" w:rsidP="006074B9"/>
    <w:p w:rsidR="00F40BDA" w:rsidRDefault="00F40BDA" w:rsidP="006074B9"/>
    <w:p w:rsidR="00F40BDA" w:rsidRDefault="00F40BDA" w:rsidP="006074B9"/>
    <w:p w:rsidR="00F40BDA" w:rsidRDefault="00F40BDA" w:rsidP="006074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D16" w:rsidRDefault="00BA5D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58E" w:rsidRPr="00B81487" w:rsidRDefault="0063658E" w:rsidP="00A33646">
    <w:pPr>
      <w:pStyle w:val="Footer"/>
    </w:pPr>
    <w:r w:rsidRPr="00B81487">
      <w:fldChar w:fldCharType="begin"/>
    </w:r>
    <w:r w:rsidRPr="00B81487">
      <w:instrText xml:space="preserve"> PAGE   \* MERGEFORMAT </w:instrText>
    </w:r>
    <w:r w:rsidRPr="00B81487">
      <w:fldChar w:fldCharType="separate"/>
    </w:r>
    <w:r w:rsidR="00E53620">
      <w:t>3</w:t>
    </w:r>
    <w:r w:rsidRPr="00B81487">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D16" w:rsidRDefault="00BA5D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BDA" w:rsidRDefault="00F40BDA" w:rsidP="006074B9">
      <w:r>
        <w:separator/>
      </w:r>
    </w:p>
    <w:p w:rsidR="00F40BDA" w:rsidRDefault="00F40BDA" w:rsidP="006074B9"/>
    <w:p w:rsidR="00F40BDA" w:rsidRDefault="00F40BDA" w:rsidP="006074B9"/>
  </w:footnote>
  <w:footnote w:type="continuationSeparator" w:id="0">
    <w:p w:rsidR="00F40BDA" w:rsidRDefault="00F40BDA" w:rsidP="006074B9">
      <w:r>
        <w:continuationSeparator/>
      </w:r>
    </w:p>
    <w:p w:rsidR="00F40BDA" w:rsidRDefault="00F40BDA" w:rsidP="006074B9"/>
    <w:p w:rsidR="00F40BDA" w:rsidRDefault="00F40BDA" w:rsidP="006074B9"/>
  </w:footnote>
  <w:footnote w:type="continuationNotice" w:id="1">
    <w:p w:rsidR="00F40BDA" w:rsidRDefault="00F40BDA" w:rsidP="006074B9"/>
    <w:p w:rsidR="00F40BDA" w:rsidRDefault="00F40BDA" w:rsidP="006074B9"/>
    <w:p w:rsidR="00F40BDA" w:rsidRDefault="00F40BDA" w:rsidP="006074B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D16" w:rsidRDefault="00BA5D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58E" w:rsidRPr="00670FF3" w:rsidRDefault="0079101C" w:rsidP="0079101C">
    <w:pPr>
      <w:pStyle w:val="Header"/>
      <w:pBdr>
        <w:bottom w:val="single" w:sz="4" w:space="1" w:color="auto"/>
      </w:pBdr>
      <w:jc w:val="center"/>
      <w:rPr>
        <w:rFonts w:ascii="Calibri" w:hAnsi="Calibri"/>
      </w:rPr>
    </w:pPr>
    <w:r w:rsidRPr="00670FF3">
      <w:rPr>
        <w:rFonts w:ascii="Calibri" w:hAnsi="Calibri"/>
      </w:rPr>
      <w:t>Interim Inspector-</w:t>
    </w:r>
    <w:r w:rsidR="0063658E" w:rsidRPr="00670FF3">
      <w:rPr>
        <w:rFonts w:ascii="Calibri" w:hAnsi="Calibri"/>
      </w:rPr>
      <w:t>General of B</w:t>
    </w:r>
    <w:r w:rsidR="003C2B01">
      <w:rPr>
        <w:rFonts w:ascii="Calibri" w:hAnsi="Calibri"/>
      </w:rPr>
      <w:t>iosecurity annual r</w:t>
    </w:r>
    <w:r w:rsidR="00D84586" w:rsidRPr="00670FF3">
      <w:rPr>
        <w:rFonts w:ascii="Calibri" w:hAnsi="Calibri"/>
      </w:rPr>
      <w:t>eport 2015–</w:t>
    </w:r>
    <w:r w:rsidR="0063658E" w:rsidRPr="00670FF3">
      <w:rPr>
        <w:rFonts w:ascii="Calibri" w:hAnsi="Calibri"/>
      </w:rPr>
      <w:t>16</w:t>
    </w:r>
    <w:r w:rsidR="0063658E" w:rsidRPr="00670FF3">
      <w:rPr>
        <w:rFonts w:ascii="Calibri" w:hAnsi="Calibri"/>
      </w:rPr>
      <w:tab/>
      <w:t>IIGB</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D16" w:rsidRDefault="00BA5D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28806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19EF2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E6E0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FAA2A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38E07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EC67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7CE7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3E10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BF4C3C9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3D90F55"/>
    <w:multiLevelType w:val="hybridMultilevel"/>
    <w:tmpl w:val="C388BBCC"/>
    <w:lvl w:ilvl="0" w:tplc="D214EC48">
      <w:start w:val="1"/>
      <w:numFmt w:val="decimal"/>
      <w:lvlText w:val="%1"/>
      <w:lvlJc w:val="left"/>
      <w:pPr>
        <w:ind w:left="1077"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0" w15:restartNumberingAfterBreak="0">
    <w:nsid w:val="1A473DD9"/>
    <w:multiLevelType w:val="hybridMultilevel"/>
    <w:tmpl w:val="FFCCD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451A6B"/>
    <w:multiLevelType w:val="hybridMultilevel"/>
    <w:tmpl w:val="76D086E8"/>
    <w:lvl w:ilvl="0" w:tplc="A09CFF00">
      <w:start w:val="2"/>
      <w:numFmt w:val="decimal"/>
      <w:lvlText w:val="%1."/>
      <w:lvlJc w:val="left"/>
      <w:pPr>
        <w:ind w:left="759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6854C72"/>
    <w:multiLevelType w:val="hybridMultilevel"/>
    <w:tmpl w:val="FA345B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2D0AED"/>
    <w:multiLevelType w:val="multilevel"/>
    <w:tmpl w:val="71C03C8A"/>
    <w:lvl w:ilvl="0">
      <w:start w:val="1"/>
      <w:numFmt w:val="decimal"/>
      <w:pStyle w:val="NumberedHeading2"/>
      <w:lvlText w:val="%1."/>
      <w:lvlJc w:val="left"/>
      <w:pPr>
        <w:ind w:left="720" w:hanging="360"/>
      </w:pPr>
      <w:rPr>
        <w:rFonts w:hint="default"/>
      </w:rPr>
    </w:lvl>
    <w:lvl w:ilvl="1">
      <w:start w:val="1"/>
      <w:numFmt w:val="decimal"/>
      <w:pStyle w:val="FindingsNormalNumbering"/>
      <w:isLgl/>
      <w:lvlText w:val="%1.%2"/>
      <w:lvlJc w:val="left"/>
      <w:pPr>
        <w:ind w:left="765" w:hanging="405"/>
      </w:pPr>
      <w:rPr>
        <w:rFonts w:ascii="Calibri" w:hAnsi="Calibri" w:cs="Calibri" w:hint="default"/>
        <w:b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FA84B43"/>
    <w:multiLevelType w:val="multilevel"/>
    <w:tmpl w:val="271CAC28"/>
    <w:styleLink w:val="Part1"/>
    <w:lvl w:ilvl="0">
      <w:start w:val="1"/>
      <w:numFmt w:val="decimal"/>
      <w:pStyle w:val="ListNumber"/>
      <w:lvlText w:val="s%1."/>
      <w:lvlJc w:val="left"/>
      <w:pPr>
        <w:ind w:left="1134" w:hanging="1134"/>
      </w:pPr>
    </w:lvl>
    <w:lvl w:ilvl="1">
      <w:start w:val="1"/>
      <w:numFmt w:val="lowerLetter"/>
      <w:lvlText w:val="%2."/>
      <w:lvlJc w:val="left"/>
      <w:pPr>
        <w:ind w:left="1701" w:hanging="1134"/>
      </w:pPr>
    </w:lvl>
    <w:lvl w:ilvl="2">
      <w:start w:val="1"/>
      <w:numFmt w:val="lowerRoman"/>
      <w:lvlText w:val="%3."/>
      <w:lvlJc w:val="right"/>
      <w:pPr>
        <w:ind w:left="2268" w:hanging="1134"/>
      </w:pPr>
    </w:lvl>
    <w:lvl w:ilvl="3">
      <w:start w:val="1"/>
      <w:numFmt w:val="decimal"/>
      <w:lvlText w:val="%4."/>
      <w:lvlJc w:val="left"/>
      <w:pPr>
        <w:ind w:left="2835" w:hanging="1134"/>
      </w:pPr>
    </w:lvl>
    <w:lvl w:ilvl="4">
      <w:start w:val="1"/>
      <w:numFmt w:val="lowerLetter"/>
      <w:lvlText w:val="%5."/>
      <w:lvlJc w:val="left"/>
      <w:pPr>
        <w:ind w:left="3402" w:hanging="1134"/>
      </w:pPr>
    </w:lvl>
    <w:lvl w:ilvl="5">
      <w:start w:val="1"/>
      <w:numFmt w:val="lowerRoman"/>
      <w:lvlText w:val="%6."/>
      <w:lvlJc w:val="right"/>
      <w:pPr>
        <w:ind w:left="3969" w:hanging="1134"/>
      </w:pPr>
    </w:lvl>
    <w:lvl w:ilvl="6">
      <w:start w:val="1"/>
      <w:numFmt w:val="decimal"/>
      <w:lvlText w:val="%7."/>
      <w:lvlJc w:val="left"/>
      <w:pPr>
        <w:ind w:left="4536" w:hanging="1134"/>
      </w:pPr>
    </w:lvl>
    <w:lvl w:ilvl="7">
      <w:start w:val="1"/>
      <w:numFmt w:val="lowerLetter"/>
      <w:lvlText w:val="%8."/>
      <w:lvlJc w:val="left"/>
      <w:pPr>
        <w:ind w:left="5103" w:hanging="1134"/>
      </w:pPr>
    </w:lvl>
    <w:lvl w:ilvl="8">
      <w:start w:val="1"/>
      <w:numFmt w:val="lowerRoman"/>
      <w:lvlText w:val="%9."/>
      <w:lvlJc w:val="right"/>
      <w:pPr>
        <w:ind w:left="5670" w:hanging="1134"/>
      </w:pPr>
    </w:lvl>
  </w:abstractNum>
  <w:abstractNum w:abstractNumId="15" w15:restartNumberingAfterBreak="0">
    <w:nsid w:val="42EC18F3"/>
    <w:multiLevelType w:val="hybridMultilevel"/>
    <w:tmpl w:val="51E8C0A2"/>
    <w:lvl w:ilvl="0" w:tplc="96468088">
      <w:start w:val="1"/>
      <w:numFmt w:val="bullet"/>
      <w:pStyle w:val="ListBullet"/>
      <w:lvlText w:val=""/>
      <w:lvlJc w:val="left"/>
      <w:pPr>
        <w:ind w:left="6" w:hanging="360"/>
      </w:pPr>
      <w:rPr>
        <w:rFonts w:ascii="Symbol" w:hAnsi="Symbol" w:hint="default"/>
      </w:rPr>
    </w:lvl>
    <w:lvl w:ilvl="1" w:tplc="0C090003">
      <w:start w:val="1"/>
      <w:numFmt w:val="bullet"/>
      <w:lvlText w:val="o"/>
      <w:lvlJc w:val="left"/>
      <w:pPr>
        <w:ind w:left="726" w:hanging="360"/>
      </w:pPr>
      <w:rPr>
        <w:rFonts w:ascii="Courier New" w:hAnsi="Courier New" w:cs="Courier New" w:hint="default"/>
      </w:rPr>
    </w:lvl>
    <w:lvl w:ilvl="2" w:tplc="7E0E621E">
      <w:start w:val="1"/>
      <w:numFmt w:val="bullet"/>
      <w:pStyle w:val="ListBullet2"/>
      <w:lvlText w:val=""/>
      <w:lvlJc w:val="left"/>
      <w:pPr>
        <w:ind w:left="1446" w:hanging="360"/>
      </w:pPr>
      <w:rPr>
        <w:rFonts w:ascii="Wingdings" w:hAnsi="Wingdings" w:hint="default"/>
      </w:rPr>
    </w:lvl>
    <w:lvl w:ilvl="3" w:tplc="0C09000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16" w15:restartNumberingAfterBreak="0">
    <w:nsid w:val="448A21BE"/>
    <w:multiLevelType w:val="hybridMultilevel"/>
    <w:tmpl w:val="533C8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C33F13"/>
    <w:multiLevelType w:val="hybridMultilevel"/>
    <w:tmpl w:val="ED1AA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1B580F"/>
    <w:multiLevelType w:val="multilevel"/>
    <w:tmpl w:val="2FA2D250"/>
    <w:lvl w:ilvl="0">
      <w:start w:val="1"/>
      <w:numFmt w:val="decimal"/>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E3C7B86"/>
    <w:multiLevelType w:val="multilevel"/>
    <w:tmpl w:val="2DD229EA"/>
    <w:lvl w:ilvl="0">
      <w:start w:val="1"/>
      <w:numFmt w:val="decimal"/>
      <w:lvlText w:val="%1"/>
      <w:lvlJc w:val="left"/>
      <w:pPr>
        <w:ind w:left="851" w:hanging="851"/>
      </w:pPr>
    </w:lvl>
    <w:lvl w:ilvl="1">
      <w:start w:val="1"/>
      <w:numFmt w:val="decimal"/>
      <w:lvlText w:val="%1.%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F0F7A24"/>
    <w:multiLevelType w:val="hybridMultilevel"/>
    <w:tmpl w:val="C2246118"/>
    <w:lvl w:ilvl="0" w:tplc="F82E9186">
      <w:start w:val="1"/>
      <w:numFmt w:val="decimal"/>
      <w:pStyle w:val="NormalNumbering"/>
      <w:lvlText w:val="%1."/>
      <w:lvlJc w:val="left"/>
      <w:pPr>
        <w:ind w:left="108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1" w:tplc="0C090003">
      <w:start w:val="1"/>
      <w:numFmt w:val="lowerLetter"/>
      <w:lvlText w:val="%2."/>
      <w:lvlJc w:val="left"/>
      <w:pPr>
        <w:ind w:left="2160" w:hanging="360"/>
      </w:pPr>
    </w:lvl>
    <w:lvl w:ilvl="2" w:tplc="0C090005" w:tentative="1">
      <w:start w:val="1"/>
      <w:numFmt w:val="lowerRoman"/>
      <w:lvlText w:val="%3."/>
      <w:lvlJc w:val="right"/>
      <w:pPr>
        <w:ind w:left="2880" w:hanging="180"/>
      </w:pPr>
    </w:lvl>
    <w:lvl w:ilvl="3" w:tplc="0C090001" w:tentative="1">
      <w:start w:val="1"/>
      <w:numFmt w:val="decimal"/>
      <w:lvlText w:val="%4."/>
      <w:lvlJc w:val="left"/>
      <w:pPr>
        <w:ind w:left="3600" w:hanging="360"/>
      </w:pPr>
    </w:lvl>
    <w:lvl w:ilvl="4" w:tplc="0C090003" w:tentative="1">
      <w:start w:val="1"/>
      <w:numFmt w:val="lowerLetter"/>
      <w:lvlText w:val="%5."/>
      <w:lvlJc w:val="left"/>
      <w:pPr>
        <w:ind w:left="4320" w:hanging="360"/>
      </w:pPr>
    </w:lvl>
    <w:lvl w:ilvl="5" w:tplc="0C090005" w:tentative="1">
      <w:start w:val="1"/>
      <w:numFmt w:val="lowerRoman"/>
      <w:lvlText w:val="%6."/>
      <w:lvlJc w:val="right"/>
      <w:pPr>
        <w:ind w:left="5040" w:hanging="180"/>
      </w:pPr>
    </w:lvl>
    <w:lvl w:ilvl="6" w:tplc="0C090001" w:tentative="1">
      <w:start w:val="1"/>
      <w:numFmt w:val="decimal"/>
      <w:lvlText w:val="%7."/>
      <w:lvlJc w:val="left"/>
      <w:pPr>
        <w:ind w:left="5760" w:hanging="360"/>
      </w:pPr>
    </w:lvl>
    <w:lvl w:ilvl="7" w:tplc="0C090003" w:tentative="1">
      <w:start w:val="1"/>
      <w:numFmt w:val="lowerLetter"/>
      <w:lvlText w:val="%8."/>
      <w:lvlJc w:val="left"/>
      <w:pPr>
        <w:ind w:left="6480" w:hanging="360"/>
      </w:pPr>
    </w:lvl>
    <w:lvl w:ilvl="8" w:tplc="0C090005" w:tentative="1">
      <w:start w:val="1"/>
      <w:numFmt w:val="lowerRoman"/>
      <w:lvlText w:val="%9."/>
      <w:lvlJc w:val="right"/>
      <w:pPr>
        <w:ind w:left="7200" w:hanging="180"/>
      </w:pPr>
    </w:lvl>
  </w:abstractNum>
  <w:abstractNum w:abstractNumId="21" w15:restartNumberingAfterBreak="0">
    <w:nsid w:val="62202882"/>
    <w:multiLevelType w:val="hybridMultilevel"/>
    <w:tmpl w:val="70D4D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E9F24C0"/>
    <w:multiLevelType w:val="hybridMultilevel"/>
    <w:tmpl w:val="47A62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18"/>
  </w:num>
  <w:num w:numId="3">
    <w:abstractNumId w:val="13"/>
  </w:num>
  <w:num w:numId="4">
    <w:abstractNumId w:val="21"/>
  </w:num>
  <w:num w:numId="5">
    <w:abstractNumId w:val="9"/>
  </w:num>
  <w:num w:numId="6">
    <w:abstractNumId w:val="11"/>
  </w:num>
  <w:num w:numId="7">
    <w:abstractNumId w:val="22"/>
  </w:num>
  <w:num w:numId="8">
    <w:abstractNumId w:val="17"/>
  </w:num>
  <w:num w:numId="9">
    <w:abstractNumId w:val="19"/>
    <w:lvlOverride w:ilvl="0">
      <w:lvl w:ilvl="0">
        <w:numFmt w:val="decimal"/>
        <w:lvlText w:val=""/>
        <w:lvlJc w:val="left"/>
      </w:lvl>
    </w:lvlOverride>
    <w:lvlOverride w:ilvl="1">
      <w:lvl w:ilvl="1">
        <w:start w:val="1"/>
        <w:numFmt w:val="decimal"/>
        <w:lvlText w:val="%1.%2"/>
        <w:lvlJc w:val="left"/>
        <w:pPr>
          <w:ind w:left="3763"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0">
    <w:abstractNumId w:val="15"/>
  </w:num>
  <w:num w:numId="11">
    <w:abstractNumId w:val="20"/>
  </w:num>
  <w:num w:numId="12">
    <w:abstractNumId w:val="20"/>
  </w:num>
  <w:num w:numId="13">
    <w:abstractNumId w:val="14"/>
    <w:lvlOverride w:ilvl="0">
      <w:lvl w:ilvl="0">
        <w:start w:val="1"/>
        <w:numFmt w:val="decimal"/>
        <w:pStyle w:val="ListNumber"/>
        <w:lvlText w:val="s%1."/>
        <w:lvlJc w:val="left"/>
        <w:pPr>
          <w:ind w:left="1134" w:hanging="1134"/>
        </w:pPr>
        <w:rPr>
          <w:color w:val="auto"/>
        </w:rPr>
      </w:lvl>
    </w:lvlOverride>
  </w:num>
  <w:num w:numId="14">
    <w:abstractNumId w:val="14"/>
  </w:num>
  <w:num w:numId="15">
    <w:abstractNumId w:val="10"/>
  </w:num>
  <w:num w:numId="16">
    <w:abstractNumId w:val="12"/>
  </w:num>
  <w:num w:numId="17">
    <w:abstractNumId w:val="3"/>
  </w:num>
  <w:num w:numId="18">
    <w:abstractNumId w:val="16"/>
  </w:num>
  <w:num w:numId="19">
    <w:abstractNumId w:val="19"/>
    <w:lvlOverride w:ilvl="0">
      <w:lvl w:ilvl="0">
        <w:numFmt w:val="decimal"/>
        <w:lvlText w:val=""/>
        <w:lvlJc w:val="left"/>
      </w:lvl>
    </w:lvlOverride>
    <w:lvlOverride w:ilvl="1">
      <w:lvl w:ilvl="1">
        <w:start w:val="1"/>
        <w:numFmt w:val="decimal"/>
        <w:lvlText w:val="%1.%2"/>
        <w:lvlJc w:val="left"/>
        <w:pPr>
          <w:ind w:left="502" w:hanging="360"/>
        </w:pPr>
        <w:rPr>
          <w:rFonts w:asciiTheme="minorHAnsi" w:hAnsiTheme="minorHAnsi" w:hint="default"/>
          <w:b w:val="0"/>
          <w:bCs w:val="0"/>
        </w:rPr>
      </w:lvl>
    </w:lvlOverride>
  </w:num>
  <w:num w:numId="20">
    <w:abstractNumId w:val="20"/>
  </w:num>
  <w:num w:numId="21">
    <w:abstractNumId w:val="8"/>
  </w:num>
  <w:num w:numId="22">
    <w:abstractNumId w:val="7"/>
  </w:num>
  <w:num w:numId="23">
    <w:abstractNumId w:val="6"/>
  </w:num>
  <w:num w:numId="24">
    <w:abstractNumId w:val="5"/>
  </w:num>
  <w:num w:numId="25">
    <w:abstractNumId w:val="4"/>
  </w:num>
  <w:num w:numId="26">
    <w:abstractNumId w:val="2"/>
  </w:num>
  <w:num w:numId="27">
    <w:abstractNumId w:val="1"/>
  </w:num>
  <w:num w:numId="2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C70"/>
    <w:rsid w:val="00002061"/>
    <w:rsid w:val="00005150"/>
    <w:rsid w:val="00015B31"/>
    <w:rsid w:val="00020D5D"/>
    <w:rsid w:val="000218EC"/>
    <w:rsid w:val="000219B4"/>
    <w:rsid w:val="00035A82"/>
    <w:rsid w:val="00036733"/>
    <w:rsid w:val="000367CA"/>
    <w:rsid w:val="00037F34"/>
    <w:rsid w:val="00042292"/>
    <w:rsid w:val="00043448"/>
    <w:rsid w:val="00047811"/>
    <w:rsid w:val="000501E1"/>
    <w:rsid w:val="00053EF2"/>
    <w:rsid w:val="00065E88"/>
    <w:rsid w:val="00070879"/>
    <w:rsid w:val="00071573"/>
    <w:rsid w:val="00075600"/>
    <w:rsid w:val="00076EEB"/>
    <w:rsid w:val="00077469"/>
    <w:rsid w:val="000805AC"/>
    <w:rsid w:val="000818D3"/>
    <w:rsid w:val="000823DE"/>
    <w:rsid w:val="00083D60"/>
    <w:rsid w:val="00086E40"/>
    <w:rsid w:val="00091F76"/>
    <w:rsid w:val="000939BC"/>
    <w:rsid w:val="000A2F6E"/>
    <w:rsid w:val="000A4190"/>
    <w:rsid w:val="000A6B71"/>
    <w:rsid w:val="000A7F11"/>
    <w:rsid w:val="000B0B7C"/>
    <w:rsid w:val="000C0D5A"/>
    <w:rsid w:val="000C1172"/>
    <w:rsid w:val="000C43AD"/>
    <w:rsid w:val="000C7DFE"/>
    <w:rsid w:val="000D1D1B"/>
    <w:rsid w:val="000D311A"/>
    <w:rsid w:val="000D6007"/>
    <w:rsid w:val="000F5914"/>
    <w:rsid w:val="000F755B"/>
    <w:rsid w:val="00101723"/>
    <w:rsid w:val="001032AC"/>
    <w:rsid w:val="00105917"/>
    <w:rsid w:val="0010721A"/>
    <w:rsid w:val="00112FEB"/>
    <w:rsid w:val="0011764F"/>
    <w:rsid w:val="00123B90"/>
    <w:rsid w:val="00124781"/>
    <w:rsid w:val="0012547B"/>
    <w:rsid w:val="00127D3E"/>
    <w:rsid w:val="00133341"/>
    <w:rsid w:val="00134416"/>
    <w:rsid w:val="001412A3"/>
    <w:rsid w:val="00142713"/>
    <w:rsid w:val="0014620C"/>
    <w:rsid w:val="0014626C"/>
    <w:rsid w:val="001535D1"/>
    <w:rsid w:val="0015552D"/>
    <w:rsid w:val="0016294C"/>
    <w:rsid w:val="00177AB0"/>
    <w:rsid w:val="00177D36"/>
    <w:rsid w:val="00182C5E"/>
    <w:rsid w:val="00190DAE"/>
    <w:rsid w:val="001932CD"/>
    <w:rsid w:val="0019331F"/>
    <w:rsid w:val="001A218F"/>
    <w:rsid w:val="001A59D3"/>
    <w:rsid w:val="001B08C6"/>
    <w:rsid w:val="001B265B"/>
    <w:rsid w:val="001B2DAB"/>
    <w:rsid w:val="001B5DF7"/>
    <w:rsid w:val="001C35A8"/>
    <w:rsid w:val="001C3759"/>
    <w:rsid w:val="001C3FBD"/>
    <w:rsid w:val="001D1CB0"/>
    <w:rsid w:val="001D273C"/>
    <w:rsid w:val="001D77D6"/>
    <w:rsid w:val="001E3849"/>
    <w:rsid w:val="001F204E"/>
    <w:rsid w:val="001F4229"/>
    <w:rsid w:val="001F675B"/>
    <w:rsid w:val="002019CC"/>
    <w:rsid w:val="00202722"/>
    <w:rsid w:val="00211922"/>
    <w:rsid w:val="00213D46"/>
    <w:rsid w:val="00220C70"/>
    <w:rsid w:val="00223330"/>
    <w:rsid w:val="002572B9"/>
    <w:rsid w:val="00266E36"/>
    <w:rsid w:val="00267101"/>
    <w:rsid w:val="0027116F"/>
    <w:rsid w:val="00272357"/>
    <w:rsid w:val="00275288"/>
    <w:rsid w:val="002764EF"/>
    <w:rsid w:val="00277C20"/>
    <w:rsid w:val="002829E1"/>
    <w:rsid w:val="00285CDB"/>
    <w:rsid w:val="00286113"/>
    <w:rsid w:val="00290587"/>
    <w:rsid w:val="00290A5A"/>
    <w:rsid w:val="00290CF8"/>
    <w:rsid w:val="00293B23"/>
    <w:rsid w:val="002973C1"/>
    <w:rsid w:val="0029782B"/>
    <w:rsid w:val="002A1543"/>
    <w:rsid w:val="002A6B40"/>
    <w:rsid w:val="002A6C1F"/>
    <w:rsid w:val="002B3C4E"/>
    <w:rsid w:val="002C6A99"/>
    <w:rsid w:val="002E4BAA"/>
    <w:rsid w:val="002E4C8E"/>
    <w:rsid w:val="002E4EB1"/>
    <w:rsid w:val="002F09A1"/>
    <w:rsid w:val="002F518A"/>
    <w:rsid w:val="002F7C1F"/>
    <w:rsid w:val="0030157C"/>
    <w:rsid w:val="003024E4"/>
    <w:rsid w:val="0030540C"/>
    <w:rsid w:val="0030796E"/>
    <w:rsid w:val="0031349D"/>
    <w:rsid w:val="00324707"/>
    <w:rsid w:val="0032610A"/>
    <w:rsid w:val="00326D3E"/>
    <w:rsid w:val="0034220E"/>
    <w:rsid w:val="00343471"/>
    <w:rsid w:val="00350A2C"/>
    <w:rsid w:val="00355769"/>
    <w:rsid w:val="00363435"/>
    <w:rsid w:val="00363798"/>
    <w:rsid w:val="00366394"/>
    <w:rsid w:val="003714CB"/>
    <w:rsid w:val="00373956"/>
    <w:rsid w:val="00384BA1"/>
    <w:rsid w:val="00390E33"/>
    <w:rsid w:val="00396EF7"/>
    <w:rsid w:val="003A100F"/>
    <w:rsid w:val="003A237E"/>
    <w:rsid w:val="003B6F1A"/>
    <w:rsid w:val="003B7FF5"/>
    <w:rsid w:val="003C0D63"/>
    <w:rsid w:val="003C27FF"/>
    <w:rsid w:val="003C2B01"/>
    <w:rsid w:val="003C51A9"/>
    <w:rsid w:val="003C740A"/>
    <w:rsid w:val="003D6206"/>
    <w:rsid w:val="003E0407"/>
    <w:rsid w:val="003E18DC"/>
    <w:rsid w:val="003E7DE9"/>
    <w:rsid w:val="003F4453"/>
    <w:rsid w:val="003F45A6"/>
    <w:rsid w:val="0040367E"/>
    <w:rsid w:val="004054DA"/>
    <w:rsid w:val="0041577F"/>
    <w:rsid w:val="004200DB"/>
    <w:rsid w:val="00422B6E"/>
    <w:rsid w:val="00423527"/>
    <w:rsid w:val="0042799D"/>
    <w:rsid w:val="00430D40"/>
    <w:rsid w:val="0043156E"/>
    <w:rsid w:val="00433C12"/>
    <w:rsid w:val="00435879"/>
    <w:rsid w:val="0044189A"/>
    <w:rsid w:val="00442620"/>
    <w:rsid w:val="00446322"/>
    <w:rsid w:val="00453155"/>
    <w:rsid w:val="00462BA7"/>
    <w:rsid w:val="004700AB"/>
    <w:rsid w:val="004825F2"/>
    <w:rsid w:val="00482C3B"/>
    <w:rsid w:val="004834C7"/>
    <w:rsid w:val="004858DE"/>
    <w:rsid w:val="00495731"/>
    <w:rsid w:val="004979E9"/>
    <w:rsid w:val="00497D85"/>
    <w:rsid w:val="004A1E68"/>
    <w:rsid w:val="004A5A61"/>
    <w:rsid w:val="004A66E3"/>
    <w:rsid w:val="004B1721"/>
    <w:rsid w:val="004B7812"/>
    <w:rsid w:val="004C35E8"/>
    <w:rsid w:val="004C3835"/>
    <w:rsid w:val="004C427C"/>
    <w:rsid w:val="004C7E9B"/>
    <w:rsid w:val="004D43F6"/>
    <w:rsid w:val="004E3431"/>
    <w:rsid w:val="004E52D3"/>
    <w:rsid w:val="004F0A3E"/>
    <w:rsid w:val="004F54B1"/>
    <w:rsid w:val="004F595B"/>
    <w:rsid w:val="005023E9"/>
    <w:rsid w:val="0050488F"/>
    <w:rsid w:val="00512090"/>
    <w:rsid w:val="00525F4C"/>
    <w:rsid w:val="0053277A"/>
    <w:rsid w:val="00532CA3"/>
    <w:rsid w:val="00542B89"/>
    <w:rsid w:val="00543BF5"/>
    <w:rsid w:val="00545362"/>
    <w:rsid w:val="005465C9"/>
    <w:rsid w:val="005478A1"/>
    <w:rsid w:val="00550F07"/>
    <w:rsid w:val="0055774F"/>
    <w:rsid w:val="00560D95"/>
    <w:rsid w:val="005612F1"/>
    <w:rsid w:val="00562D6C"/>
    <w:rsid w:val="00570136"/>
    <w:rsid w:val="005724DE"/>
    <w:rsid w:val="00573CBC"/>
    <w:rsid w:val="00581499"/>
    <w:rsid w:val="00585F90"/>
    <w:rsid w:val="005863D4"/>
    <w:rsid w:val="005908CA"/>
    <w:rsid w:val="00592BA1"/>
    <w:rsid w:val="005944CB"/>
    <w:rsid w:val="005977DA"/>
    <w:rsid w:val="005A3919"/>
    <w:rsid w:val="005A39C9"/>
    <w:rsid w:val="005A5976"/>
    <w:rsid w:val="005B0217"/>
    <w:rsid w:val="005B7CE8"/>
    <w:rsid w:val="005C0788"/>
    <w:rsid w:val="005C4B9F"/>
    <w:rsid w:val="005D4D3D"/>
    <w:rsid w:val="005D6BFB"/>
    <w:rsid w:val="005E0320"/>
    <w:rsid w:val="005E15D4"/>
    <w:rsid w:val="005E2250"/>
    <w:rsid w:val="005E53AA"/>
    <w:rsid w:val="005F246A"/>
    <w:rsid w:val="00600FCC"/>
    <w:rsid w:val="006057BB"/>
    <w:rsid w:val="006074B9"/>
    <w:rsid w:val="00613E8F"/>
    <w:rsid w:val="00615B4D"/>
    <w:rsid w:val="006227FA"/>
    <w:rsid w:val="0062377D"/>
    <w:rsid w:val="00630CE3"/>
    <w:rsid w:val="00630EB0"/>
    <w:rsid w:val="0063633E"/>
    <w:rsid w:val="0063658E"/>
    <w:rsid w:val="00641C09"/>
    <w:rsid w:val="00641DB8"/>
    <w:rsid w:val="0064344C"/>
    <w:rsid w:val="006440D6"/>
    <w:rsid w:val="00651E55"/>
    <w:rsid w:val="00651EFE"/>
    <w:rsid w:val="00654580"/>
    <w:rsid w:val="00655FA6"/>
    <w:rsid w:val="00656E45"/>
    <w:rsid w:val="006631EB"/>
    <w:rsid w:val="00665577"/>
    <w:rsid w:val="00670C5D"/>
    <w:rsid w:val="00670FF3"/>
    <w:rsid w:val="00677A1E"/>
    <w:rsid w:val="00686490"/>
    <w:rsid w:val="006870F9"/>
    <w:rsid w:val="006874FC"/>
    <w:rsid w:val="00687B1B"/>
    <w:rsid w:val="006933FF"/>
    <w:rsid w:val="00697BB4"/>
    <w:rsid w:val="006A2A6B"/>
    <w:rsid w:val="006A2D28"/>
    <w:rsid w:val="006B19D2"/>
    <w:rsid w:val="006B2AD0"/>
    <w:rsid w:val="006B3B02"/>
    <w:rsid w:val="006B4BCC"/>
    <w:rsid w:val="006B4E57"/>
    <w:rsid w:val="006C2A95"/>
    <w:rsid w:val="006C5EFF"/>
    <w:rsid w:val="006C7D81"/>
    <w:rsid w:val="006E7A69"/>
    <w:rsid w:val="006F35E4"/>
    <w:rsid w:val="006F49D3"/>
    <w:rsid w:val="00700A4B"/>
    <w:rsid w:val="0070436C"/>
    <w:rsid w:val="00707310"/>
    <w:rsid w:val="00707B59"/>
    <w:rsid w:val="007169C0"/>
    <w:rsid w:val="00716D03"/>
    <w:rsid w:val="00721F23"/>
    <w:rsid w:val="0072276F"/>
    <w:rsid w:val="00730327"/>
    <w:rsid w:val="007313FF"/>
    <w:rsid w:val="00733D5A"/>
    <w:rsid w:val="00743C41"/>
    <w:rsid w:val="00745A80"/>
    <w:rsid w:val="00747198"/>
    <w:rsid w:val="007548E0"/>
    <w:rsid w:val="00756A86"/>
    <w:rsid w:val="00764901"/>
    <w:rsid w:val="00764CE9"/>
    <w:rsid w:val="00765441"/>
    <w:rsid w:val="00770FDE"/>
    <w:rsid w:val="00787348"/>
    <w:rsid w:val="0079101C"/>
    <w:rsid w:val="00792A10"/>
    <w:rsid w:val="007A115C"/>
    <w:rsid w:val="007A1D88"/>
    <w:rsid w:val="007B272D"/>
    <w:rsid w:val="007B32B8"/>
    <w:rsid w:val="007B4A71"/>
    <w:rsid w:val="007B5B5D"/>
    <w:rsid w:val="007C0367"/>
    <w:rsid w:val="007C240B"/>
    <w:rsid w:val="007C53E5"/>
    <w:rsid w:val="007D2CA1"/>
    <w:rsid w:val="007D394D"/>
    <w:rsid w:val="007D5A53"/>
    <w:rsid w:val="007E0EAB"/>
    <w:rsid w:val="0080196F"/>
    <w:rsid w:val="00802682"/>
    <w:rsid w:val="00802D86"/>
    <w:rsid w:val="00805756"/>
    <w:rsid w:val="00815A31"/>
    <w:rsid w:val="00831F5A"/>
    <w:rsid w:val="00832284"/>
    <w:rsid w:val="008351F4"/>
    <w:rsid w:val="00837BB7"/>
    <w:rsid w:val="00846AB8"/>
    <w:rsid w:val="00856A30"/>
    <w:rsid w:val="00857CE3"/>
    <w:rsid w:val="008601B5"/>
    <w:rsid w:val="008605B6"/>
    <w:rsid w:val="008620BF"/>
    <w:rsid w:val="008663FA"/>
    <w:rsid w:val="008664AD"/>
    <w:rsid w:val="0089045A"/>
    <w:rsid w:val="008A4BC1"/>
    <w:rsid w:val="008A5761"/>
    <w:rsid w:val="008B4372"/>
    <w:rsid w:val="008B525E"/>
    <w:rsid w:val="008C0425"/>
    <w:rsid w:val="008D1E0E"/>
    <w:rsid w:val="008D21E3"/>
    <w:rsid w:val="008D25A4"/>
    <w:rsid w:val="008D7A71"/>
    <w:rsid w:val="008E72B7"/>
    <w:rsid w:val="008F2493"/>
    <w:rsid w:val="008F7BCC"/>
    <w:rsid w:val="00905708"/>
    <w:rsid w:val="009065F1"/>
    <w:rsid w:val="0091563A"/>
    <w:rsid w:val="00931740"/>
    <w:rsid w:val="00933FCB"/>
    <w:rsid w:val="00935917"/>
    <w:rsid w:val="00935FB0"/>
    <w:rsid w:val="009362C1"/>
    <w:rsid w:val="00942E5C"/>
    <w:rsid w:val="009507A8"/>
    <w:rsid w:val="00965C2F"/>
    <w:rsid w:val="00965DA0"/>
    <w:rsid w:val="009761BC"/>
    <w:rsid w:val="00976DDF"/>
    <w:rsid w:val="00976F87"/>
    <w:rsid w:val="0098028F"/>
    <w:rsid w:val="00982D09"/>
    <w:rsid w:val="00982D3F"/>
    <w:rsid w:val="00990427"/>
    <w:rsid w:val="00990E0A"/>
    <w:rsid w:val="009923F5"/>
    <w:rsid w:val="00993713"/>
    <w:rsid w:val="009A019A"/>
    <w:rsid w:val="009A48C9"/>
    <w:rsid w:val="009A7987"/>
    <w:rsid w:val="009B08D6"/>
    <w:rsid w:val="009B1954"/>
    <w:rsid w:val="009B417B"/>
    <w:rsid w:val="009B7212"/>
    <w:rsid w:val="009C45A9"/>
    <w:rsid w:val="009C7438"/>
    <w:rsid w:val="009D05B2"/>
    <w:rsid w:val="009E095D"/>
    <w:rsid w:val="009E3905"/>
    <w:rsid w:val="009F39AC"/>
    <w:rsid w:val="009F7E99"/>
    <w:rsid w:val="00A01D61"/>
    <w:rsid w:val="00A13C6E"/>
    <w:rsid w:val="00A15D5B"/>
    <w:rsid w:val="00A217E6"/>
    <w:rsid w:val="00A22ED7"/>
    <w:rsid w:val="00A2599B"/>
    <w:rsid w:val="00A3356C"/>
    <w:rsid w:val="00A33646"/>
    <w:rsid w:val="00A35244"/>
    <w:rsid w:val="00A42937"/>
    <w:rsid w:val="00A44D27"/>
    <w:rsid w:val="00A453DB"/>
    <w:rsid w:val="00A5067F"/>
    <w:rsid w:val="00A50698"/>
    <w:rsid w:val="00A52C2D"/>
    <w:rsid w:val="00A54154"/>
    <w:rsid w:val="00A54969"/>
    <w:rsid w:val="00A60B40"/>
    <w:rsid w:val="00A63EB3"/>
    <w:rsid w:val="00A64918"/>
    <w:rsid w:val="00A64E64"/>
    <w:rsid w:val="00A64F0B"/>
    <w:rsid w:val="00A6607B"/>
    <w:rsid w:val="00A714DC"/>
    <w:rsid w:val="00A76756"/>
    <w:rsid w:val="00A77B31"/>
    <w:rsid w:val="00A84564"/>
    <w:rsid w:val="00A91002"/>
    <w:rsid w:val="00A93305"/>
    <w:rsid w:val="00A96AB0"/>
    <w:rsid w:val="00A970D6"/>
    <w:rsid w:val="00A97491"/>
    <w:rsid w:val="00AA663C"/>
    <w:rsid w:val="00AB2867"/>
    <w:rsid w:val="00AB31FA"/>
    <w:rsid w:val="00AC4AC8"/>
    <w:rsid w:val="00AC62EB"/>
    <w:rsid w:val="00AE5C4E"/>
    <w:rsid w:val="00AE66C0"/>
    <w:rsid w:val="00AE6B3F"/>
    <w:rsid w:val="00AF00EB"/>
    <w:rsid w:val="00B0129D"/>
    <w:rsid w:val="00B01A7B"/>
    <w:rsid w:val="00B105DB"/>
    <w:rsid w:val="00B14C74"/>
    <w:rsid w:val="00B1618C"/>
    <w:rsid w:val="00B1638A"/>
    <w:rsid w:val="00B16B27"/>
    <w:rsid w:val="00B25A0C"/>
    <w:rsid w:val="00B26A54"/>
    <w:rsid w:val="00B40C0C"/>
    <w:rsid w:val="00B47389"/>
    <w:rsid w:val="00B56EE8"/>
    <w:rsid w:val="00B63F51"/>
    <w:rsid w:val="00B64062"/>
    <w:rsid w:val="00B80CB5"/>
    <w:rsid w:val="00B81487"/>
    <w:rsid w:val="00B82A73"/>
    <w:rsid w:val="00B83879"/>
    <w:rsid w:val="00B83896"/>
    <w:rsid w:val="00B91E28"/>
    <w:rsid w:val="00B94649"/>
    <w:rsid w:val="00B94CA2"/>
    <w:rsid w:val="00B955A6"/>
    <w:rsid w:val="00BA3364"/>
    <w:rsid w:val="00BA3F30"/>
    <w:rsid w:val="00BA5D16"/>
    <w:rsid w:val="00BB22B8"/>
    <w:rsid w:val="00BB35AF"/>
    <w:rsid w:val="00BB4380"/>
    <w:rsid w:val="00BB5ED9"/>
    <w:rsid w:val="00BB7673"/>
    <w:rsid w:val="00BC27FB"/>
    <w:rsid w:val="00BC33E0"/>
    <w:rsid w:val="00BC7DE8"/>
    <w:rsid w:val="00BC7FB5"/>
    <w:rsid w:val="00BD2A1A"/>
    <w:rsid w:val="00BD416B"/>
    <w:rsid w:val="00BE2138"/>
    <w:rsid w:val="00BE265C"/>
    <w:rsid w:val="00BE7076"/>
    <w:rsid w:val="00BF461B"/>
    <w:rsid w:val="00BF665F"/>
    <w:rsid w:val="00C03387"/>
    <w:rsid w:val="00C0785B"/>
    <w:rsid w:val="00C21D13"/>
    <w:rsid w:val="00C22C97"/>
    <w:rsid w:val="00C344F4"/>
    <w:rsid w:val="00C36076"/>
    <w:rsid w:val="00C37F4E"/>
    <w:rsid w:val="00C40895"/>
    <w:rsid w:val="00C40F34"/>
    <w:rsid w:val="00C41AC1"/>
    <w:rsid w:val="00C44D57"/>
    <w:rsid w:val="00C536A5"/>
    <w:rsid w:val="00C55A62"/>
    <w:rsid w:val="00C63CAE"/>
    <w:rsid w:val="00C77C8D"/>
    <w:rsid w:val="00C80BE1"/>
    <w:rsid w:val="00C84E33"/>
    <w:rsid w:val="00C85088"/>
    <w:rsid w:val="00C85157"/>
    <w:rsid w:val="00C87A3D"/>
    <w:rsid w:val="00C9056B"/>
    <w:rsid w:val="00C92E9D"/>
    <w:rsid w:val="00CA0476"/>
    <w:rsid w:val="00CB12C6"/>
    <w:rsid w:val="00CB182C"/>
    <w:rsid w:val="00CB2D07"/>
    <w:rsid w:val="00CB6082"/>
    <w:rsid w:val="00CC1AD4"/>
    <w:rsid w:val="00CC4D03"/>
    <w:rsid w:val="00CC50C1"/>
    <w:rsid w:val="00CC719A"/>
    <w:rsid w:val="00CC7F33"/>
    <w:rsid w:val="00CD118F"/>
    <w:rsid w:val="00CD24EF"/>
    <w:rsid w:val="00CD2B8F"/>
    <w:rsid w:val="00CE203F"/>
    <w:rsid w:val="00CE5D0B"/>
    <w:rsid w:val="00CE61B4"/>
    <w:rsid w:val="00CF038E"/>
    <w:rsid w:val="00CF259F"/>
    <w:rsid w:val="00CF4DCA"/>
    <w:rsid w:val="00CF4EEE"/>
    <w:rsid w:val="00CF530A"/>
    <w:rsid w:val="00CF572A"/>
    <w:rsid w:val="00D04DE3"/>
    <w:rsid w:val="00D05630"/>
    <w:rsid w:val="00D13AD7"/>
    <w:rsid w:val="00D149A1"/>
    <w:rsid w:val="00D16FA8"/>
    <w:rsid w:val="00D248AF"/>
    <w:rsid w:val="00D300E3"/>
    <w:rsid w:val="00D33161"/>
    <w:rsid w:val="00D44C19"/>
    <w:rsid w:val="00D54E40"/>
    <w:rsid w:val="00D561CC"/>
    <w:rsid w:val="00D65ABA"/>
    <w:rsid w:val="00D74151"/>
    <w:rsid w:val="00D76D58"/>
    <w:rsid w:val="00D8043A"/>
    <w:rsid w:val="00D83546"/>
    <w:rsid w:val="00D84586"/>
    <w:rsid w:val="00D95FE0"/>
    <w:rsid w:val="00DA0A41"/>
    <w:rsid w:val="00DA1BEC"/>
    <w:rsid w:val="00DB008B"/>
    <w:rsid w:val="00DB0C55"/>
    <w:rsid w:val="00DC5A81"/>
    <w:rsid w:val="00DD24D6"/>
    <w:rsid w:val="00DD26A1"/>
    <w:rsid w:val="00DD4845"/>
    <w:rsid w:val="00DD4924"/>
    <w:rsid w:val="00DE229E"/>
    <w:rsid w:val="00DE276D"/>
    <w:rsid w:val="00DF3F05"/>
    <w:rsid w:val="00DF62D2"/>
    <w:rsid w:val="00E01A68"/>
    <w:rsid w:val="00E04246"/>
    <w:rsid w:val="00E073C9"/>
    <w:rsid w:val="00E10B08"/>
    <w:rsid w:val="00E1447A"/>
    <w:rsid w:val="00E21260"/>
    <w:rsid w:val="00E21B62"/>
    <w:rsid w:val="00E22E7E"/>
    <w:rsid w:val="00E22F94"/>
    <w:rsid w:val="00E26498"/>
    <w:rsid w:val="00E379D1"/>
    <w:rsid w:val="00E411B1"/>
    <w:rsid w:val="00E44CC0"/>
    <w:rsid w:val="00E53620"/>
    <w:rsid w:val="00E604DF"/>
    <w:rsid w:val="00E708A4"/>
    <w:rsid w:val="00E715F1"/>
    <w:rsid w:val="00E72621"/>
    <w:rsid w:val="00E73966"/>
    <w:rsid w:val="00E74F19"/>
    <w:rsid w:val="00E81311"/>
    <w:rsid w:val="00E8220B"/>
    <w:rsid w:val="00E8529D"/>
    <w:rsid w:val="00E8620A"/>
    <w:rsid w:val="00E871EB"/>
    <w:rsid w:val="00E90884"/>
    <w:rsid w:val="00EA1186"/>
    <w:rsid w:val="00EA2219"/>
    <w:rsid w:val="00EA5537"/>
    <w:rsid w:val="00EB709D"/>
    <w:rsid w:val="00EC21C5"/>
    <w:rsid w:val="00ED5D06"/>
    <w:rsid w:val="00EE36A7"/>
    <w:rsid w:val="00EE7ED3"/>
    <w:rsid w:val="00EF4A16"/>
    <w:rsid w:val="00F0302A"/>
    <w:rsid w:val="00F04408"/>
    <w:rsid w:val="00F13E6C"/>
    <w:rsid w:val="00F2069C"/>
    <w:rsid w:val="00F225A5"/>
    <w:rsid w:val="00F234C0"/>
    <w:rsid w:val="00F26EA8"/>
    <w:rsid w:val="00F40749"/>
    <w:rsid w:val="00F40BDA"/>
    <w:rsid w:val="00F42898"/>
    <w:rsid w:val="00F47786"/>
    <w:rsid w:val="00F5190A"/>
    <w:rsid w:val="00F543B5"/>
    <w:rsid w:val="00F60788"/>
    <w:rsid w:val="00F6683F"/>
    <w:rsid w:val="00F72614"/>
    <w:rsid w:val="00F73017"/>
    <w:rsid w:val="00F742FE"/>
    <w:rsid w:val="00F7670D"/>
    <w:rsid w:val="00F867FA"/>
    <w:rsid w:val="00F86AC6"/>
    <w:rsid w:val="00F87561"/>
    <w:rsid w:val="00F93C78"/>
    <w:rsid w:val="00F95A0A"/>
    <w:rsid w:val="00FA1CFF"/>
    <w:rsid w:val="00FA2925"/>
    <w:rsid w:val="00FA70A8"/>
    <w:rsid w:val="00FA72F2"/>
    <w:rsid w:val="00FB5080"/>
    <w:rsid w:val="00FB565E"/>
    <w:rsid w:val="00FE32F2"/>
    <w:rsid w:val="00FE3C71"/>
    <w:rsid w:val="00FE41AD"/>
    <w:rsid w:val="00FE698B"/>
    <w:rsid w:val="00FE7744"/>
    <w:rsid w:val="00FF0E69"/>
    <w:rsid w:val="00FF1DB9"/>
    <w:rsid w:val="00FF51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5D4"/>
    <w:pPr>
      <w:spacing w:before="120" w:after="120"/>
    </w:pPr>
    <w:rPr>
      <w:rFonts w:ascii="Calibri" w:hAnsi="Calibri"/>
      <w:color w:val="000000"/>
      <w:sz w:val="24"/>
      <w:szCs w:val="24"/>
    </w:rPr>
  </w:style>
  <w:style w:type="paragraph" w:styleId="Heading1">
    <w:name w:val="heading 1"/>
    <w:next w:val="Normal"/>
    <w:autoRedefine/>
    <w:qFormat/>
    <w:rsid w:val="006074B9"/>
    <w:pPr>
      <w:keepNext/>
      <w:spacing w:before="600"/>
      <w:outlineLvl w:val="0"/>
    </w:pPr>
    <w:rPr>
      <w:rFonts w:ascii="Cambria" w:eastAsia="PMingLiU" w:hAnsi="Cambria" w:cs="Arial"/>
      <w:b/>
      <w:bCs/>
      <w:kern w:val="32"/>
      <w:sz w:val="36"/>
      <w:szCs w:val="32"/>
    </w:rPr>
  </w:style>
  <w:style w:type="paragraph" w:styleId="Heading2">
    <w:name w:val="heading 2"/>
    <w:next w:val="Normal"/>
    <w:link w:val="Heading2Char"/>
    <w:qFormat/>
    <w:rsid w:val="00CC719A"/>
    <w:pPr>
      <w:keepNext/>
      <w:spacing w:before="240" w:after="60"/>
      <w:outlineLvl w:val="1"/>
    </w:pPr>
    <w:rPr>
      <w:rFonts w:ascii="Cambria" w:eastAsia="PMingLiU" w:hAnsi="Cambria" w:cs="Arial"/>
      <w:b/>
      <w:bCs/>
      <w:iCs/>
      <w:sz w:val="32"/>
      <w:szCs w:val="28"/>
    </w:rPr>
  </w:style>
  <w:style w:type="paragraph" w:styleId="Heading3">
    <w:name w:val="heading 3"/>
    <w:next w:val="Normal"/>
    <w:link w:val="Heading3Char"/>
    <w:autoRedefine/>
    <w:qFormat/>
    <w:rsid w:val="00D05630"/>
    <w:pPr>
      <w:keepNext/>
      <w:keepLines/>
      <w:spacing w:before="240"/>
      <w:outlineLvl w:val="2"/>
    </w:pPr>
    <w:rPr>
      <w:rFonts w:ascii="Cambria" w:eastAsia="PMingLiU" w:hAnsi="Cambria" w:cs="Arial"/>
      <w:b/>
      <w:bCs/>
      <w:sz w:val="22"/>
    </w:rPr>
  </w:style>
  <w:style w:type="paragraph" w:styleId="Heading4">
    <w:name w:val="heading 4"/>
    <w:next w:val="Normal"/>
    <w:qFormat/>
    <w:rsid w:val="006074B9"/>
    <w:pPr>
      <w:keepNext/>
      <w:spacing w:before="240" w:after="60"/>
      <w:outlineLvl w:val="3"/>
    </w:pPr>
    <w:rPr>
      <w:rFonts w:ascii="Trebuchet MS" w:eastAsia="PMingLiU" w:hAnsi="Trebuchet MS"/>
      <w:b/>
      <w:bCs/>
      <w:i/>
      <w:sz w:val="22"/>
      <w:szCs w:val="28"/>
    </w:rPr>
  </w:style>
  <w:style w:type="paragraph" w:styleId="Heading5">
    <w:name w:val="heading 5"/>
    <w:basedOn w:val="Normal"/>
    <w:next w:val="Normal"/>
    <w:autoRedefine/>
    <w:qFormat/>
    <w:rsid w:val="0072276F"/>
    <w:pPr>
      <w:spacing w:before="240" w:after="60"/>
      <w:outlineLvl w:val="4"/>
    </w:pPr>
    <w:rPr>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3C2B01"/>
    <w:rPr>
      <w:color w:val="954F72" w:themeColor="followedHyperlink"/>
      <w:u w:val="single"/>
    </w:rPr>
  </w:style>
  <w:style w:type="paragraph" w:customStyle="1" w:styleId="Heading1Titletext">
    <w:name w:val="Heading 1 Title text"/>
    <w:basedOn w:val="Heading1"/>
    <w:rsid w:val="0072276F"/>
  </w:style>
  <w:style w:type="paragraph" w:customStyle="1" w:styleId="Normalreportbodytext">
    <w:name w:val="Normal report body text"/>
    <w:basedOn w:val="Normal"/>
    <w:rsid w:val="0072276F"/>
  </w:style>
  <w:style w:type="table" w:styleId="TableGrid">
    <w:name w:val="Table Grid"/>
    <w:basedOn w:val="TableNormal"/>
    <w:rsid w:val="0072276F"/>
    <w:pPr>
      <w:spacing w:before="120" w:after="120"/>
    </w:pPr>
    <w:rPr>
      <w:rFonts w:ascii="Trebuchet MS" w:eastAsia="PMingLiU" w:hAnsi="Trebuchet MS"/>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style>
  <w:style w:type="paragraph" w:customStyle="1" w:styleId="Recommendationtext">
    <w:name w:val="Recommendation text"/>
    <w:basedOn w:val="Normal"/>
    <w:rsid w:val="0072276F"/>
    <w:rPr>
      <w:b/>
      <w:i/>
    </w:rPr>
  </w:style>
  <w:style w:type="paragraph" w:styleId="Header">
    <w:name w:val="header"/>
    <w:rsid w:val="006074B9"/>
    <w:pPr>
      <w:tabs>
        <w:tab w:val="center" w:pos="4153"/>
        <w:tab w:val="right" w:pos="8306"/>
      </w:tabs>
    </w:pPr>
    <w:rPr>
      <w:rFonts w:ascii="Trebuchet MS" w:eastAsia="PMingLiU" w:hAnsi="Trebuchet MS"/>
      <w:sz w:val="22"/>
      <w:szCs w:val="22"/>
    </w:rPr>
  </w:style>
  <w:style w:type="paragraph" w:styleId="Footer">
    <w:name w:val="footer"/>
    <w:link w:val="FooterChar"/>
    <w:autoRedefine/>
    <w:uiPriority w:val="99"/>
    <w:rsid w:val="006074B9"/>
    <w:pPr>
      <w:tabs>
        <w:tab w:val="center" w:pos="4153"/>
        <w:tab w:val="right" w:pos="8306"/>
      </w:tabs>
      <w:jc w:val="right"/>
    </w:pPr>
    <w:rPr>
      <w:rFonts w:ascii="Calibri" w:eastAsia="PMingLiU" w:hAnsi="Calibri"/>
      <w:noProof/>
    </w:rPr>
  </w:style>
  <w:style w:type="character" w:styleId="PageNumber">
    <w:name w:val="page number"/>
    <w:rsid w:val="0072276F"/>
    <w:rPr>
      <w:rFonts w:ascii="Trebuchet MS" w:hAnsi="Trebuchet MS"/>
      <w:sz w:val="20"/>
    </w:rPr>
  </w:style>
  <w:style w:type="character" w:customStyle="1" w:styleId="FooterChar">
    <w:name w:val="Footer Char"/>
    <w:link w:val="Footer"/>
    <w:uiPriority w:val="99"/>
    <w:rsid w:val="006074B9"/>
    <w:rPr>
      <w:rFonts w:ascii="Calibri" w:eastAsia="PMingLiU" w:hAnsi="Calibri"/>
      <w:noProof/>
    </w:rPr>
  </w:style>
  <w:style w:type="character" w:styleId="CommentReference">
    <w:name w:val="annotation reference"/>
    <w:rsid w:val="0072276F"/>
    <w:rPr>
      <w:sz w:val="16"/>
      <w:szCs w:val="16"/>
    </w:rPr>
  </w:style>
  <w:style w:type="paragraph" w:styleId="CommentText">
    <w:name w:val="annotation text"/>
    <w:basedOn w:val="Normal"/>
    <w:link w:val="CommentTextChar"/>
    <w:rsid w:val="0072276F"/>
    <w:rPr>
      <w:sz w:val="20"/>
      <w:szCs w:val="20"/>
    </w:rPr>
  </w:style>
  <w:style w:type="character" w:customStyle="1" w:styleId="CommentTextChar">
    <w:name w:val="Comment Text Char"/>
    <w:link w:val="CommentText"/>
    <w:rsid w:val="0072276F"/>
    <w:rPr>
      <w:rFonts w:ascii="Trebuchet MS" w:eastAsia="PMingLiU" w:hAnsi="Trebuchet MS"/>
      <w:lang w:eastAsia="en-AU"/>
    </w:rPr>
  </w:style>
  <w:style w:type="paragraph" w:styleId="CommentSubject">
    <w:name w:val="annotation subject"/>
    <w:basedOn w:val="CommentText"/>
    <w:next w:val="CommentText"/>
    <w:link w:val="CommentSubjectChar"/>
    <w:rsid w:val="0072276F"/>
    <w:rPr>
      <w:b/>
      <w:bCs/>
    </w:rPr>
  </w:style>
  <w:style w:type="character" w:customStyle="1" w:styleId="CommentSubjectChar">
    <w:name w:val="Comment Subject Char"/>
    <w:link w:val="CommentSubject"/>
    <w:rsid w:val="0072276F"/>
    <w:rPr>
      <w:rFonts w:ascii="Trebuchet MS" w:eastAsia="PMingLiU" w:hAnsi="Trebuchet MS"/>
      <w:b/>
      <w:bCs/>
      <w:lang w:eastAsia="en-AU"/>
    </w:rPr>
  </w:style>
  <w:style w:type="paragraph" w:styleId="BalloonText">
    <w:name w:val="Balloon Text"/>
    <w:basedOn w:val="Normal"/>
    <w:link w:val="BalloonTextChar"/>
    <w:rsid w:val="0072276F"/>
    <w:rPr>
      <w:rFonts w:ascii="Tahoma" w:hAnsi="Tahoma" w:cs="Tahoma"/>
      <w:sz w:val="16"/>
      <w:szCs w:val="16"/>
    </w:rPr>
  </w:style>
  <w:style w:type="character" w:customStyle="1" w:styleId="BalloonTextChar">
    <w:name w:val="Balloon Text Char"/>
    <w:link w:val="BalloonText"/>
    <w:rsid w:val="0072276F"/>
    <w:rPr>
      <w:rFonts w:ascii="Tahoma" w:eastAsia="PMingLiU" w:hAnsi="Tahoma" w:cs="Tahoma"/>
      <w:sz w:val="16"/>
      <w:szCs w:val="16"/>
      <w:lang w:eastAsia="en-AU"/>
    </w:rPr>
  </w:style>
  <w:style w:type="paragraph" w:styleId="FootnoteText">
    <w:name w:val="footnote text"/>
    <w:basedOn w:val="Normal"/>
    <w:link w:val="FootnoteTextChar"/>
    <w:rsid w:val="0072276F"/>
    <w:rPr>
      <w:sz w:val="20"/>
      <w:szCs w:val="20"/>
    </w:rPr>
  </w:style>
  <w:style w:type="character" w:customStyle="1" w:styleId="FootnoteTextChar">
    <w:name w:val="Footnote Text Char"/>
    <w:link w:val="FootnoteText"/>
    <w:rsid w:val="0072276F"/>
    <w:rPr>
      <w:rFonts w:ascii="Trebuchet MS" w:eastAsia="PMingLiU" w:hAnsi="Trebuchet MS"/>
      <w:lang w:eastAsia="en-AU"/>
    </w:rPr>
  </w:style>
  <w:style w:type="character" w:styleId="FootnoteReference">
    <w:name w:val="footnote reference"/>
    <w:rsid w:val="0072276F"/>
    <w:rPr>
      <w:vertAlign w:val="superscript"/>
    </w:rPr>
  </w:style>
  <w:style w:type="paragraph" w:customStyle="1" w:styleId="ColorfulList-Accent11">
    <w:name w:val="Colorful List - Accent 11"/>
    <w:basedOn w:val="Normal"/>
    <w:qFormat/>
    <w:rsid w:val="0072276F"/>
    <w:pPr>
      <w:ind w:left="720"/>
      <w:contextualSpacing/>
    </w:pPr>
    <w:rPr>
      <w:rFonts w:ascii="Cambria" w:hAnsi="Cambria"/>
      <w:lang w:eastAsia="en-US"/>
    </w:rPr>
  </w:style>
  <w:style w:type="paragraph" w:styleId="TOC1">
    <w:name w:val="toc 1"/>
    <w:basedOn w:val="Normal"/>
    <w:next w:val="Normal"/>
    <w:autoRedefine/>
    <w:uiPriority w:val="39"/>
    <w:rsid w:val="0098028F"/>
    <w:pPr>
      <w:tabs>
        <w:tab w:val="right" w:leader="dot" w:pos="9402"/>
      </w:tabs>
      <w:spacing w:before="240"/>
    </w:pPr>
    <w:rPr>
      <w:b/>
      <w:bCs/>
      <w:noProof/>
      <w:szCs w:val="20"/>
    </w:rPr>
  </w:style>
  <w:style w:type="paragraph" w:styleId="TOC2">
    <w:name w:val="toc 2"/>
    <w:basedOn w:val="Normal"/>
    <w:next w:val="Normal"/>
    <w:autoRedefine/>
    <w:uiPriority w:val="39"/>
    <w:rsid w:val="0098028F"/>
    <w:pPr>
      <w:tabs>
        <w:tab w:val="right" w:leader="dot" w:pos="9402"/>
      </w:tabs>
      <w:ind w:left="220"/>
    </w:pPr>
    <w:rPr>
      <w:i/>
      <w:iCs/>
      <w:noProof/>
      <w:sz w:val="22"/>
      <w:szCs w:val="20"/>
    </w:rPr>
  </w:style>
  <w:style w:type="character" w:styleId="Hyperlink">
    <w:name w:val="Hyperlink"/>
    <w:uiPriority w:val="99"/>
    <w:rsid w:val="0072276F"/>
    <w:rPr>
      <w:color w:val="0000FF"/>
      <w:u w:val="single"/>
    </w:rPr>
  </w:style>
  <w:style w:type="paragraph" w:styleId="ListParagraph">
    <w:name w:val="List Paragraph"/>
    <w:basedOn w:val="Normal"/>
    <w:uiPriority w:val="99"/>
    <w:qFormat/>
    <w:rsid w:val="00C9056B"/>
    <w:pPr>
      <w:ind w:left="720"/>
    </w:pPr>
    <w:rPr>
      <w:rFonts w:eastAsia="Calibri"/>
    </w:rPr>
  </w:style>
  <w:style w:type="paragraph" w:customStyle="1" w:styleId="TitlePageHeading">
    <w:name w:val="Title Page Heading"/>
    <w:basedOn w:val="Normal"/>
    <w:qFormat/>
    <w:rsid w:val="00CC50C1"/>
    <w:pPr>
      <w:spacing w:after="200" w:line="360" w:lineRule="auto"/>
      <w:jc w:val="center"/>
    </w:pPr>
    <w:rPr>
      <w:b/>
      <w:sz w:val="32"/>
      <w:szCs w:val="32"/>
    </w:rPr>
  </w:style>
  <w:style w:type="paragraph" w:customStyle="1" w:styleId="NormalNumbering">
    <w:name w:val="Normal Numbering"/>
    <w:basedOn w:val="Normal"/>
    <w:qFormat/>
    <w:rsid w:val="00CC50C1"/>
    <w:pPr>
      <w:numPr>
        <w:numId w:val="1"/>
      </w:numPr>
      <w:spacing w:after="200" w:line="360" w:lineRule="auto"/>
      <w:contextualSpacing/>
    </w:pPr>
  </w:style>
  <w:style w:type="character" w:customStyle="1" w:styleId="Heading2Char">
    <w:name w:val="Heading 2 Char"/>
    <w:link w:val="Heading2"/>
    <w:rsid w:val="00CC719A"/>
    <w:rPr>
      <w:rFonts w:ascii="Cambria" w:eastAsia="PMingLiU" w:hAnsi="Cambria" w:cs="Arial"/>
      <w:b/>
      <w:bCs/>
      <w:iCs/>
      <w:sz w:val="32"/>
      <w:szCs w:val="28"/>
    </w:rPr>
  </w:style>
  <w:style w:type="paragraph" w:styleId="ListBullet">
    <w:name w:val="List Bullet"/>
    <w:basedOn w:val="Normal"/>
    <w:rsid w:val="00D05630"/>
    <w:pPr>
      <w:numPr>
        <w:numId w:val="10"/>
      </w:numPr>
      <w:ind w:left="426"/>
    </w:pPr>
  </w:style>
  <w:style w:type="paragraph" w:styleId="TOCHeading">
    <w:name w:val="TOC Heading"/>
    <w:basedOn w:val="Heading2"/>
    <w:next w:val="Normal"/>
    <w:uiPriority w:val="39"/>
    <w:unhideWhenUsed/>
    <w:qFormat/>
    <w:rsid w:val="00CC719A"/>
    <w:pPr>
      <w:keepNext w:val="0"/>
      <w:keepLines/>
      <w:pageBreakBefore/>
      <w:spacing w:before="480" w:after="0" w:line="276" w:lineRule="auto"/>
      <w:outlineLvl w:val="9"/>
    </w:pPr>
    <w:rPr>
      <w:rFonts w:eastAsia="Times New Roman" w:cs="Times New Roman"/>
      <w:lang w:val="en-US" w:eastAsia="en-US"/>
    </w:rPr>
  </w:style>
  <w:style w:type="paragraph" w:styleId="TOC3">
    <w:name w:val="toc 3"/>
    <w:basedOn w:val="Normal"/>
    <w:next w:val="Normal"/>
    <w:autoRedefine/>
    <w:uiPriority w:val="39"/>
    <w:rsid w:val="009B417B"/>
    <w:pPr>
      <w:ind w:left="440"/>
    </w:pPr>
    <w:rPr>
      <w:sz w:val="20"/>
      <w:szCs w:val="20"/>
    </w:rPr>
  </w:style>
  <w:style w:type="character" w:styleId="Strong">
    <w:name w:val="Strong"/>
    <w:qFormat/>
    <w:rsid w:val="000F755B"/>
    <w:rPr>
      <w:b/>
      <w:bCs/>
    </w:rPr>
  </w:style>
  <w:style w:type="paragraph" w:customStyle="1" w:styleId="Default">
    <w:name w:val="Default"/>
    <w:rsid w:val="00655FA6"/>
    <w:pPr>
      <w:autoSpaceDE w:val="0"/>
      <w:autoSpaceDN w:val="0"/>
      <w:adjustRightInd w:val="0"/>
    </w:pPr>
    <w:rPr>
      <w:rFonts w:ascii="Trebuchet MS" w:hAnsi="Trebuchet MS" w:cs="Trebuchet MS"/>
      <w:color w:val="000000"/>
      <w:sz w:val="24"/>
      <w:szCs w:val="24"/>
    </w:rPr>
  </w:style>
  <w:style w:type="paragraph" w:customStyle="1" w:styleId="Tabletext">
    <w:name w:val="Table text"/>
    <w:basedOn w:val="Normal"/>
    <w:link w:val="TabletextChar"/>
    <w:uiPriority w:val="27"/>
    <w:qFormat/>
    <w:rsid w:val="00846AB8"/>
    <w:pPr>
      <w:tabs>
        <w:tab w:val="left" w:pos="567"/>
      </w:tabs>
      <w:suppressAutoHyphens/>
      <w:autoSpaceDN w:val="0"/>
      <w:spacing w:before="60" w:after="60"/>
      <w:textAlignment w:val="baseline"/>
    </w:pPr>
    <w:rPr>
      <w:rFonts w:eastAsia="Calibri" w:cs="Mangal"/>
      <w:sz w:val="18"/>
      <w:lang w:eastAsia="en-US" w:bidi="hi-IN"/>
    </w:rPr>
  </w:style>
  <w:style w:type="character" w:styleId="Emphasis">
    <w:name w:val="Emphasis"/>
    <w:rsid w:val="00846AB8"/>
    <w:rPr>
      <w:i/>
      <w:iCs/>
    </w:rPr>
  </w:style>
  <w:style w:type="paragraph" w:customStyle="1" w:styleId="Copyrightpageheading">
    <w:name w:val="Copyright page heading"/>
    <w:next w:val="BodyText"/>
    <w:rsid w:val="00846AB8"/>
    <w:pPr>
      <w:suppressAutoHyphens/>
      <w:autoSpaceDN w:val="0"/>
      <w:spacing w:after="60"/>
      <w:textAlignment w:val="baseline"/>
    </w:pPr>
    <w:rPr>
      <w:rFonts w:ascii="Calibri" w:eastAsia="Calibri" w:hAnsi="Calibri"/>
      <w:b/>
      <w:sz w:val="18"/>
      <w:szCs w:val="22"/>
      <w:lang w:eastAsia="en-US"/>
    </w:rPr>
  </w:style>
  <w:style w:type="paragraph" w:styleId="BodyText">
    <w:name w:val="Body Text"/>
    <w:basedOn w:val="Normal"/>
    <w:link w:val="BodyTextChar"/>
    <w:rsid w:val="00846AB8"/>
  </w:style>
  <w:style w:type="character" w:customStyle="1" w:styleId="BodyTextChar">
    <w:name w:val="Body Text Char"/>
    <w:link w:val="BodyText"/>
    <w:rsid w:val="00846AB8"/>
    <w:rPr>
      <w:rFonts w:ascii="Trebuchet MS" w:eastAsia="PMingLiU" w:hAnsi="Trebuchet MS"/>
      <w:sz w:val="22"/>
      <w:szCs w:val="22"/>
    </w:rPr>
  </w:style>
  <w:style w:type="paragraph" w:customStyle="1" w:styleId="NumberedHeading2">
    <w:name w:val="Numbered Heading 2"/>
    <w:basedOn w:val="Normal"/>
    <w:next w:val="Normal"/>
    <w:qFormat/>
    <w:rsid w:val="009B1954"/>
    <w:pPr>
      <w:numPr>
        <w:numId w:val="3"/>
      </w:numPr>
      <w:spacing w:after="200" w:line="276" w:lineRule="auto"/>
    </w:pPr>
    <w:rPr>
      <w:rFonts w:ascii="Cambria" w:hAnsi="Cambria"/>
      <w:b/>
      <w:sz w:val="28"/>
      <w:szCs w:val="32"/>
    </w:rPr>
  </w:style>
  <w:style w:type="paragraph" w:customStyle="1" w:styleId="FindingsNormalNumbering">
    <w:name w:val="Findings Normal Numbering"/>
    <w:basedOn w:val="Normal"/>
    <w:link w:val="FindingsNormalNumberingChar"/>
    <w:qFormat/>
    <w:rsid w:val="009B1954"/>
    <w:pPr>
      <w:numPr>
        <w:ilvl w:val="1"/>
        <w:numId w:val="3"/>
      </w:numPr>
      <w:spacing w:line="276" w:lineRule="auto"/>
      <w:contextualSpacing/>
    </w:pPr>
  </w:style>
  <w:style w:type="character" w:customStyle="1" w:styleId="FindingsNormalNumberingChar">
    <w:name w:val="Findings Normal Numbering Char"/>
    <w:link w:val="FindingsNormalNumbering"/>
    <w:rsid w:val="009B1954"/>
    <w:rPr>
      <w:rFonts w:ascii="Calibri" w:eastAsia="PMingLiU" w:hAnsi="Calibri"/>
      <w:sz w:val="22"/>
      <w:szCs w:val="22"/>
    </w:rPr>
  </w:style>
  <w:style w:type="paragraph" w:styleId="Caption">
    <w:name w:val="caption"/>
    <w:basedOn w:val="Normal"/>
    <w:qFormat/>
    <w:rsid w:val="00B16B27"/>
    <w:pPr>
      <w:suppressLineNumbers/>
      <w:suppressAutoHyphens/>
    </w:pPr>
    <w:rPr>
      <w:rFonts w:eastAsia="Arial Unicode MS" w:cs="Tahoma"/>
      <w:iCs/>
      <w:kern w:val="22"/>
      <w:lang w:eastAsia="ar-SA"/>
    </w:rPr>
  </w:style>
  <w:style w:type="paragraph" w:styleId="ListNumber">
    <w:name w:val="List Number"/>
    <w:rsid w:val="00C85157"/>
    <w:pPr>
      <w:numPr>
        <w:numId w:val="13"/>
      </w:numPr>
      <w:tabs>
        <w:tab w:val="left" w:pos="-567"/>
      </w:tabs>
      <w:suppressAutoHyphens/>
      <w:autoSpaceDN w:val="0"/>
      <w:spacing w:before="240"/>
      <w:textAlignment w:val="baseline"/>
    </w:pPr>
    <w:rPr>
      <w:rFonts w:ascii="Calibri" w:eastAsia="Calibri" w:hAnsi="Calibri"/>
      <w:sz w:val="24"/>
      <w:szCs w:val="22"/>
      <w:lang w:eastAsia="en-US"/>
    </w:rPr>
  </w:style>
  <w:style w:type="numbering" w:customStyle="1" w:styleId="Part1">
    <w:name w:val="Part 1"/>
    <w:basedOn w:val="NoList"/>
    <w:rsid w:val="00C85157"/>
    <w:pPr>
      <w:numPr>
        <w:numId w:val="14"/>
      </w:numPr>
    </w:pPr>
  </w:style>
  <w:style w:type="paragraph" w:styleId="ListNumber2">
    <w:name w:val="List Number 2"/>
    <w:basedOn w:val="Normal"/>
    <w:rsid w:val="00BE265C"/>
    <w:pPr>
      <w:numPr>
        <w:numId w:val="17"/>
      </w:numPr>
      <w:contextualSpacing/>
    </w:pPr>
  </w:style>
  <w:style w:type="paragraph" w:styleId="TOAHeading">
    <w:name w:val="toa heading"/>
    <w:basedOn w:val="Normal"/>
    <w:next w:val="Normal"/>
    <w:rsid w:val="0079101C"/>
    <w:rPr>
      <w:rFonts w:ascii="Calibri Light" w:hAnsi="Calibri Light"/>
      <w:b/>
      <w:bCs/>
    </w:rPr>
  </w:style>
  <w:style w:type="paragraph" w:customStyle="1" w:styleId="TOCHeading1">
    <w:name w:val="TOC Heading1"/>
    <w:basedOn w:val="Heading1"/>
    <w:next w:val="Normal"/>
    <w:uiPriority w:val="39"/>
    <w:qFormat/>
    <w:rsid w:val="0079101C"/>
    <w:pPr>
      <w:keepLines/>
      <w:spacing w:before="480" w:line="276" w:lineRule="auto"/>
      <w:outlineLvl w:val="9"/>
    </w:pPr>
    <w:rPr>
      <w:rFonts w:eastAsia="Times New Roman" w:cs="Times New Roman"/>
      <w:color w:val="000000"/>
      <w:kern w:val="0"/>
      <w:szCs w:val="28"/>
      <w:lang w:val="en-US"/>
    </w:rPr>
  </w:style>
  <w:style w:type="character" w:customStyle="1" w:styleId="Heading3Char">
    <w:name w:val="Heading 3 Char"/>
    <w:link w:val="Heading3"/>
    <w:rsid w:val="00D05630"/>
    <w:rPr>
      <w:rFonts w:ascii="Cambria" w:eastAsia="PMingLiU" w:hAnsi="Cambria" w:cs="Arial"/>
      <w:b/>
      <w:bCs/>
      <w:sz w:val="22"/>
    </w:rPr>
  </w:style>
  <w:style w:type="character" w:customStyle="1" w:styleId="TabletextChar">
    <w:name w:val="Table text Char"/>
    <w:link w:val="Tabletext"/>
    <w:uiPriority w:val="27"/>
    <w:rsid w:val="00B82A73"/>
    <w:rPr>
      <w:rFonts w:ascii="Calibri" w:eastAsia="Calibri" w:hAnsi="Calibri" w:cs="Mangal"/>
      <w:sz w:val="18"/>
      <w:szCs w:val="22"/>
      <w:lang w:eastAsia="en-US" w:bidi="hi-IN"/>
    </w:rPr>
  </w:style>
  <w:style w:type="paragraph" w:styleId="TOC4">
    <w:name w:val="toc 4"/>
    <w:basedOn w:val="Normal"/>
    <w:next w:val="Normal"/>
    <w:autoRedefine/>
    <w:rsid w:val="00670FF3"/>
    <w:pPr>
      <w:ind w:left="660"/>
    </w:pPr>
    <w:rPr>
      <w:sz w:val="20"/>
      <w:szCs w:val="20"/>
    </w:rPr>
  </w:style>
  <w:style w:type="paragraph" w:styleId="TOC5">
    <w:name w:val="toc 5"/>
    <w:basedOn w:val="Normal"/>
    <w:next w:val="Normal"/>
    <w:autoRedefine/>
    <w:rsid w:val="00670FF3"/>
    <w:pPr>
      <w:ind w:left="880"/>
    </w:pPr>
    <w:rPr>
      <w:sz w:val="20"/>
      <w:szCs w:val="20"/>
    </w:rPr>
  </w:style>
  <w:style w:type="paragraph" w:styleId="TOC6">
    <w:name w:val="toc 6"/>
    <w:basedOn w:val="Normal"/>
    <w:next w:val="Normal"/>
    <w:autoRedefine/>
    <w:rsid w:val="00670FF3"/>
    <w:pPr>
      <w:ind w:left="1100"/>
    </w:pPr>
    <w:rPr>
      <w:sz w:val="20"/>
      <w:szCs w:val="20"/>
    </w:rPr>
  </w:style>
  <w:style w:type="paragraph" w:styleId="TOC7">
    <w:name w:val="toc 7"/>
    <w:basedOn w:val="Normal"/>
    <w:next w:val="Normal"/>
    <w:autoRedefine/>
    <w:rsid w:val="00670FF3"/>
    <w:pPr>
      <w:ind w:left="1320"/>
    </w:pPr>
    <w:rPr>
      <w:sz w:val="20"/>
      <w:szCs w:val="20"/>
    </w:rPr>
  </w:style>
  <w:style w:type="paragraph" w:styleId="TOC8">
    <w:name w:val="toc 8"/>
    <w:basedOn w:val="Normal"/>
    <w:next w:val="Normal"/>
    <w:autoRedefine/>
    <w:rsid w:val="00670FF3"/>
    <w:pPr>
      <w:ind w:left="1540"/>
    </w:pPr>
    <w:rPr>
      <w:sz w:val="20"/>
      <w:szCs w:val="20"/>
    </w:rPr>
  </w:style>
  <w:style w:type="paragraph" w:styleId="TOC9">
    <w:name w:val="toc 9"/>
    <w:basedOn w:val="Normal"/>
    <w:next w:val="Normal"/>
    <w:autoRedefine/>
    <w:rsid w:val="00670FF3"/>
    <w:pPr>
      <w:ind w:left="1760"/>
    </w:pPr>
    <w:rPr>
      <w:sz w:val="20"/>
      <w:szCs w:val="20"/>
    </w:rPr>
  </w:style>
  <w:style w:type="paragraph" w:styleId="ListBullet2">
    <w:name w:val="List Bullet 2"/>
    <w:basedOn w:val="Normal"/>
    <w:rsid w:val="00D05630"/>
    <w:pPr>
      <w:numPr>
        <w:ilvl w:val="2"/>
        <w:numId w:val="10"/>
      </w:num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03575">
      <w:bodyDiv w:val="1"/>
      <w:marLeft w:val="0"/>
      <w:marRight w:val="0"/>
      <w:marTop w:val="0"/>
      <w:marBottom w:val="0"/>
      <w:divBdr>
        <w:top w:val="none" w:sz="0" w:space="0" w:color="auto"/>
        <w:left w:val="none" w:sz="0" w:space="0" w:color="auto"/>
        <w:bottom w:val="none" w:sz="0" w:space="0" w:color="auto"/>
        <w:right w:val="none" w:sz="0" w:space="0" w:color="auto"/>
      </w:divBdr>
    </w:div>
    <w:div w:id="61953195">
      <w:bodyDiv w:val="1"/>
      <w:marLeft w:val="0"/>
      <w:marRight w:val="0"/>
      <w:marTop w:val="0"/>
      <w:marBottom w:val="0"/>
      <w:divBdr>
        <w:top w:val="none" w:sz="0" w:space="0" w:color="auto"/>
        <w:left w:val="none" w:sz="0" w:space="0" w:color="auto"/>
        <w:bottom w:val="none" w:sz="0" w:space="0" w:color="auto"/>
        <w:right w:val="none" w:sz="0" w:space="0" w:color="auto"/>
      </w:divBdr>
    </w:div>
    <w:div w:id="80220123">
      <w:bodyDiv w:val="1"/>
      <w:marLeft w:val="0"/>
      <w:marRight w:val="0"/>
      <w:marTop w:val="0"/>
      <w:marBottom w:val="0"/>
      <w:divBdr>
        <w:top w:val="none" w:sz="0" w:space="0" w:color="auto"/>
        <w:left w:val="none" w:sz="0" w:space="0" w:color="auto"/>
        <w:bottom w:val="none" w:sz="0" w:space="0" w:color="auto"/>
        <w:right w:val="none" w:sz="0" w:space="0" w:color="auto"/>
      </w:divBdr>
    </w:div>
    <w:div w:id="520625752">
      <w:bodyDiv w:val="1"/>
      <w:marLeft w:val="0"/>
      <w:marRight w:val="0"/>
      <w:marTop w:val="0"/>
      <w:marBottom w:val="0"/>
      <w:divBdr>
        <w:top w:val="none" w:sz="0" w:space="0" w:color="auto"/>
        <w:left w:val="none" w:sz="0" w:space="0" w:color="auto"/>
        <w:bottom w:val="none" w:sz="0" w:space="0" w:color="auto"/>
        <w:right w:val="none" w:sz="0" w:space="0" w:color="auto"/>
      </w:divBdr>
    </w:div>
    <w:div w:id="597297059">
      <w:bodyDiv w:val="1"/>
      <w:marLeft w:val="0"/>
      <w:marRight w:val="0"/>
      <w:marTop w:val="0"/>
      <w:marBottom w:val="0"/>
      <w:divBdr>
        <w:top w:val="none" w:sz="0" w:space="0" w:color="auto"/>
        <w:left w:val="none" w:sz="0" w:space="0" w:color="auto"/>
        <w:bottom w:val="none" w:sz="0" w:space="0" w:color="auto"/>
        <w:right w:val="none" w:sz="0" w:space="0" w:color="auto"/>
      </w:divBdr>
    </w:div>
    <w:div w:id="678897015">
      <w:bodyDiv w:val="1"/>
      <w:marLeft w:val="0"/>
      <w:marRight w:val="0"/>
      <w:marTop w:val="0"/>
      <w:marBottom w:val="0"/>
      <w:divBdr>
        <w:top w:val="none" w:sz="0" w:space="0" w:color="auto"/>
        <w:left w:val="none" w:sz="0" w:space="0" w:color="auto"/>
        <w:bottom w:val="none" w:sz="0" w:space="0" w:color="auto"/>
        <w:right w:val="none" w:sz="0" w:space="0" w:color="auto"/>
      </w:divBdr>
    </w:div>
    <w:div w:id="680543541">
      <w:bodyDiv w:val="1"/>
      <w:marLeft w:val="0"/>
      <w:marRight w:val="0"/>
      <w:marTop w:val="0"/>
      <w:marBottom w:val="0"/>
      <w:divBdr>
        <w:top w:val="none" w:sz="0" w:space="0" w:color="auto"/>
        <w:left w:val="none" w:sz="0" w:space="0" w:color="auto"/>
        <w:bottom w:val="none" w:sz="0" w:space="0" w:color="auto"/>
        <w:right w:val="none" w:sz="0" w:space="0" w:color="auto"/>
      </w:divBdr>
    </w:div>
    <w:div w:id="892084133">
      <w:bodyDiv w:val="1"/>
      <w:marLeft w:val="0"/>
      <w:marRight w:val="0"/>
      <w:marTop w:val="0"/>
      <w:marBottom w:val="0"/>
      <w:divBdr>
        <w:top w:val="none" w:sz="0" w:space="0" w:color="auto"/>
        <w:left w:val="none" w:sz="0" w:space="0" w:color="auto"/>
        <w:bottom w:val="none" w:sz="0" w:space="0" w:color="auto"/>
        <w:right w:val="none" w:sz="0" w:space="0" w:color="auto"/>
      </w:divBdr>
    </w:div>
    <w:div w:id="1019820881">
      <w:bodyDiv w:val="1"/>
      <w:marLeft w:val="0"/>
      <w:marRight w:val="0"/>
      <w:marTop w:val="0"/>
      <w:marBottom w:val="0"/>
      <w:divBdr>
        <w:top w:val="none" w:sz="0" w:space="0" w:color="auto"/>
        <w:left w:val="none" w:sz="0" w:space="0" w:color="auto"/>
        <w:bottom w:val="none" w:sz="0" w:space="0" w:color="auto"/>
        <w:right w:val="none" w:sz="0" w:space="0" w:color="auto"/>
      </w:divBdr>
    </w:div>
    <w:div w:id="1044715291">
      <w:bodyDiv w:val="1"/>
      <w:marLeft w:val="0"/>
      <w:marRight w:val="0"/>
      <w:marTop w:val="0"/>
      <w:marBottom w:val="0"/>
      <w:divBdr>
        <w:top w:val="none" w:sz="0" w:space="0" w:color="auto"/>
        <w:left w:val="none" w:sz="0" w:space="0" w:color="auto"/>
        <w:bottom w:val="none" w:sz="0" w:space="0" w:color="auto"/>
        <w:right w:val="none" w:sz="0" w:space="0" w:color="auto"/>
      </w:divBdr>
    </w:div>
    <w:div w:id="1109667518">
      <w:bodyDiv w:val="1"/>
      <w:marLeft w:val="0"/>
      <w:marRight w:val="0"/>
      <w:marTop w:val="0"/>
      <w:marBottom w:val="0"/>
      <w:divBdr>
        <w:top w:val="none" w:sz="0" w:space="0" w:color="auto"/>
        <w:left w:val="none" w:sz="0" w:space="0" w:color="auto"/>
        <w:bottom w:val="none" w:sz="0" w:space="0" w:color="auto"/>
        <w:right w:val="none" w:sz="0" w:space="0" w:color="auto"/>
      </w:divBdr>
    </w:div>
    <w:div w:id="1191727796">
      <w:bodyDiv w:val="1"/>
      <w:marLeft w:val="0"/>
      <w:marRight w:val="0"/>
      <w:marTop w:val="0"/>
      <w:marBottom w:val="0"/>
      <w:divBdr>
        <w:top w:val="none" w:sz="0" w:space="0" w:color="auto"/>
        <w:left w:val="none" w:sz="0" w:space="0" w:color="auto"/>
        <w:bottom w:val="none" w:sz="0" w:space="0" w:color="auto"/>
        <w:right w:val="none" w:sz="0" w:space="0" w:color="auto"/>
      </w:divBdr>
    </w:div>
    <w:div w:id="1231579439">
      <w:bodyDiv w:val="1"/>
      <w:marLeft w:val="0"/>
      <w:marRight w:val="0"/>
      <w:marTop w:val="0"/>
      <w:marBottom w:val="0"/>
      <w:divBdr>
        <w:top w:val="none" w:sz="0" w:space="0" w:color="auto"/>
        <w:left w:val="none" w:sz="0" w:space="0" w:color="auto"/>
        <w:bottom w:val="none" w:sz="0" w:space="0" w:color="auto"/>
        <w:right w:val="none" w:sz="0" w:space="0" w:color="auto"/>
      </w:divBdr>
    </w:div>
    <w:div w:id="1262688331">
      <w:bodyDiv w:val="1"/>
      <w:marLeft w:val="0"/>
      <w:marRight w:val="0"/>
      <w:marTop w:val="0"/>
      <w:marBottom w:val="0"/>
      <w:divBdr>
        <w:top w:val="none" w:sz="0" w:space="0" w:color="auto"/>
        <w:left w:val="none" w:sz="0" w:space="0" w:color="auto"/>
        <w:bottom w:val="none" w:sz="0" w:space="0" w:color="auto"/>
        <w:right w:val="none" w:sz="0" w:space="0" w:color="auto"/>
      </w:divBdr>
    </w:div>
    <w:div w:id="1326324426">
      <w:bodyDiv w:val="1"/>
      <w:marLeft w:val="0"/>
      <w:marRight w:val="0"/>
      <w:marTop w:val="0"/>
      <w:marBottom w:val="0"/>
      <w:divBdr>
        <w:top w:val="none" w:sz="0" w:space="0" w:color="auto"/>
        <w:left w:val="none" w:sz="0" w:space="0" w:color="auto"/>
        <w:bottom w:val="none" w:sz="0" w:space="0" w:color="auto"/>
        <w:right w:val="none" w:sz="0" w:space="0" w:color="auto"/>
      </w:divBdr>
      <w:divsChild>
        <w:div w:id="1048529634">
          <w:marLeft w:val="0"/>
          <w:marRight w:val="0"/>
          <w:marTop w:val="0"/>
          <w:marBottom w:val="0"/>
          <w:divBdr>
            <w:top w:val="none" w:sz="0" w:space="0" w:color="auto"/>
            <w:left w:val="none" w:sz="0" w:space="0" w:color="auto"/>
            <w:bottom w:val="none" w:sz="0" w:space="0" w:color="auto"/>
            <w:right w:val="none" w:sz="0" w:space="0" w:color="auto"/>
          </w:divBdr>
          <w:divsChild>
            <w:div w:id="1994873130">
              <w:marLeft w:val="0"/>
              <w:marRight w:val="0"/>
              <w:marTop w:val="0"/>
              <w:marBottom w:val="169"/>
              <w:divBdr>
                <w:top w:val="none" w:sz="0" w:space="0" w:color="auto"/>
                <w:left w:val="none" w:sz="0" w:space="0" w:color="auto"/>
                <w:bottom w:val="none" w:sz="0" w:space="0" w:color="auto"/>
                <w:right w:val="none" w:sz="0" w:space="0" w:color="auto"/>
              </w:divBdr>
              <w:divsChild>
                <w:div w:id="1981766682">
                  <w:marLeft w:val="0"/>
                  <w:marRight w:val="0"/>
                  <w:marTop w:val="0"/>
                  <w:marBottom w:val="0"/>
                  <w:divBdr>
                    <w:top w:val="none" w:sz="0" w:space="0" w:color="auto"/>
                    <w:left w:val="none" w:sz="0" w:space="0" w:color="auto"/>
                    <w:bottom w:val="none" w:sz="0" w:space="0" w:color="auto"/>
                    <w:right w:val="none" w:sz="0" w:space="0" w:color="auto"/>
                  </w:divBdr>
                  <w:divsChild>
                    <w:div w:id="834539898">
                      <w:marLeft w:val="0"/>
                      <w:marRight w:val="0"/>
                      <w:marTop w:val="0"/>
                      <w:marBottom w:val="0"/>
                      <w:divBdr>
                        <w:top w:val="none" w:sz="0" w:space="0" w:color="auto"/>
                        <w:left w:val="none" w:sz="0" w:space="0" w:color="auto"/>
                        <w:bottom w:val="none" w:sz="0" w:space="0" w:color="auto"/>
                        <w:right w:val="none" w:sz="0" w:space="0" w:color="auto"/>
                      </w:divBdr>
                      <w:divsChild>
                        <w:div w:id="855727545">
                          <w:marLeft w:val="0"/>
                          <w:marRight w:val="0"/>
                          <w:marTop w:val="0"/>
                          <w:marBottom w:val="0"/>
                          <w:divBdr>
                            <w:top w:val="none" w:sz="0" w:space="0" w:color="auto"/>
                            <w:left w:val="none" w:sz="0" w:space="0" w:color="auto"/>
                            <w:bottom w:val="none" w:sz="0" w:space="0" w:color="auto"/>
                            <w:right w:val="none" w:sz="0" w:space="0" w:color="auto"/>
                          </w:divBdr>
                        </w:div>
                        <w:div w:id="1730105354">
                          <w:marLeft w:val="0"/>
                          <w:marRight w:val="0"/>
                          <w:marTop w:val="0"/>
                          <w:marBottom w:val="0"/>
                          <w:divBdr>
                            <w:top w:val="none" w:sz="0" w:space="0" w:color="auto"/>
                            <w:left w:val="none" w:sz="0" w:space="0" w:color="auto"/>
                            <w:bottom w:val="none" w:sz="0" w:space="0" w:color="auto"/>
                            <w:right w:val="none" w:sz="0" w:space="0" w:color="auto"/>
                          </w:divBdr>
                        </w:div>
                        <w:div w:id="209481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328874">
      <w:bodyDiv w:val="1"/>
      <w:marLeft w:val="0"/>
      <w:marRight w:val="0"/>
      <w:marTop w:val="0"/>
      <w:marBottom w:val="0"/>
      <w:divBdr>
        <w:top w:val="none" w:sz="0" w:space="0" w:color="auto"/>
        <w:left w:val="none" w:sz="0" w:space="0" w:color="auto"/>
        <w:bottom w:val="none" w:sz="0" w:space="0" w:color="auto"/>
        <w:right w:val="none" w:sz="0" w:space="0" w:color="auto"/>
      </w:divBdr>
    </w:div>
    <w:div w:id="1400708826">
      <w:bodyDiv w:val="1"/>
      <w:marLeft w:val="0"/>
      <w:marRight w:val="0"/>
      <w:marTop w:val="0"/>
      <w:marBottom w:val="0"/>
      <w:divBdr>
        <w:top w:val="none" w:sz="0" w:space="0" w:color="auto"/>
        <w:left w:val="none" w:sz="0" w:space="0" w:color="auto"/>
        <w:bottom w:val="none" w:sz="0" w:space="0" w:color="auto"/>
        <w:right w:val="none" w:sz="0" w:space="0" w:color="auto"/>
      </w:divBdr>
      <w:divsChild>
        <w:div w:id="1120031812">
          <w:marLeft w:val="0"/>
          <w:marRight w:val="0"/>
          <w:marTop w:val="0"/>
          <w:marBottom w:val="0"/>
          <w:divBdr>
            <w:top w:val="none" w:sz="0" w:space="0" w:color="auto"/>
            <w:left w:val="none" w:sz="0" w:space="0" w:color="auto"/>
            <w:bottom w:val="none" w:sz="0" w:space="0" w:color="auto"/>
            <w:right w:val="none" w:sz="0" w:space="0" w:color="auto"/>
          </w:divBdr>
          <w:divsChild>
            <w:div w:id="1300962051">
              <w:marLeft w:val="0"/>
              <w:marRight w:val="0"/>
              <w:marTop w:val="0"/>
              <w:marBottom w:val="0"/>
              <w:divBdr>
                <w:top w:val="none" w:sz="0" w:space="0" w:color="auto"/>
                <w:left w:val="none" w:sz="0" w:space="0" w:color="auto"/>
                <w:bottom w:val="none" w:sz="0" w:space="0" w:color="auto"/>
                <w:right w:val="none" w:sz="0" w:space="0" w:color="auto"/>
              </w:divBdr>
              <w:divsChild>
                <w:div w:id="2075229201">
                  <w:marLeft w:val="0"/>
                  <w:marRight w:val="0"/>
                  <w:marTop w:val="0"/>
                  <w:marBottom w:val="0"/>
                  <w:divBdr>
                    <w:top w:val="none" w:sz="0" w:space="0" w:color="auto"/>
                    <w:left w:val="none" w:sz="0" w:space="0" w:color="auto"/>
                    <w:bottom w:val="none" w:sz="0" w:space="0" w:color="auto"/>
                    <w:right w:val="none" w:sz="0" w:space="0" w:color="auto"/>
                  </w:divBdr>
                  <w:divsChild>
                    <w:div w:id="151682163">
                      <w:marLeft w:val="0"/>
                      <w:marRight w:val="0"/>
                      <w:marTop w:val="0"/>
                      <w:marBottom w:val="0"/>
                      <w:divBdr>
                        <w:top w:val="none" w:sz="0" w:space="0" w:color="auto"/>
                        <w:left w:val="none" w:sz="0" w:space="0" w:color="auto"/>
                        <w:bottom w:val="none" w:sz="0" w:space="0" w:color="auto"/>
                        <w:right w:val="none" w:sz="0" w:space="0" w:color="auto"/>
                      </w:divBdr>
                      <w:divsChild>
                        <w:div w:id="173600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811837">
      <w:bodyDiv w:val="1"/>
      <w:marLeft w:val="0"/>
      <w:marRight w:val="0"/>
      <w:marTop w:val="0"/>
      <w:marBottom w:val="0"/>
      <w:divBdr>
        <w:top w:val="none" w:sz="0" w:space="0" w:color="auto"/>
        <w:left w:val="none" w:sz="0" w:space="0" w:color="auto"/>
        <w:bottom w:val="none" w:sz="0" w:space="0" w:color="auto"/>
        <w:right w:val="none" w:sz="0" w:space="0" w:color="auto"/>
      </w:divBdr>
    </w:div>
    <w:div w:id="1538274226">
      <w:bodyDiv w:val="1"/>
      <w:marLeft w:val="0"/>
      <w:marRight w:val="0"/>
      <w:marTop w:val="0"/>
      <w:marBottom w:val="0"/>
      <w:divBdr>
        <w:top w:val="none" w:sz="0" w:space="0" w:color="auto"/>
        <w:left w:val="none" w:sz="0" w:space="0" w:color="auto"/>
        <w:bottom w:val="none" w:sz="0" w:space="0" w:color="auto"/>
        <w:right w:val="none" w:sz="0" w:space="0" w:color="auto"/>
      </w:divBdr>
    </w:div>
    <w:div w:id="1565410985">
      <w:bodyDiv w:val="1"/>
      <w:marLeft w:val="0"/>
      <w:marRight w:val="0"/>
      <w:marTop w:val="0"/>
      <w:marBottom w:val="0"/>
      <w:divBdr>
        <w:top w:val="none" w:sz="0" w:space="0" w:color="auto"/>
        <w:left w:val="none" w:sz="0" w:space="0" w:color="auto"/>
        <w:bottom w:val="none" w:sz="0" w:space="0" w:color="auto"/>
        <w:right w:val="none" w:sz="0" w:space="0" w:color="auto"/>
      </w:divBdr>
    </w:div>
    <w:div w:id="1577545436">
      <w:bodyDiv w:val="1"/>
      <w:marLeft w:val="0"/>
      <w:marRight w:val="0"/>
      <w:marTop w:val="0"/>
      <w:marBottom w:val="0"/>
      <w:divBdr>
        <w:top w:val="none" w:sz="0" w:space="0" w:color="auto"/>
        <w:left w:val="none" w:sz="0" w:space="0" w:color="auto"/>
        <w:bottom w:val="none" w:sz="0" w:space="0" w:color="auto"/>
        <w:right w:val="none" w:sz="0" w:space="0" w:color="auto"/>
      </w:divBdr>
    </w:div>
    <w:div w:id="1618439577">
      <w:bodyDiv w:val="1"/>
      <w:marLeft w:val="0"/>
      <w:marRight w:val="0"/>
      <w:marTop w:val="0"/>
      <w:marBottom w:val="0"/>
      <w:divBdr>
        <w:top w:val="none" w:sz="0" w:space="0" w:color="auto"/>
        <w:left w:val="none" w:sz="0" w:space="0" w:color="auto"/>
        <w:bottom w:val="none" w:sz="0" w:space="0" w:color="auto"/>
        <w:right w:val="none" w:sz="0" w:space="0" w:color="auto"/>
      </w:divBdr>
    </w:div>
    <w:div w:id="1624579720">
      <w:bodyDiv w:val="1"/>
      <w:marLeft w:val="0"/>
      <w:marRight w:val="0"/>
      <w:marTop w:val="0"/>
      <w:marBottom w:val="0"/>
      <w:divBdr>
        <w:top w:val="none" w:sz="0" w:space="0" w:color="auto"/>
        <w:left w:val="none" w:sz="0" w:space="0" w:color="auto"/>
        <w:bottom w:val="none" w:sz="0" w:space="0" w:color="auto"/>
        <w:right w:val="none" w:sz="0" w:space="0" w:color="auto"/>
      </w:divBdr>
    </w:div>
    <w:div w:id="1657227895">
      <w:bodyDiv w:val="1"/>
      <w:marLeft w:val="0"/>
      <w:marRight w:val="0"/>
      <w:marTop w:val="0"/>
      <w:marBottom w:val="0"/>
      <w:divBdr>
        <w:top w:val="none" w:sz="0" w:space="0" w:color="auto"/>
        <w:left w:val="none" w:sz="0" w:space="0" w:color="auto"/>
        <w:bottom w:val="none" w:sz="0" w:space="0" w:color="auto"/>
        <w:right w:val="none" w:sz="0" w:space="0" w:color="auto"/>
      </w:divBdr>
    </w:div>
    <w:div w:id="1675302698">
      <w:bodyDiv w:val="1"/>
      <w:marLeft w:val="0"/>
      <w:marRight w:val="0"/>
      <w:marTop w:val="0"/>
      <w:marBottom w:val="0"/>
      <w:divBdr>
        <w:top w:val="none" w:sz="0" w:space="0" w:color="auto"/>
        <w:left w:val="none" w:sz="0" w:space="0" w:color="auto"/>
        <w:bottom w:val="none" w:sz="0" w:space="0" w:color="auto"/>
        <w:right w:val="none" w:sz="0" w:space="0" w:color="auto"/>
      </w:divBdr>
    </w:div>
    <w:div w:id="1726178620">
      <w:bodyDiv w:val="1"/>
      <w:marLeft w:val="0"/>
      <w:marRight w:val="0"/>
      <w:marTop w:val="0"/>
      <w:marBottom w:val="0"/>
      <w:divBdr>
        <w:top w:val="none" w:sz="0" w:space="0" w:color="auto"/>
        <w:left w:val="none" w:sz="0" w:space="0" w:color="auto"/>
        <w:bottom w:val="none" w:sz="0" w:space="0" w:color="auto"/>
        <w:right w:val="none" w:sz="0" w:space="0" w:color="auto"/>
      </w:divBdr>
    </w:div>
    <w:div w:id="1764302083">
      <w:bodyDiv w:val="1"/>
      <w:marLeft w:val="0"/>
      <w:marRight w:val="0"/>
      <w:marTop w:val="0"/>
      <w:marBottom w:val="0"/>
      <w:divBdr>
        <w:top w:val="none" w:sz="0" w:space="0" w:color="auto"/>
        <w:left w:val="none" w:sz="0" w:space="0" w:color="auto"/>
        <w:bottom w:val="none" w:sz="0" w:space="0" w:color="auto"/>
        <w:right w:val="none" w:sz="0" w:space="0" w:color="auto"/>
      </w:divBdr>
    </w:div>
    <w:div w:id="1903515907">
      <w:bodyDiv w:val="1"/>
      <w:marLeft w:val="0"/>
      <w:marRight w:val="0"/>
      <w:marTop w:val="0"/>
      <w:marBottom w:val="0"/>
      <w:divBdr>
        <w:top w:val="none" w:sz="0" w:space="0" w:color="auto"/>
        <w:left w:val="none" w:sz="0" w:space="0" w:color="auto"/>
        <w:bottom w:val="none" w:sz="0" w:space="0" w:color="auto"/>
        <w:right w:val="none" w:sz="0" w:space="0" w:color="auto"/>
      </w:divBdr>
    </w:div>
    <w:div w:id="1980039264">
      <w:bodyDiv w:val="1"/>
      <w:marLeft w:val="0"/>
      <w:marRight w:val="0"/>
      <w:marTop w:val="0"/>
      <w:marBottom w:val="0"/>
      <w:divBdr>
        <w:top w:val="none" w:sz="0" w:space="0" w:color="auto"/>
        <w:left w:val="none" w:sz="0" w:space="0" w:color="auto"/>
        <w:bottom w:val="none" w:sz="0" w:space="0" w:color="auto"/>
        <w:right w:val="none" w:sz="0" w:space="0" w:color="auto"/>
      </w:divBdr>
      <w:divsChild>
        <w:div w:id="1142887592">
          <w:marLeft w:val="0"/>
          <w:marRight w:val="0"/>
          <w:marTop w:val="0"/>
          <w:marBottom w:val="0"/>
          <w:divBdr>
            <w:top w:val="none" w:sz="0" w:space="0" w:color="auto"/>
            <w:left w:val="none" w:sz="0" w:space="0" w:color="auto"/>
            <w:bottom w:val="none" w:sz="0" w:space="0" w:color="auto"/>
            <w:right w:val="none" w:sz="0" w:space="0" w:color="auto"/>
          </w:divBdr>
          <w:divsChild>
            <w:div w:id="670645054">
              <w:marLeft w:val="0"/>
              <w:marRight w:val="0"/>
              <w:marTop w:val="0"/>
              <w:marBottom w:val="0"/>
              <w:divBdr>
                <w:top w:val="none" w:sz="0" w:space="0" w:color="auto"/>
                <w:left w:val="none" w:sz="0" w:space="0" w:color="auto"/>
                <w:bottom w:val="none" w:sz="0" w:space="0" w:color="auto"/>
                <w:right w:val="none" w:sz="0" w:space="0" w:color="auto"/>
              </w:divBdr>
              <w:divsChild>
                <w:div w:id="1979872535">
                  <w:marLeft w:val="0"/>
                  <w:marRight w:val="0"/>
                  <w:marTop w:val="0"/>
                  <w:marBottom w:val="0"/>
                  <w:divBdr>
                    <w:top w:val="none" w:sz="0" w:space="0" w:color="auto"/>
                    <w:left w:val="none" w:sz="0" w:space="0" w:color="auto"/>
                    <w:bottom w:val="none" w:sz="0" w:space="0" w:color="auto"/>
                    <w:right w:val="none" w:sz="0" w:space="0" w:color="auto"/>
                  </w:divBdr>
                  <w:divsChild>
                    <w:div w:id="1334449513">
                      <w:marLeft w:val="0"/>
                      <w:marRight w:val="0"/>
                      <w:marTop w:val="0"/>
                      <w:marBottom w:val="0"/>
                      <w:divBdr>
                        <w:top w:val="none" w:sz="0" w:space="0" w:color="auto"/>
                        <w:left w:val="none" w:sz="0" w:space="0" w:color="auto"/>
                        <w:bottom w:val="none" w:sz="0" w:space="0" w:color="auto"/>
                        <w:right w:val="none" w:sz="0" w:space="0" w:color="auto"/>
                      </w:divBdr>
                      <w:divsChild>
                        <w:div w:id="38360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552000">
      <w:bodyDiv w:val="1"/>
      <w:marLeft w:val="0"/>
      <w:marRight w:val="0"/>
      <w:marTop w:val="0"/>
      <w:marBottom w:val="0"/>
      <w:divBdr>
        <w:top w:val="none" w:sz="0" w:space="0" w:color="auto"/>
        <w:left w:val="none" w:sz="0" w:space="0" w:color="auto"/>
        <w:bottom w:val="none" w:sz="0" w:space="0" w:color="auto"/>
        <w:right w:val="none" w:sz="0" w:space="0" w:color="auto"/>
      </w:divBdr>
    </w:div>
    <w:div w:id="202998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gb.gov.au/Pages/completed-audits-and-reviews.aspx"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creativecommons.org/licenses/by/3.0/au/legalcode"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opyright@agriculture.gov.au" TargetMode="External"/><Relationship Id="rId20" Type="http://schemas.openxmlformats.org/officeDocument/2006/relationships/footer" Target="footer2.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3.0/au/deed.en" TargetMode="External"/><Relationship Id="rId24" Type="http://schemas.openxmlformats.org/officeDocument/2006/relationships/hyperlink" Target="http://www.igb.gov.au/" TargetMode="External"/><Relationship Id="rId5" Type="http://schemas.openxmlformats.org/officeDocument/2006/relationships/webSettings" Target="webSettings.xml"/><Relationship Id="rId15" Type="http://schemas.openxmlformats.org/officeDocument/2006/relationships/hyperlink" Target="http://www.igb.gov.au/Pages/default.aspx" TargetMode="External"/><Relationship Id="rId23" Type="http://schemas.openxmlformats.org/officeDocument/2006/relationships/hyperlink" Target="http://www.igb.gov.au/Pages/default.aspx" TargetMode="External"/><Relationship Id="rId28" Type="http://schemas.openxmlformats.org/officeDocument/2006/relationships/customXml" Target="../customXml/item3.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inspgenbiosecurity@agriculture.gov.au" TargetMode="External"/><Relationship Id="rId22" Type="http://schemas.openxmlformats.org/officeDocument/2006/relationships/footer" Target="footer3.xm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7E813A778C1B4BAD7753BE6071BE58" ma:contentTypeVersion="1" ma:contentTypeDescription="Create a new document." ma:contentTypeScope="" ma:versionID="d0303b744bc782e292a6ab8d29c03290">
  <xsd:schema xmlns:xsd="http://www.w3.org/2001/XMLSchema" xmlns:xs="http://www.w3.org/2001/XMLSchema" xmlns:p="http://schemas.microsoft.com/office/2006/metadata/properties" xmlns:ns1="http://schemas.microsoft.com/sharepoint/v3" targetNamespace="http://schemas.microsoft.com/office/2006/metadata/properties" ma:root="true" ma:fieldsID="6f0d331ebd68627ead16f146830ec63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5F80443-B1BB-4FCB-A595-BF239B7CAA56}"/>
</file>

<file path=customXml/itemProps2.xml><?xml version="1.0" encoding="utf-8"?>
<ds:datastoreItem xmlns:ds="http://schemas.openxmlformats.org/officeDocument/2006/customXml" ds:itemID="{A7552BB8-5C2A-4A8A-8896-98CA2928746B}"/>
</file>

<file path=customXml/itemProps3.xml><?xml version="1.0" encoding="utf-8"?>
<ds:datastoreItem xmlns:ds="http://schemas.openxmlformats.org/officeDocument/2006/customXml" ds:itemID="{2FA402F2-D70B-4658-8A9D-A5FF7BF4F849}"/>
</file>

<file path=customXml/itemProps4.xml><?xml version="1.0" encoding="utf-8"?>
<ds:datastoreItem xmlns:ds="http://schemas.openxmlformats.org/officeDocument/2006/customXml" ds:itemID="{2A9E2D96-379F-45BF-9991-F1F7200250B3}"/>
</file>

<file path=docProps/app.xml><?xml version="1.0" encoding="utf-8"?>
<Properties xmlns="http://schemas.openxmlformats.org/officeDocument/2006/extended-properties" xmlns:vt="http://schemas.openxmlformats.org/officeDocument/2006/docPropsVTypes">
  <Template>Normal</Template>
  <TotalTime>0</TotalTime>
  <Pages>12</Pages>
  <Words>3438</Words>
  <Characters>21891</Characters>
  <Application>Microsoft Office Word</Application>
  <DocSecurity>4</DocSecurity>
  <Lines>182</Lines>
  <Paragraphs>50</Paragraphs>
  <ScaleCrop>false</ScaleCrop>
  <HeadingPairs>
    <vt:vector size="2" baseType="variant">
      <vt:variant>
        <vt:lpstr>Title</vt:lpstr>
      </vt:variant>
      <vt:variant>
        <vt:i4>1</vt:i4>
      </vt:variant>
    </vt:vector>
  </HeadingPairs>
  <TitlesOfParts>
    <vt:vector size="1" baseType="lpstr">
      <vt:lpstr>Interim Inspector-General of Biosecurity annual report 2015–16</vt:lpstr>
    </vt:vector>
  </TitlesOfParts>
  <LinksUpToDate>false</LinksUpToDate>
  <CharactersWithSpaces>25279</CharactersWithSpaces>
  <SharedDoc>false</SharedDoc>
  <HLinks>
    <vt:vector size="114" baseType="variant">
      <vt:variant>
        <vt:i4>8323117</vt:i4>
      </vt:variant>
      <vt:variant>
        <vt:i4>93</vt:i4>
      </vt:variant>
      <vt:variant>
        <vt:i4>0</vt:i4>
      </vt:variant>
      <vt:variant>
        <vt:i4>5</vt:i4>
      </vt:variant>
      <vt:variant>
        <vt:lpwstr>http://www.igb.gov.au/</vt:lpwstr>
      </vt:variant>
      <vt:variant>
        <vt:lpwstr/>
      </vt:variant>
      <vt:variant>
        <vt:i4>8323117</vt:i4>
      </vt:variant>
      <vt:variant>
        <vt:i4>87</vt:i4>
      </vt:variant>
      <vt:variant>
        <vt:i4>0</vt:i4>
      </vt:variant>
      <vt:variant>
        <vt:i4>5</vt:i4>
      </vt:variant>
      <vt:variant>
        <vt:lpwstr>http://www.igb.gov.au/</vt:lpwstr>
      </vt:variant>
      <vt:variant>
        <vt:lpwstr/>
      </vt:variant>
      <vt:variant>
        <vt:i4>2031667</vt:i4>
      </vt:variant>
      <vt:variant>
        <vt:i4>80</vt:i4>
      </vt:variant>
      <vt:variant>
        <vt:i4>0</vt:i4>
      </vt:variant>
      <vt:variant>
        <vt:i4>5</vt:i4>
      </vt:variant>
      <vt:variant>
        <vt:lpwstr/>
      </vt:variant>
      <vt:variant>
        <vt:lpwstr>_Toc450910642</vt:lpwstr>
      </vt:variant>
      <vt:variant>
        <vt:i4>2031667</vt:i4>
      </vt:variant>
      <vt:variant>
        <vt:i4>74</vt:i4>
      </vt:variant>
      <vt:variant>
        <vt:i4>0</vt:i4>
      </vt:variant>
      <vt:variant>
        <vt:i4>5</vt:i4>
      </vt:variant>
      <vt:variant>
        <vt:lpwstr/>
      </vt:variant>
      <vt:variant>
        <vt:lpwstr>_Toc450910641</vt:lpwstr>
      </vt:variant>
      <vt:variant>
        <vt:i4>2031667</vt:i4>
      </vt:variant>
      <vt:variant>
        <vt:i4>68</vt:i4>
      </vt:variant>
      <vt:variant>
        <vt:i4>0</vt:i4>
      </vt:variant>
      <vt:variant>
        <vt:i4>5</vt:i4>
      </vt:variant>
      <vt:variant>
        <vt:lpwstr/>
      </vt:variant>
      <vt:variant>
        <vt:lpwstr>_Toc450910640</vt:lpwstr>
      </vt:variant>
      <vt:variant>
        <vt:i4>1572915</vt:i4>
      </vt:variant>
      <vt:variant>
        <vt:i4>62</vt:i4>
      </vt:variant>
      <vt:variant>
        <vt:i4>0</vt:i4>
      </vt:variant>
      <vt:variant>
        <vt:i4>5</vt:i4>
      </vt:variant>
      <vt:variant>
        <vt:lpwstr/>
      </vt:variant>
      <vt:variant>
        <vt:lpwstr>_Toc450910639</vt:lpwstr>
      </vt:variant>
      <vt:variant>
        <vt:i4>1572915</vt:i4>
      </vt:variant>
      <vt:variant>
        <vt:i4>56</vt:i4>
      </vt:variant>
      <vt:variant>
        <vt:i4>0</vt:i4>
      </vt:variant>
      <vt:variant>
        <vt:i4>5</vt:i4>
      </vt:variant>
      <vt:variant>
        <vt:lpwstr/>
      </vt:variant>
      <vt:variant>
        <vt:lpwstr>_Toc450910638</vt:lpwstr>
      </vt:variant>
      <vt:variant>
        <vt:i4>1572915</vt:i4>
      </vt:variant>
      <vt:variant>
        <vt:i4>50</vt:i4>
      </vt:variant>
      <vt:variant>
        <vt:i4>0</vt:i4>
      </vt:variant>
      <vt:variant>
        <vt:i4>5</vt:i4>
      </vt:variant>
      <vt:variant>
        <vt:lpwstr/>
      </vt:variant>
      <vt:variant>
        <vt:lpwstr>_Toc450910637</vt:lpwstr>
      </vt:variant>
      <vt:variant>
        <vt:i4>1572915</vt:i4>
      </vt:variant>
      <vt:variant>
        <vt:i4>44</vt:i4>
      </vt:variant>
      <vt:variant>
        <vt:i4>0</vt:i4>
      </vt:variant>
      <vt:variant>
        <vt:i4>5</vt:i4>
      </vt:variant>
      <vt:variant>
        <vt:lpwstr/>
      </vt:variant>
      <vt:variant>
        <vt:lpwstr>_Toc450910636</vt:lpwstr>
      </vt:variant>
      <vt:variant>
        <vt:i4>1572915</vt:i4>
      </vt:variant>
      <vt:variant>
        <vt:i4>38</vt:i4>
      </vt:variant>
      <vt:variant>
        <vt:i4>0</vt:i4>
      </vt:variant>
      <vt:variant>
        <vt:i4>5</vt:i4>
      </vt:variant>
      <vt:variant>
        <vt:lpwstr/>
      </vt:variant>
      <vt:variant>
        <vt:lpwstr>_Toc450910635</vt:lpwstr>
      </vt:variant>
      <vt:variant>
        <vt:i4>1572915</vt:i4>
      </vt:variant>
      <vt:variant>
        <vt:i4>32</vt:i4>
      </vt:variant>
      <vt:variant>
        <vt:i4>0</vt:i4>
      </vt:variant>
      <vt:variant>
        <vt:i4>5</vt:i4>
      </vt:variant>
      <vt:variant>
        <vt:lpwstr/>
      </vt:variant>
      <vt:variant>
        <vt:lpwstr>_Toc450910634</vt:lpwstr>
      </vt:variant>
      <vt:variant>
        <vt:i4>1572915</vt:i4>
      </vt:variant>
      <vt:variant>
        <vt:i4>26</vt:i4>
      </vt:variant>
      <vt:variant>
        <vt:i4>0</vt:i4>
      </vt:variant>
      <vt:variant>
        <vt:i4>5</vt:i4>
      </vt:variant>
      <vt:variant>
        <vt:lpwstr/>
      </vt:variant>
      <vt:variant>
        <vt:lpwstr>_Toc450910633</vt:lpwstr>
      </vt:variant>
      <vt:variant>
        <vt:i4>1572915</vt:i4>
      </vt:variant>
      <vt:variant>
        <vt:i4>20</vt:i4>
      </vt:variant>
      <vt:variant>
        <vt:i4>0</vt:i4>
      </vt:variant>
      <vt:variant>
        <vt:i4>5</vt:i4>
      </vt:variant>
      <vt:variant>
        <vt:lpwstr/>
      </vt:variant>
      <vt:variant>
        <vt:lpwstr>_Toc450910632</vt:lpwstr>
      </vt:variant>
      <vt:variant>
        <vt:i4>7077903</vt:i4>
      </vt:variant>
      <vt:variant>
        <vt:i4>15</vt:i4>
      </vt:variant>
      <vt:variant>
        <vt:i4>0</vt:i4>
      </vt:variant>
      <vt:variant>
        <vt:i4>5</vt:i4>
      </vt:variant>
      <vt:variant>
        <vt:lpwstr>mailto:copyright@agriculture.gov.au</vt:lpwstr>
      </vt:variant>
      <vt:variant>
        <vt:lpwstr/>
      </vt:variant>
      <vt:variant>
        <vt:i4>1638491</vt:i4>
      </vt:variant>
      <vt:variant>
        <vt:i4>12</vt:i4>
      </vt:variant>
      <vt:variant>
        <vt:i4>0</vt:i4>
      </vt:variant>
      <vt:variant>
        <vt:i4>5</vt:i4>
      </vt:variant>
      <vt:variant>
        <vt:lpwstr>http://www.igb.gov.au/Pages/default.aspx</vt:lpwstr>
      </vt:variant>
      <vt:variant>
        <vt:lpwstr/>
      </vt:variant>
      <vt:variant>
        <vt:i4>2687040</vt:i4>
      </vt:variant>
      <vt:variant>
        <vt:i4>9</vt:i4>
      </vt:variant>
      <vt:variant>
        <vt:i4>0</vt:i4>
      </vt:variant>
      <vt:variant>
        <vt:i4>5</vt:i4>
      </vt:variant>
      <vt:variant>
        <vt:lpwstr>mailto:inspgenbiosecurity@agriculture.gov.au</vt:lpwstr>
      </vt:variant>
      <vt:variant>
        <vt:lpwstr/>
      </vt:variant>
      <vt:variant>
        <vt:i4>983042</vt:i4>
      </vt:variant>
      <vt:variant>
        <vt:i4>6</vt:i4>
      </vt:variant>
      <vt:variant>
        <vt:i4>0</vt:i4>
      </vt:variant>
      <vt:variant>
        <vt:i4>5</vt:i4>
      </vt:variant>
      <vt:variant>
        <vt:lpwstr>http://www.igb.gov.au/Pages/completed-audits-and-reviews.aspx</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Interim Inspector-General of Biosecurity annual report 2015–16</dc:title>
  <dc:subject/>
  <dc:creator/>
  <cp:keywords/>
  <cp:lastModifiedBy/>
  <cp:revision>1</cp:revision>
  <cp:lastPrinted>2010-08-10T06:02:00Z</cp:lastPrinted>
  <dcterms:created xsi:type="dcterms:W3CDTF">2016-05-13T04:26:00Z</dcterms:created>
  <dcterms:modified xsi:type="dcterms:W3CDTF">2016-05-13T04:26:00Z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0x010100717E813A778C1B4BAD7753BE6071BE58</vt:lpwstr>
  </property>
</Properties>
</file>