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408" w:rsidRPr="00A21FC1" w:rsidRDefault="00A91B0E" w:rsidP="0027116F">
      <w:pPr>
        <w:pStyle w:val="IIGBBadge"/>
        <w:ind w:hanging="3600"/>
        <w:jc w:val="left"/>
        <w:rPr>
          <w:rFonts w:ascii="Calibri Light" w:hAnsi="Calibri Light"/>
        </w:rPr>
      </w:pPr>
      <w:r>
        <w:rPr>
          <w:rFonts w:ascii="Calibri Light" w:hAnsi="Calibri Light"/>
          <w:noProof/>
        </w:rPr>
        <w:drawing>
          <wp:inline distT="0" distB="0" distL="0" distR="0">
            <wp:extent cx="2219960" cy="982980"/>
            <wp:effectExtent l="0" t="0" r="8890" b="0"/>
            <wp:docPr id="2" name="Picture 1" descr="I:\CorpGovPolicy\SECRETARIATS\BIOSECURITY SECRETARIAT\IIGB\IIGB logo\IIG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GovPolicy\SECRETARIATS\BIOSECURITY SECRETARIAT\IIGB\IIGB logo\IIGB Logo.png"/>
                    <pic:cNvPicPr>
                      <a:picLocks noChangeAspect="1" noChangeArrowheads="1"/>
                    </pic:cNvPicPr>
                  </pic:nvPicPr>
                  <pic:blipFill>
                    <a:blip r:embed="rId8" cstate="print"/>
                    <a:srcRect/>
                    <a:stretch>
                      <a:fillRect/>
                    </a:stretch>
                  </pic:blipFill>
                  <pic:spPr bwMode="auto">
                    <a:xfrm>
                      <a:off x="0" y="0"/>
                      <a:ext cx="2219960" cy="982980"/>
                    </a:xfrm>
                    <a:prstGeom prst="rect">
                      <a:avLst/>
                    </a:prstGeom>
                    <a:noFill/>
                    <a:ln w="9525">
                      <a:noFill/>
                      <a:miter lim="800000"/>
                      <a:headEnd/>
                      <a:tailEnd/>
                    </a:ln>
                  </pic:spPr>
                </pic:pic>
              </a:graphicData>
            </a:graphic>
          </wp:inline>
        </w:drawing>
      </w:r>
    </w:p>
    <w:p w:rsidR="00CC50C1" w:rsidRPr="00A21FC1" w:rsidRDefault="00FB0776" w:rsidP="00CC50C1">
      <w:pPr>
        <w:pStyle w:val="NormalNumbering"/>
        <w:numPr>
          <w:ilvl w:val="0"/>
          <w:numId w:val="0"/>
        </w:numPr>
        <w:rPr>
          <w:rFonts w:ascii="Calibri Light" w:hAnsi="Calibri Light"/>
        </w:rPr>
      </w:pPr>
      <w:r w:rsidRPr="00FB0776">
        <w:rPr>
          <w:rStyle w:val="PageNumber"/>
          <w:rFonts w:ascii="Calibri Light" w:hAnsi="Calibri Light"/>
        </w:rPr>
        <w:pict>
          <v:rect id="_x0000_i1025" style="width:405.55pt;height:1.95pt" o:hrpct="0" o:hralign="center" o:hrstd="t" o:hr="t" fillcolor="#aca899" stroked="f"/>
        </w:pict>
      </w:r>
      <w:bookmarkStart w:id="0" w:name="_Toc332894757"/>
    </w:p>
    <w:p w:rsidR="00CC50C1" w:rsidRDefault="00CC50C1" w:rsidP="00CC50C1">
      <w:pPr>
        <w:pStyle w:val="NormalNumbering"/>
        <w:numPr>
          <w:ilvl w:val="0"/>
          <w:numId w:val="0"/>
        </w:numPr>
        <w:rPr>
          <w:rFonts w:ascii="Calibri Light" w:hAnsi="Calibri Light"/>
        </w:rPr>
      </w:pPr>
    </w:p>
    <w:p w:rsidR="00A21FC1" w:rsidRDefault="00A21FC1" w:rsidP="00CC50C1">
      <w:pPr>
        <w:pStyle w:val="NormalNumbering"/>
        <w:numPr>
          <w:ilvl w:val="0"/>
          <w:numId w:val="0"/>
        </w:numPr>
        <w:rPr>
          <w:rFonts w:ascii="Calibri Light" w:hAnsi="Calibri Light"/>
        </w:rPr>
      </w:pPr>
    </w:p>
    <w:p w:rsidR="00A21FC1" w:rsidRDefault="00A21FC1" w:rsidP="00CC50C1">
      <w:pPr>
        <w:pStyle w:val="NormalNumbering"/>
        <w:numPr>
          <w:ilvl w:val="0"/>
          <w:numId w:val="0"/>
        </w:numPr>
        <w:rPr>
          <w:rFonts w:ascii="Calibri Light" w:hAnsi="Calibri Light"/>
        </w:rPr>
      </w:pPr>
    </w:p>
    <w:p w:rsidR="00A21FC1" w:rsidRDefault="00A21FC1" w:rsidP="00CC50C1">
      <w:pPr>
        <w:pStyle w:val="NormalNumbering"/>
        <w:numPr>
          <w:ilvl w:val="0"/>
          <w:numId w:val="0"/>
        </w:numPr>
        <w:rPr>
          <w:rFonts w:ascii="Calibri Light" w:hAnsi="Calibri Light"/>
        </w:rPr>
      </w:pPr>
    </w:p>
    <w:p w:rsidR="00A21FC1" w:rsidRDefault="00A21FC1" w:rsidP="00CC50C1">
      <w:pPr>
        <w:pStyle w:val="NormalNumbering"/>
        <w:numPr>
          <w:ilvl w:val="0"/>
          <w:numId w:val="0"/>
        </w:numPr>
        <w:rPr>
          <w:rFonts w:ascii="Calibri Light" w:hAnsi="Calibri Light"/>
        </w:rPr>
      </w:pPr>
    </w:p>
    <w:p w:rsidR="00A21FC1" w:rsidRDefault="00A21FC1" w:rsidP="00CC50C1">
      <w:pPr>
        <w:pStyle w:val="NormalNumbering"/>
        <w:numPr>
          <w:ilvl w:val="0"/>
          <w:numId w:val="0"/>
        </w:numPr>
        <w:rPr>
          <w:rFonts w:ascii="Calibri Light" w:hAnsi="Calibri Light"/>
        </w:rPr>
      </w:pPr>
    </w:p>
    <w:p w:rsidR="00A21FC1" w:rsidRDefault="00A21FC1" w:rsidP="00CC50C1">
      <w:pPr>
        <w:pStyle w:val="NormalNumbering"/>
        <w:numPr>
          <w:ilvl w:val="0"/>
          <w:numId w:val="0"/>
        </w:numPr>
        <w:rPr>
          <w:rFonts w:ascii="Calibri Light" w:hAnsi="Calibri Light"/>
        </w:rPr>
      </w:pPr>
    </w:p>
    <w:p w:rsidR="00A21FC1" w:rsidRDefault="00A21FC1" w:rsidP="00CC50C1">
      <w:pPr>
        <w:pStyle w:val="NormalNumbering"/>
        <w:numPr>
          <w:ilvl w:val="0"/>
          <w:numId w:val="0"/>
        </w:numPr>
        <w:rPr>
          <w:rFonts w:ascii="Calibri Light" w:hAnsi="Calibri Light"/>
        </w:rPr>
      </w:pPr>
    </w:p>
    <w:p w:rsidR="00A21FC1" w:rsidRDefault="00A21FC1" w:rsidP="00CC50C1">
      <w:pPr>
        <w:pStyle w:val="NormalNumbering"/>
        <w:numPr>
          <w:ilvl w:val="0"/>
          <w:numId w:val="0"/>
        </w:numPr>
        <w:rPr>
          <w:rFonts w:ascii="Calibri Light" w:hAnsi="Calibri Light"/>
        </w:rPr>
      </w:pPr>
    </w:p>
    <w:p w:rsidR="00A21FC1" w:rsidRDefault="00A21FC1" w:rsidP="00CC50C1">
      <w:pPr>
        <w:pStyle w:val="NormalNumbering"/>
        <w:numPr>
          <w:ilvl w:val="0"/>
          <w:numId w:val="0"/>
        </w:numPr>
        <w:rPr>
          <w:rFonts w:ascii="Calibri Light" w:hAnsi="Calibri Light"/>
        </w:rPr>
      </w:pPr>
    </w:p>
    <w:p w:rsidR="00A21FC1" w:rsidRPr="00A21FC1" w:rsidRDefault="00A21FC1" w:rsidP="00CC50C1">
      <w:pPr>
        <w:pStyle w:val="NormalNumbering"/>
        <w:numPr>
          <w:ilvl w:val="0"/>
          <w:numId w:val="0"/>
        </w:numPr>
        <w:rPr>
          <w:rFonts w:ascii="Calibri Light" w:hAnsi="Calibri Light"/>
        </w:rPr>
      </w:pPr>
    </w:p>
    <w:p w:rsidR="0027116F" w:rsidRPr="00A21FC1" w:rsidRDefault="00AB31FA" w:rsidP="0027116F">
      <w:pPr>
        <w:pStyle w:val="TitlePageHeading"/>
        <w:rPr>
          <w:rFonts w:ascii="Calibri Light" w:hAnsi="Calibri Light"/>
        </w:rPr>
      </w:pPr>
      <w:r w:rsidRPr="00A21FC1">
        <w:rPr>
          <w:rFonts w:ascii="Calibri Light" w:hAnsi="Calibri Light"/>
        </w:rPr>
        <w:t>I</w:t>
      </w:r>
      <w:r w:rsidR="002F518A" w:rsidRPr="00A21FC1">
        <w:rPr>
          <w:rFonts w:ascii="Calibri Light" w:hAnsi="Calibri Light"/>
        </w:rPr>
        <w:t>mplement</w:t>
      </w:r>
      <w:r w:rsidRPr="00A21FC1">
        <w:rPr>
          <w:rFonts w:ascii="Calibri Light" w:hAnsi="Calibri Light"/>
        </w:rPr>
        <w:t>ation of</w:t>
      </w:r>
      <w:r w:rsidR="002F518A" w:rsidRPr="00A21FC1">
        <w:rPr>
          <w:rFonts w:ascii="Calibri Light" w:hAnsi="Calibri Light"/>
        </w:rPr>
        <w:t xml:space="preserve"> previous I</w:t>
      </w:r>
      <w:r w:rsidR="006461BE">
        <w:rPr>
          <w:rFonts w:ascii="Calibri Light" w:hAnsi="Calibri Light"/>
        </w:rPr>
        <w:t>nterim Inspector-</w:t>
      </w:r>
      <w:r w:rsidR="002F518A" w:rsidRPr="00A21FC1">
        <w:rPr>
          <w:rFonts w:ascii="Calibri Light" w:hAnsi="Calibri Light"/>
        </w:rPr>
        <w:t>General</w:t>
      </w:r>
      <w:r w:rsidR="006461BE">
        <w:rPr>
          <w:rFonts w:ascii="Calibri Light" w:hAnsi="Calibri Light"/>
        </w:rPr>
        <w:br/>
      </w:r>
      <w:r w:rsidR="002F518A" w:rsidRPr="00A21FC1">
        <w:rPr>
          <w:rFonts w:ascii="Calibri Light" w:hAnsi="Calibri Light"/>
        </w:rPr>
        <w:t>of Biosecurity recommendations</w:t>
      </w:r>
    </w:p>
    <w:p w:rsidR="00CC50C1" w:rsidRPr="00A21FC1" w:rsidRDefault="00CC50C1" w:rsidP="00CC50C1">
      <w:pPr>
        <w:pStyle w:val="NormalNumbering"/>
        <w:numPr>
          <w:ilvl w:val="0"/>
          <w:numId w:val="0"/>
        </w:numPr>
        <w:jc w:val="center"/>
        <w:rPr>
          <w:rFonts w:ascii="Calibri Light" w:hAnsi="Calibri Light"/>
        </w:rPr>
      </w:pPr>
    </w:p>
    <w:p w:rsidR="00CC50C1" w:rsidRPr="00A21FC1" w:rsidRDefault="00CC50C1" w:rsidP="00CC50C1">
      <w:pPr>
        <w:pStyle w:val="NormalNumbering"/>
        <w:numPr>
          <w:ilvl w:val="0"/>
          <w:numId w:val="0"/>
        </w:numPr>
        <w:jc w:val="center"/>
        <w:rPr>
          <w:rFonts w:ascii="Calibri Light" w:hAnsi="Calibri Light"/>
        </w:rPr>
      </w:pPr>
    </w:p>
    <w:p w:rsidR="00CC50C1" w:rsidRDefault="00CC50C1" w:rsidP="00CC50C1">
      <w:pPr>
        <w:pStyle w:val="NormalNumbering"/>
        <w:numPr>
          <w:ilvl w:val="0"/>
          <w:numId w:val="0"/>
        </w:numPr>
        <w:jc w:val="center"/>
        <w:rPr>
          <w:rFonts w:ascii="Calibri Light" w:hAnsi="Calibri Light"/>
        </w:rPr>
      </w:pPr>
    </w:p>
    <w:p w:rsidR="00A21FC1" w:rsidRDefault="00A21FC1" w:rsidP="00CC50C1">
      <w:pPr>
        <w:pStyle w:val="NormalNumbering"/>
        <w:numPr>
          <w:ilvl w:val="0"/>
          <w:numId w:val="0"/>
        </w:numPr>
        <w:jc w:val="center"/>
        <w:rPr>
          <w:rFonts w:ascii="Calibri Light" w:hAnsi="Calibri Light"/>
        </w:rPr>
      </w:pPr>
    </w:p>
    <w:p w:rsidR="00A21FC1" w:rsidRDefault="00A21FC1" w:rsidP="00CC50C1">
      <w:pPr>
        <w:pStyle w:val="NormalNumbering"/>
        <w:numPr>
          <w:ilvl w:val="0"/>
          <w:numId w:val="0"/>
        </w:numPr>
        <w:jc w:val="center"/>
        <w:rPr>
          <w:rFonts w:ascii="Calibri Light" w:hAnsi="Calibri Light"/>
        </w:rPr>
      </w:pPr>
    </w:p>
    <w:p w:rsidR="00A21FC1" w:rsidRPr="00A21FC1" w:rsidRDefault="00A21FC1" w:rsidP="00CC50C1">
      <w:pPr>
        <w:pStyle w:val="NormalNumbering"/>
        <w:numPr>
          <w:ilvl w:val="0"/>
          <w:numId w:val="0"/>
        </w:numPr>
        <w:jc w:val="center"/>
        <w:rPr>
          <w:rFonts w:ascii="Calibri Light" w:hAnsi="Calibri Light"/>
        </w:rPr>
      </w:pPr>
    </w:p>
    <w:bookmarkEnd w:id="0"/>
    <w:p w:rsidR="00CC50C1" w:rsidRPr="00A21FC1" w:rsidRDefault="00115B75" w:rsidP="00CC50C1">
      <w:pPr>
        <w:pStyle w:val="NormalNumbering"/>
        <w:numPr>
          <w:ilvl w:val="0"/>
          <w:numId w:val="0"/>
        </w:numPr>
        <w:jc w:val="center"/>
        <w:rPr>
          <w:rFonts w:ascii="Calibri Light" w:hAnsi="Calibri Light"/>
          <w:sz w:val="24"/>
          <w:szCs w:val="24"/>
        </w:rPr>
      </w:pPr>
      <w:r>
        <w:rPr>
          <w:rFonts w:ascii="Calibri Light" w:hAnsi="Calibri Light"/>
          <w:sz w:val="24"/>
          <w:szCs w:val="24"/>
        </w:rPr>
        <w:t>June</w:t>
      </w:r>
      <w:r w:rsidR="00AB31FA" w:rsidRPr="00A21FC1">
        <w:rPr>
          <w:rFonts w:ascii="Calibri Light" w:hAnsi="Calibri Light"/>
          <w:sz w:val="24"/>
          <w:szCs w:val="24"/>
        </w:rPr>
        <w:t xml:space="preserve"> 2015</w:t>
      </w:r>
    </w:p>
    <w:p w:rsidR="00CC50C1" w:rsidRPr="00A21FC1" w:rsidRDefault="00CC50C1" w:rsidP="00CC50C1">
      <w:pPr>
        <w:pStyle w:val="NormalNumbering"/>
        <w:numPr>
          <w:ilvl w:val="0"/>
          <w:numId w:val="0"/>
        </w:numPr>
        <w:jc w:val="center"/>
        <w:rPr>
          <w:rFonts w:ascii="Calibri Light" w:hAnsi="Calibri Light"/>
          <w:sz w:val="24"/>
          <w:szCs w:val="24"/>
        </w:rPr>
      </w:pPr>
    </w:p>
    <w:p w:rsidR="00A21FC1" w:rsidRPr="00A21FC1" w:rsidRDefault="00A21FC1" w:rsidP="00CC50C1">
      <w:pPr>
        <w:pStyle w:val="NormalNumbering"/>
        <w:numPr>
          <w:ilvl w:val="0"/>
          <w:numId w:val="0"/>
        </w:numPr>
        <w:jc w:val="center"/>
        <w:rPr>
          <w:rFonts w:ascii="Calibri Light" w:hAnsi="Calibri Light"/>
          <w:sz w:val="24"/>
          <w:szCs w:val="24"/>
        </w:rPr>
      </w:pPr>
    </w:p>
    <w:p w:rsidR="00CC50C1" w:rsidRDefault="00CC50C1" w:rsidP="00CC50C1">
      <w:pPr>
        <w:pStyle w:val="NormalNumbering"/>
        <w:numPr>
          <w:ilvl w:val="0"/>
          <w:numId w:val="0"/>
        </w:numPr>
        <w:jc w:val="center"/>
        <w:rPr>
          <w:rFonts w:ascii="Calibri Light" w:hAnsi="Calibri Light"/>
          <w:sz w:val="24"/>
          <w:szCs w:val="24"/>
        </w:rPr>
      </w:pPr>
    </w:p>
    <w:p w:rsidR="00A21FC1" w:rsidRDefault="00A21FC1" w:rsidP="00CC50C1">
      <w:pPr>
        <w:pStyle w:val="NormalNumbering"/>
        <w:numPr>
          <w:ilvl w:val="0"/>
          <w:numId w:val="0"/>
        </w:numPr>
        <w:jc w:val="center"/>
        <w:rPr>
          <w:rFonts w:ascii="Calibri Light" w:hAnsi="Calibri Light"/>
          <w:sz w:val="24"/>
          <w:szCs w:val="24"/>
        </w:rPr>
      </w:pPr>
    </w:p>
    <w:p w:rsidR="00A21FC1" w:rsidRPr="00A21FC1" w:rsidRDefault="00A21FC1" w:rsidP="00CC50C1">
      <w:pPr>
        <w:pStyle w:val="NormalNumbering"/>
        <w:numPr>
          <w:ilvl w:val="0"/>
          <w:numId w:val="0"/>
        </w:numPr>
        <w:jc w:val="center"/>
        <w:rPr>
          <w:rFonts w:ascii="Calibri Light" w:hAnsi="Calibri Light"/>
          <w:sz w:val="24"/>
          <w:szCs w:val="24"/>
        </w:rPr>
      </w:pPr>
    </w:p>
    <w:p w:rsidR="00CC50C1" w:rsidRPr="00A21FC1" w:rsidRDefault="00CC50C1" w:rsidP="00CC50C1">
      <w:pPr>
        <w:pStyle w:val="NormalNumbering"/>
        <w:numPr>
          <w:ilvl w:val="0"/>
          <w:numId w:val="0"/>
        </w:numPr>
        <w:jc w:val="center"/>
        <w:rPr>
          <w:rFonts w:ascii="Calibri Light" w:hAnsi="Calibri Light"/>
          <w:sz w:val="24"/>
          <w:szCs w:val="24"/>
        </w:rPr>
      </w:pPr>
    </w:p>
    <w:p w:rsidR="00F04408" w:rsidRPr="00A21FC1" w:rsidRDefault="0027116F" w:rsidP="00CF4EEE">
      <w:pPr>
        <w:pStyle w:val="NormalNumbering"/>
        <w:numPr>
          <w:ilvl w:val="0"/>
          <w:numId w:val="0"/>
        </w:numPr>
        <w:jc w:val="right"/>
        <w:rPr>
          <w:rFonts w:ascii="Calibri Light" w:hAnsi="Calibri Light"/>
          <w:sz w:val="26"/>
          <w:szCs w:val="26"/>
        </w:rPr>
      </w:pPr>
      <w:r w:rsidRPr="00A21FC1">
        <w:rPr>
          <w:rFonts w:ascii="Calibri Light" w:hAnsi="Calibri Light"/>
          <w:sz w:val="26"/>
          <w:szCs w:val="26"/>
        </w:rPr>
        <w:t>No. 2014</w:t>
      </w:r>
      <w:r w:rsidR="008F2493" w:rsidRPr="00A21FC1">
        <w:rPr>
          <w:rFonts w:ascii="Calibri Light" w:hAnsi="Calibri Light"/>
          <w:sz w:val="26"/>
          <w:szCs w:val="26"/>
        </w:rPr>
        <w:t>–1</w:t>
      </w:r>
      <w:r w:rsidRPr="00A21FC1">
        <w:rPr>
          <w:rFonts w:ascii="Calibri Light" w:hAnsi="Calibri Light"/>
          <w:sz w:val="26"/>
          <w:szCs w:val="26"/>
        </w:rPr>
        <w:t>5</w:t>
      </w:r>
      <w:r w:rsidR="008F2493" w:rsidRPr="00A21FC1">
        <w:rPr>
          <w:rFonts w:ascii="Calibri Light" w:hAnsi="Calibri Light"/>
          <w:sz w:val="26"/>
          <w:szCs w:val="26"/>
        </w:rPr>
        <w:t>/</w:t>
      </w:r>
      <w:r w:rsidRPr="00A21FC1">
        <w:rPr>
          <w:rFonts w:ascii="Calibri Light" w:hAnsi="Calibri Light"/>
          <w:sz w:val="26"/>
          <w:szCs w:val="26"/>
        </w:rPr>
        <w:t>0</w:t>
      </w:r>
      <w:r w:rsidR="002F518A" w:rsidRPr="00A21FC1">
        <w:rPr>
          <w:rFonts w:ascii="Calibri Light" w:hAnsi="Calibri Light"/>
          <w:sz w:val="26"/>
          <w:szCs w:val="26"/>
        </w:rPr>
        <w:t>7</w:t>
      </w:r>
    </w:p>
    <w:p w:rsidR="00F04408" w:rsidRPr="00A21FC1" w:rsidRDefault="00F04408" w:rsidP="008663FA">
      <w:pPr>
        <w:pStyle w:val="NormalNumbering"/>
        <w:numPr>
          <w:ilvl w:val="0"/>
          <w:numId w:val="0"/>
        </w:numPr>
        <w:jc w:val="center"/>
        <w:rPr>
          <w:rFonts w:ascii="Calibri Light" w:hAnsi="Calibri Light"/>
          <w:sz w:val="26"/>
          <w:szCs w:val="26"/>
        </w:rPr>
        <w:sectPr w:rsidR="00F04408" w:rsidRPr="00A21FC1">
          <w:footerReference w:type="even" r:id="rId9"/>
          <w:footerReference w:type="default" r:id="rId10"/>
          <w:pgSz w:w="11906" w:h="16838"/>
          <w:pgMar w:top="1440" w:right="1800" w:bottom="1440" w:left="1800" w:header="708" w:footer="708" w:gutter="0"/>
          <w:pgNumType w:start="1"/>
          <w:cols w:space="708"/>
          <w:titlePg/>
          <w:docGrid w:linePitch="360"/>
        </w:sectPr>
      </w:pPr>
    </w:p>
    <w:p w:rsidR="000F755B" w:rsidRPr="00A21FC1" w:rsidRDefault="000F755B" w:rsidP="009B417B">
      <w:pPr>
        <w:pStyle w:val="TOCHeading"/>
        <w:pBdr>
          <w:bottom w:val="single" w:sz="4" w:space="1" w:color="auto"/>
        </w:pBdr>
        <w:rPr>
          <w:rFonts w:ascii="Calibri Light" w:hAnsi="Calibri Light"/>
          <w:color w:val="auto"/>
        </w:rPr>
      </w:pPr>
      <w:bookmarkStart w:id="1" w:name="_Toc338227739"/>
      <w:r w:rsidRPr="00A21FC1">
        <w:rPr>
          <w:rFonts w:ascii="Calibri Light" w:hAnsi="Calibri Light"/>
          <w:color w:val="auto"/>
        </w:rPr>
        <w:lastRenderedPageBreak/>
        <w:t>Table of Contents</w:t>
      </w:r>
    </w:p>
    <w:p w:rsidR="009B417B" w:rsidRPr="00A21FC1" w:rsidRDefault="009B417B" w:rsidP="001C3FBD">
      <w:pPr>
        <w:pStyle w:val="TOC2"/>
        <w:rPr>
          <w:rFonts w:ascii="Calibri Light" w:hAnsi="Calibri Light"/>
        </w:rPr>
      </w:pPr>
    </w:p>
    <w:p w:rsidR="00F6683F" w:rsidRPr="00A21FC1" w:rsidRDefault="00F6683F" w:rsidP="00F6683F">
      <w:pPr>
        <w:rPr>
          <w:rFonts w:ascii="Calibri Light" w:hAnsi="Calibri Light"/>
        </w:rPr>
      </w:pPr>
    </w:p>
    <w:p w:rsidR="00F6683F" w:rsidRPr="00A21FC1" w:rsidRDefault="00F6683F" w:rsidP="00F6683F">
      <w:pPr>
        <w:rPr>
          <w:rFonts w:ascii="Calibri Light" w:hAnsi="Calibri Light"/>
        </w:rPr>
      </w:pPr>
    </w:p>
    <w:p w:rsidR="00792C03" w:rsidRDefault="00FB0776" w:rsidP="00792C03">
      <w:pPr>
        <w:pStyle w:val="TOC2"/>
        <w:spacing w:before="120" w:after="240"/>
        <w:rPr>
          <w:rFonts w:eastAsia="Times New Roman"/>
        </w:rPr>
      </w:pPr>
      <w:r w:rsidRPr="00A21FC1">
        <w:rPr>
          <w:rFonts w:ascii="Calibri Light" w:hAnsi="Calibri Light"/>
          <w:sz w:val="36"/>
          <w:szCs w:val="28"/>
        </w:rPr>
        <w:fldChar w:fldCharType="begin"/>
      </w:r>
      <w:r w:rsidR="000F755B" w:rsidRPr="00A21FC1">
        <w:rPr>
          <w:rFonts w:ascii="Calibri Light" w:hAnsi="Calibri Light"/>
          <w:sz w:val="36"/>
          <w:szCs w:val="28"/>
        </w:rPr>
        <w:instrText xml:space="preserve"> TOC \o "1-3" \h \z \u </w:instrText>
      </w:r>
      <w:r w:rsidRPr="00A21FC1">
        <w:rPr>
          <w:rFonts w:ascii="Calibri Light" w:hAnsi="Calibri Light"/>
          <w:sz w:val="36"/>
          <w:szCs w:val="28"/>
        </w:rPr>
        <w:fldChar w:fldCharType="separate"/>
      </w:r>
      <w:hyperlink w:anchor="_Toc421009975" w:history="1">
        <w:r w:rsidR="00792C03" w:rsidRPr="00527071">
          <w:rPr>
            <w:rStyle w:val="Hyperlink"/>
            <w:rFonts w:ascii="Calibri Light" w:hAnsi="Calibri Light"/>
          </w:rPr>
          <w:t>Introduction</w:t>
        </w:r>
        <w:r w:rsidR="00792C03">
          <w:rPr>
            <w:webHidden/>
          </w:rPr>
          <w:tab/>
        </w:r>
        <w:r>
          <w:rPr>
            <w:webHidden/>
          </w:rPr>
          <w:fldChar w:fldCharType="begin"/>
        </w:r>
        <w:r w:rsidR="00792C03">
          <w:rPr>
            <w:webHidden/>
          </w:rPr>
          <w:instrText xml:space="preserve"> PAGEREF _Toc421009975 \h </w:instrText>
        </w:r>
        <w:r>
          <w:rPr>
            <w:webHidden/>
          </w:rPr>
        </w:r>
        <w:r>
          <w:rPr>
            <w:webHidden/>
          </w:rPr>
          <w:fldChar w:fldCharType="separate"/>
        </w:r>
        <w:r w:rsidR="008C4430">
          <w:rPr>
            <w:webHidden/>
          </w:rPr>
          <w:t>3</w:t>
        </w:r>
        <w:r>
          <w:rPr>
            <w:webHidden/>
          </w:rPr>
          <w:fldChar w:fldCharType="end"/>
        </w:r>
      </w:hyperlink>
    </w:p>
    <w:p w:rsidR="00792C03" w:rsidRDefault="00FB0776" w:rsidP="00792C03">
      <w:pPr>
        <w:pStyle w:val="TOC2"/>
        <w:spacing w:before="120" w:after="240"/>
        <w:rPr>
          <w:rFonts w:eastAsia="Times New Roman"/>
        </w:rPr>
      </w:pPr>
      <w:hyperlink w:anchor="_Toc421009976" w:history="1">
        <w:r w:rsidR="00792C03" w:rsidRPr="00527071">
          <w:rPr>
            <w:rStyle w:val="Hyperlink"/>
            <w:rFonts w:ascii="Calibri Light" w:hAnsi="Calibri Light"/>
          </w:rPr>
          <w:t>Background</w:t>
        </w:r>
        <w:r w:rsidR="00792C03">
          <w:rPr>
            <w:webHidden/>
          </w:rPr>
          <w:tab/>
        </w:r>
        <w:r>
          <w:rPr>
            <w:webHidden/>
          </w:rPr>
          <w:fldChar w:fldCharType="begin"/>
        </w:r>
        <w:r w:rsidR="00792C03">
          <w:rPr>
            <w:webHidden/>
          </w:rPr>
          <w:instrText xml:space="preserve"> PAGEREF _Toc421009976 \h </w:instrText>
        </w:r>
        <w:r>
          <w:rPr>
            <w:webHidden/>
          </w:rPr>
        </w:r>
        <w:r>
          <w:rPr>
            <w:webHidden/>
          </w:rPr>
          <w:fldChar w:fldCharType="separate"/>
        </w:r>
        <w:r w:rsidR="008C4430">
          <w:rPr>
            <w:webHidden/>
          </w:rPr>
          <w:t>3</w:t>
        </w:r>
        <w:r>
          <w:rPr>
            <w:webHidden/>
          </w:rPr>
          <w:fldChar w:fldCharType="end"/>
        </w:r>
      </w:hyperlink>
    </w:p>
    <w:p w:rsidR="00792C03" w:rsidRDefault="00FB0776" w:rsidP="00792C03">
      <w:pPr>
        <w:pStyle w:val="TOC2"/>
        <w:spacing w:before="120" w:after="240"/>
        <w:rPr>
          <w:rFonts w:eastAsia="Times New Roman"/>
        </w:rPr>
      </w:pPr>
      <w:hyperlink w:anchor="_Toc421009977" w:history="1">
        <w:r w:rsidR="00792C03" w:rsidRPr="00527071">
          <w:rPr>
            <w:rStyle w:val="Hyperlink"/>
            <w:rFonts w:ascii="Calibri Light" w:hAnsi="Calibri Light"/>
          </w:rPr>
          <w:t>Review objective</w:t>
        </w:r>
        <w:r w:rsidR="00792C03">
          <w:rPr>
            <w:webHidden/>
          </w:rPr>
          <w:tab/>
        </w:r>
        <w:r>
          <w:rPr>
            <w:webHidden/>
          </w:rPr>
          <w:fldChar w:fldCharType="begin"/>
        </w:r>
        <w:r w:rsidR="00792C03">
          <w:rPr>
            <w:webHidden/>
          </w:rPr>
          <w:instrText xml:space="preserve"> PAGEREF _Toc421009977 \h </w:instrText>
        </w:r>
        <w:r>
          <w:rPr>
            <w:webHidden/>
          </w:rPr>
        </w:r>
        <w:r>
          <w:rPr>
            <w:webHidden/>
          </w:rPr>
          <w:fldChar w:fldCharType="separate"/>
        </w:r>
        <w:r w:rsidR="008C4430">
          <w:rPr>
            <w:webHidden/>
          </w:rPr>
          <w:t>3</w:t>
        </w:r>
        <w:r>
          <w:rPr>
            <w:webHidden/>
          </w:rPr>
          <w:fldChar w:fldCharType="end"/>
        </w:r>
      </w:hyperlink>
    </w:p>
    <w:p w:rsidR="00792C03" w:rsidRDefault="00FB0776" w:rsidP="00792C03">
      <w:pPr>
        <w:pStyle w:val="TOC2"/>
        <w:spacing w:before="120" w:after="240"/>
        <w:rPr>
          <w:rFonts w:eastAsia="Times New Roman"/>
        </w:rPr>
      </w:pPr>
      <w:hyperlink w:anchor="_Toc421009978" w:history="1">
        <w:r w:rsidR="00792C03" w:rsidRPr="00527071">
          <w:rPr>
            <w:rStyle w:val="Hyperlink"/>
            <w:rFonts w:ascii="Calibri Light" w:hAnsi="Calibri Light"/>
          </w:rPr>
          <w:t>Scope</w:t>
        </w:r>
        <w:r w:rsidR="00792C03">
          <w:rPr>
            <w:webHidden/>
          </w:rPr>
          <w:tab/>
        </w:r>
        <w:r>
          <w:rPr>
            <w:webHidden/>
          </w:rPr>
          <w:fldChar w:fldCharType="begin"/>
        </w:r>
        <w:r w:rsidR="00792C03">
          <w:rPr>
            <w:webHidden/>
          </w:rPr>
          <w:instrText xml:space="preserve"> PAGEREF _Toc421009978 \h </w:instrText>
        </w:r>
        <w:r>
          <w:rPr>
            <w:webHidden/>
          </w:rPr>
        </w:r>
        <w:r>
          <w:rPr>
            <w:webHidden/>
          </w:rPr>
          <w:fldChar w:fldCharType="separate"/>
        </w:r>
        <w:r w:rsidR="008C4430">
          <w:rPr>
            <w:webHidden/>
          </w:rPr>
          <w:t>3</w:t>
        </w:r>
        <w:r>
          <w:rPr>
            <w:webHidden/>
          </w:rPr>
          <w:fldChar w:fldCharType="end"/>
        </w:r>
      </w:hyperlink>
    </w:p>
    <w:p w:rsidR="00792C03" w:rsidRDefault="00FB0776" w:rsidP="00792C03">
      <w:pPr>
        <w:pStyle w:val="TOC2"/>
        <w:spacing w:before="120" w:after="240"/>
        <w:rPr>
          <w:rFonts w:eastAsia="Times New Roman"/>
        </w:rPr>
      </w:pPr>
      <w:hyperlink w:anchor="_Toc421009979" w:history="1">
        <w:r w:rsidR="00792C03" w:rsidRPr="00527071">
          <w:rPr>
            <w:rStyle w:val="Hyperlink"/>
            <w:rFonts w:ascii="Calibri Light" w:hAnsi="Calibri Light"/>
          </w:rPr>
          <w:t>Methodology</w:t>
        </w:r>
        <w:r w:rsidR="00792C03">
          <w:rPr>
            <w:webHidden/>
          </w:rPr>
          <w:tab/>
        </w:r>
        <w:r>
          <w:rPr>
            <w:webHidden/>
          </w:rPr>
          <w:fldChar w:fldCharType="begin"/>
        </w:r>
        <w:r w:rsidR="00792C03">
          <w:rPr>
            <w:webHidden/>
          </w:rPr>
          <w:instrText xml:space="preserve"> PAGEREF _Toc421009979 \h </w:instrText>
        </w:r>
        <w:r>
          <w:rPr>
            <w:webHidden/>
          </w:rPr>
        </w:r>
        <w:r>
          <w:rPr>
            <w:webHidden/>
          </w:rPr>
          <w:fldChar w:fldCharType="separate"/>
        </w:r>
        <w:r w:rsidR="008C4430">
          <w:rPr>
            <w:webHidden/>
          </w:rPr>
          <w:t>3</w:t>
        </w:r>
        <w:r>
          <w:rPr>
            <w:webHidden/>
          </w:rPr>
          <w:fldChar w:fldCharType="end"/>
        </w:r>
      </w:hyperlink>
    </w:p>
    <w:p w:rsidR="00792C03" w:rsidRDefault="00FB0776" w:rsidP="00792C03">
      <w:pPr>
        <w:pStyle w:val="TOC2"/>
        <w:spacing w:before="120" w:after="240"/>
        <w:rPr>
          <w:rFonts w:eastAsia="Times New Roman"/>
        </w:rPr>
      </w:pPr>
      <w:hyperlink w:anchor="_Toc421009980" w:history="1">
        <w:r w:rsidR="00792C03" w:rsidRPr="00527071">
          <w:rPr>
            <w:rStyle w:val="Hyperlink"/>
            <w:rFonts w:ascii="Calibri Light" w:hAnsi="Calibri Light"/>
          </w:rPr>
          <w:t>Findings</w:t>
        </w:r>
        <w:r w:rsidR="00792C03">
          <w:rPr>
            <w:webHidden/>
          </w:rPr>
          <w:tab/>
        </w:r>
        <w:r>
          <w:rPr>
            <w:webHidden/>
          </w:rPr>
          <w:fldChar w:fldCharType="begin"/>
        </w:r>
        <w:r w:rsidR="00792C03">
          <w:rPr>
            <w:webHidden/>
          </w:rPr>
          <w:instrText xml:space="preserve"> PAGEREF _Toc421009980 \h </w:instrText>
        </w:r>
        <w:r>
          <w:rPr>
            <w:webHidden/>
          </w:rPr>
        </w:r>
        <w:r>
          <w:rPr>
            <w:webHidden/>
          </w:rPr>
          <w:fldChar w:fldCharType="separate"/>
        </w:r>
        <w:r w:rsidR="008C4430">
          <w:rPr>
            <w:webHidden/>
          </w:rPr>
          <w:t>4</w:t>
        </w:r>
        <w:r>
          <w:rPr>
            <w:webHidden/>
          </w:rPr>
          <w:fldChar w:fldCharType="end"/>
        </w:r>
      </w:hyperlink>
    </w:p>
    <w:p w:rsidR="00792C03" w:rsidRDefault="00FB0776" w:rsidP="00792C03">
      <w:pPr>
        <w:pStyle w:val="TOC2"/>
        <w:spacing w:before="120" w:after="240"/>
        <w:rPr>
          <w:rFonts w:eastAsia="Times New Roman"/>
        </w:rPr>
      </w:pPr>
      <w:hyperlink w:anchor="_Toc421009981" w:history="1">
        <w:r w:rsidR="00792C03" w:rsidRPr="00527071">
          <w:rPr>
            <w:rStyle w:val="Hyperlink"/>
            <w:rFonts w:ascii="Calibri Light" w:hAnsi="Calibri Light"/>
          </w:rPr>
          <w:t>Conclusion</w:t>
        </w:r>
        <w:r w:rsidR="00792C03">
          <w:rPr>
            <w:webHidden/>
          </w:rPr>
          <w:tab/>
        </w:r>
        <w:r>
          <w:rPr>
            <w:webHidden/>
          </w:rPr>
          <w:fldChar w:fldCharType="begin"/>
        </w:r>
        <w:r w:rsidR="00792C03">
          <w:rPr>
            <w:webHidden/>
          </w:rPr>
          <w:instrText xml:space="preserve"> PAGEREF _Toc421009981 \h </w:instrText>
        </w:r>
        <w:r>
          <w:rPr>
            <w:webHidden/>
          </w:rPr>
        </w:r>
        <w:r>
          <w:rPr>
            <w:webHidden/>
          </w:rPr>
          <w:fldChar w:fldCharType="separate"/>
        </w:r>
        <w:r w:rsidR="008C4430">
          <w:rPr>
            <w:webHidden/>
          </w:rPr>
          <w:t>5</w:t>
        </w:r>
        <w:r>
          <w:rPr>
            <w:webHidden/>
          </w:rPr>
          <w:fldChar w:fldCharType="end"/>
        </w:r>
      </w:hyperlink>
    </w:p>
    <w:p w:rsidR="00792C03" w:rsidRDefault="00FB0776" w:rsidP="00792C03">
      <w:pPr>
        <w:pStyle w:val="TOC2"/>
        <w:spacing w:before="120" w:after="240"/>
        <w:rPr>
          <w:rFonts w:eastAsia="Times New Roman"/>
        </w:rPr>
      </w:pPr>
      <w:hyperlink w:anchor="_Toc421009982" w:history="1">
        <w:r w:rsidR="00792C03" w:rsidRPr="00527071">
          <w:rPr>
            <w:rStyle w:val="Hyperlink"/>
            <w:rFonts w:ascii="Calibri Light" w:hAnsi="Calibri Light"/>
          </w:rPr>
          <w:t>Next review cycle</w:t>
        </w:r>
        <w:r w:rsidR="00792C03">
          <w:rPr>
            <w:webHidden/>
          </w:rPr>
          <w:tab/>
        </w:r>
        <w:r>
          <w:rPr>
            <w:webHidden/>
          </w:rPr>
          <w:fldChar w:fldCharType="begin"/>
        </w:r>
        <w:r w:rsidR="00792C03">
          <w:rPr>
            <w:webHidden/>
          </w:rPr>
          <w:instrText xml:space="preserve"> PAGEREF _Toc421009982 \h </w:instrText>
        </w:r>
        <w:r>
          <w:rPr>
            <w:webHidden/>
          </w:rPr>
        </w:r>
        <w:r>
          <w:rPr>
            <w:webHidden/>
          </w:rPr>
          <w:fldChar w:fldCharType="separate"/>
        </w:r>
        <w:r w:rsidR="008C4430">
          <w:rPr>
            <w:webHidden/>
          </w:rPr>
          <w:t>5</w:t>
        </w:r>
        <w:r>
          <w:rPr>
            <w:webHidden/>
          </w:rPr>
          <w:fldChar w:fldCharType="end"/>
        </w:r>
      </w:hyperlink>
    </w:p>
    <w:p w:rsidR="00792C03" w:rsidRDefault="00FB0776" w:rsidP="00792C03">
      <w:pPr>
        <w:pStyle w:val="TOC2"/>
        <w:spacing w:before="120" w:after="240"/>
        <w:rPr>
          <w:rFonts w:eastAsia="Times New Roman"/>
        </w:rPr>
      </w:pPr>
      <w:hyperlink w:anchor="_Toc421009983" w:history="1">
        <w:r w:rsidR="00792C03" w:rsidRPr="00527071">
          <w:rPr>
            <w:rStyle w:val="Hyperlink"/>
            <w:rFonts w:ascii="Calibri Light" w:hAnsi="Calibri Light"/>
          </w:rPr>
          <w:t>Attachment A</w:t>
        </w:r>
        <w:r w:rsidR="00792C03">
          <w:rPr>
            <w:webHidden/>
          </w:rPr>
          <w:tab/>
        </w:r>
        <w:r>
          <w:rPr>
            <w:webHidden/>
          </w:rPr>
          <w:fldChar w:fldCharType="begin"/>
        </w:r>
        <w:r w:rsidR="00792C03">
          <w:rPr>
            <w:webHidden/>
          </w:rPr>
          <w:instrText xml:space="preserve"> PAGEREF _Toc421009983 \h </w:instrText>
        </w:r>
        <w:r>
          <w:rPr>
            <w:webHidden/>
          </w:rPr>
        </w:r>
        <w:r>
          <w:rPr>
            <w:webHidden/>
          </w:rPr>
          <w:fldChar w:fldCharType="separate"/>
        </w:r>
        <w:r w:rsidR="008C4430">
          <w:rPr>
            <w:webHidden/>
          </w:rPr>
          <w:t>6</w:t>
        </w:r>
        <w:r>
          <w:rPr>
            <w:webHidden/>
          </w:rPr>
          <w:fldChar w:fldCharType="end"/>
        </w:r>
      </w:hyperlink>
    </w:p>
    <w:p w:rsidR="00792C03" w:rsidRDefault="00FB0776" w:rsidP="00792C03">
      <w:pPr>
        <w:pStyle w:val="TOC2"/>
        <w:spacing w:before="120" w:after="240"/>
        <w:rPr>
          <w:rFonts w:eastAsia="Times New Roman"/>
        </w:rPr>
      </w:pPr>
      <w:hyperlink w:anchor="_Toc421009984" w:history="1">
        <w:r w:rsidR="00792C03" w:rsidRPr="00527071">
          <w:rPr>
            <w:rStyle w:val="Hyperlink"/>
            <w:rFonts w:ascii="Calibri Light" w:hAnsi="Calibri Light"/>
          </w:rPr>
          <w:t>Attachment B</w:t>
        </w:r>
        <w:r w:rsidR="00792C03">
          <w:rPr>
            <w:webHidden/>
          </w:rPr>
          <w:tab/>
        </w:r>
        <w:r>
          <w:rPr>
            <w:webHidden/>
          </w:rPr>
          <w:fldChar w:fldCharType="begin"/>
        </w:r>
        <w:r w:rsidR="00792C03">
          <w:rPr>
            <w:webHidden/>
          </w:rPr>
          <w:instrText xml:space="preserve"> PAGEREF _Toc421009984 \h </w:instrText>
        </w:r>
        <w:r>
          <w:rPr>
            <w:webHidden/>
          </w:rPr>
        </w:r>
        <w:r>
          <w:rPr>
            <w:webHidden/>
          </w:rPr>
          <w:fldChar w:fldCharType="separate"/>
        </w:r>
        <w:r w:rsidR="008C4430">
          <w:rPr>
            <w:webHidden/>
          </w:rPr>
          <w:t>16</w:t>
        </w:r>
        <w:r>
          <w:rPr>
            <w:webHidden/>
          </w:rPr>
          <w:fldChar w:fldCharType="end"/>
        </w:r>
      </w:hyperlink>
    </w:p>
    <w:p w:rsidR="00792C03" w:rsidRDefault="00FB0776" w:rsidP="00792C03">
      <w:pPr>
        <w:pStyle w:val="TOC2"/>
        <w:spacing w:before="120" w:after="240"/>
        <w:rPr>
          <w:rFonts w:eastAsia="Times New Roman"/>
        </w:rPr>
      </w:pPr>
      <w:hyperlink w:anchor="_Toc421009985" w:history="1">
        <w:r w:rsidR="00792C03" w:rsidRPr="00527071">
          <w:rPr>
            <w:rStyle w:val="Hyperlink"/>
            <w:rFonts w:ascii="Calibri Light" w:hAnsi="Calibri Light"/>
          </w:rPr>
          <w:t>Acronyms/Abbreviations</w:t>
        </w:r>
        <w:r w:rsidR="00792C03">
          <w:rPr>
            <w:webHidden/>
          </w:rPr>
          <w:tab/>
        </w:r>
        <w:r>
          <w:rPr>
            <w:webHidden/>
          </w:rPr>
          <w:fldChar w:fldCharType="begin"/>
        </w:r>
        <w:r w:rsidR="00792C03">
          <w:rPr>
            <w:webHidden/>
          </w:rPr>
          <w:instrText xml:space="preserve"> PAGEREF _Toc421009985 \h </w:instrText>
        </w:r>
        <w:r>
          <w:rPr>
            <w:webHidden/>
          </w:rPr>
        </w:r>
        <w:r>
          <w:rPr>
            <w:webHidden/>
          </w:rPr>
          <w:fldChar w:fldCharType="separate"/>
        </w:r>
        <w:r w:rsidR="008C4430">
          <w:rPr>
            <w:webHidden/>
          </w:rPr>
          <w:t>18</w:t>
        </w:r>
        <w:r>
          <w:rPr>
            <w:webHidden/>
          </w:rPr>
          <w:fldChar w:fldCharType="end"/>
        </w:r>
      </w:hyperlink>
    </w:p>
    <w:p w:rsidR="007B4A71" w:rsidRPr="00A21FC1" w:rsidRDefault="00FB0776" w:rsidP="00792C03">
      <w:pPr>
        <w:spacing w:before="120" w:after="240"/>
        <w:rPr>
          <w:rFonts w:ascii="Calibri Light" w:hAnsi="Calibri Light"/>
        </w:rPr>
      </w:pPr>
      <w:r w:rsidRPr="00A21FC1">
        <w:rPr>
          <w:rFonts w:ascii="Calibri Light" w:hAnsi="Calibri Light"/>
          <w:sz w:val="36"/>
          <w:szCs w:val="28"/>
        </w:rPr>
        <w:fldChar w:fldCharType="end"/>
      </w:r>
    </w:p>
    <w:bookmarkEnd w:id="1"/>
    <w:p w:rsidR="00DD4845" w:rsidRPr="00A21FC1" w:rsidRDefault="00CD2B8F" w:rsidP="00FB565E">
      <w:pPr>
        <w:pStyle w:val="Heading2"/>
        <w:spacing w:before="160"/>
        <w:rPr>
          <w:rFonts w:ascii="Calibri Light" w:hAnsi="Calibri Light"/>
        </w:rPr>
      </w:pPr>
      <w:r w:rsidRPr="00A21FC1">
        <w:rPr>
          <w:rFonts w:ascii="Calibri Light" w:hAnsi="Calibri Light"/>
        </w:rPr>
        <w:br w:type="page"/>
      </w:r>
      <w:bookmarkStart w:id="2" w:name="_Toc421009975"/>
      <w:r w:rsidR="00DD4845" w:rsidRPr="00A21FC1">
        <w:rPr>
          <w:rFonts w:ascii="Calibri Light" w:hAnsi="Calibri Light"/>
        </w:rPr>
        <w:lastRenderedPageBreak/>
        <w:t>Introduction</w:t>
      </w:r>
      <w:bookmarkEnd w:id="2"/>
    </w:p>
    <w:p w:rsidR="00DD4845" w:rsidRPr="0078120B" w:rsidRDefault="004E52D3" w:rsidP="00FB565E">
      <w:pPr>
        <w:pStyle w:val="NormalNumbering"/>
        <w:numPr>
          <w:ilvl w:val="0"/>
          <w:numId w:val="2"/>
        </w:numPr>
        <w:spacing w:before="40" w:after="40"/>
        <w:ind w:left="0" w:firstLine="0"/>
        <w:rPr>
          <w:rFonts w:ascii="Calibri Light" w:hAnsi="Calibri Light"/>
          <w:szCs w:val="26"/>
        </w:rPr>
      </w:pPr>
      <w:r w:rsidRPr="0078120B">
        <w:rPr>
          <w:rFonts w:ascii="Calibri Light" w:hAnsi="Calibri Light"/>
          <w:szCs w:val="26"/>
        </w:rPr>
        <w:t>The Interim Inspector-General of Biosecuri</w:t>
      </w:r>
      <w:r w:rsidR="00B25A0C" w:rsidRPr="0078120B">
        <w:rPr>
          <w:rFonts w:ascii="Calibri Light" w:hAnsi="Calibri Light"/>
          <w:szCs w:val="26"/>
        </w:rPr>
        <w:t>ty (IIGB) 2014-15 work program</w:t>
      </w:r>
      <w:r w:rsidRPr="0078120B">
        <w:rPr>
          <w:rFonts w:ascii="Calibri Light" w:hAnsi="Calibri Light"/>
          <w:szCs w:val="26"/>
        </w:rPr>
        <w:t xml:space="preserve"> includes a review to </w:t>
      </w:r>
      <w:r w:rsidR="00E715F1" w:rsidRPr="0078120B">
        <w:rPr>
          <w:rFonts w:ascii="Calibri Light" w:hAnsi="Calibri Light"/>
          <w:szCs w:val="26"/>
        </w:rPr>
        <w:t>assess the</w:t>
      </w:r>
      <w:r w:rsidRPr="0078120B">
        <w:rPr>
          <w:rFonts w:ascii="Calibri Light" w:hAnsi="Calibri Light"/>
          <w:szCs w:val="26"/>
        </w:rPr>
        <w:t xml:space="preserve"> actions taken </w:t>
      </w:r>
      <w:r w:rsidR="00E715F1" w:rsidRPr="0078120B">
        <w:rPr>
          <w:rFonts w:ascii="Calibri Light" w:hAnsi="Calibri Light"/>
          <w:szCs w:val="26"/>
        </w:rPr>
        <w:t xml:space="preserve">by the Department of Agriculture (the department) </w:t>
      </w:r>
      <w:r w:rsidRPr="0078120B">
        <w:rPr>
          <w:rFonts w:ascii="Calibri Light" w:hAnsi="Calibri Light"/>
          <w:szCs w:val="26"/>
        </w:rPr>
        <w:t>to address recommendations included in previous</w:t>
      </w:r>
      <w:r w:rsidR="006A2D28" w:rsidRPr="0078120B">
        <w:rPr>
          <w:rFonts w:ascii="Calibri Light" w:hAnsi="Calibri Light"/>
          <w:szCs w:val="26"/>
        </w:rPr>
        <w:t xml:space="preserve"> IIGB audits and reviews.</w:t>
      </w:r>
    </w:p>
    <w:p w:rsidR="00F04408" w:rsidRPr="00A21FC1" w:rsidRDefault="002F7C1F" w:rsidP="00FB565E">
      <w:pPr>
        <w:pStyle w:val="Heading2"/>
        <w:spacing w:before="160"/>
        <w:rPr>
          <w:rFonts w:ascii="Calibri Light" w:hAnsi="Calibri Light"/>
        </w:rPr>
      </w:pPr>
      <w:bookmarkStart w:id="3" w:name="_Toc421009976"/>
      <w:r w:rsidRPr="00A21FC1">
        <w:rPr>
          <w:rFonts w:ascii="Calibri Light" w:hAnsi="Calibri Light"/>
        </w:rPr>
        <w:t>Background</w:t>
      </w:r>
      <w:bookmarkEnd w:id="3"/>
    </w:p>
    <w:p w:rsidR="00B83879" w:rsidRPr="00300B8F" w:rsidRDefault="00B83879" w:rsidP="00FB565E">
      <w:pPr>
        <w:pStyle w:val="NormalNumbering"/>
        <w:numPr>
          <w:ilvl w:val="0"/>
          <w:numId w:val="2"/>
        </w:numPr>
        <w:spacing w:before="40" w:after="40"/>
        <w:ind w:left="0" w:firstLine="0"/>
        <w:rPr>
          <w:rFonts w:ascii="Calibri Light" w:hAnsi="Calibri Light"/>
          <w:szCs w:val="26"/>
        </w:rPr>
      </w:pPr>
      <w:bookmarkStart w:id="4" w:name="_Toc338227740"/>
      <w:r w:rsidRPr="0078120B">
        <w:rPr>
          <w:rFonts w:ascii="Calibri Light" w:hAnsi="Calibri Light"/>
          <w:szCs w:val="26"/>
        </w:rPr>
        <w:t>In July 2009,</w:t>
      </w:r>
      <w:r w:rsidR="004700AB" w:rsidRPr="0078120B">
        <w:rPr>
          <w:rFonts w:ascii="Calibri Light" w:hAnsi="Calibri Light"/>
          <w:szCs w:val="26"/>
        </w:rPr>
        <w:t xml:space="preserve"> the Australian Government appointed an I</w:t>
      </w:r>
      <w:r w:rsidR="004E52D3" w:rsidRPr="0078120B">
        <w:rPr>
          <w:rFonts w:ascii="Calibri Light" w:hAnsi="Calibri Light"/>
          <w:szCs w:val="26"/>
        </w:rPr>
        <w:t xml:space="preserve">IGB to </w:t>
      </w:r>
      <w:r w:rsidR="002E4C8E" w:rsidRPr="0078120B">
        <w:rPr>
          <w:rFonts w:ascii="Calibri Light" w:hAnsi="Calibri Light"/>
          <w:szCs w:val="26"/>
        </w:rPr>
        <w:t xml:space="preserve">enhance the integrity of Australia’s biosecurity systems through the independent evaluation and verification of the performance of these programs across the biosecurity continuum – pre-border, border and post-border. </w:t>
      </w:r>
      <w:r w:rsidR="004412C5">
        <w:rPr>
          <w:rFonts w:ascii="Calibri Light" w:hAnsi="Calibri Light"/>
          <w:szCs w:val="26"/>
        </w:rPr>
        <w:t>IIGB recommendations generally aim to address risks to the successful delivery of biosecurity programs, services or functions</w:t>
      </w:r>
      <w:r w:rsidR="00C840C2">
        <w:rPr>
          <w:rFonts w:ascii="Calibri Light" w:hAnsi="Calibri Light"/>
          <w:szCs w:val="26"/>
        </w:rPr>
        <w:t xml:space="preserve">. </w:t>
      </w:r>
      <w:r w:rsidR="00BC03AB">
        <w:rPr>
          <w:rFonts w:ascii="Calibri Light" w:hAnsi="Calibri Light"/>
          <w:szCs w:val="26"/>
        </w:rPr>
        <w:t>While the department is not compelled to accept or implement the IIGB recommendations</w:t>
      </w:r>
      <w:r w:rsidR="00A11303">
        <w:rPr>
          <w:rFonts w:ascii="Calibri Light" w:hAnsi="Calibri Light"/>
          <w:szCs w:val="26"/>
        </w:rPr>
        <w:t xml:space="preserve">, </w:t>
      </w:r>
      <w:r w:rsidR="00B8006D">
        <w:rPr>
          <w:rFonts w:ascii="Calibri Light" w:hAnsi="Calibri Light"/>
          <w:szCs w:val="26"/>
        </w:rPr>
        <w:t xml:space="preserve">since 2009, </w:t>
      </w:r>
      <w:r w:rsidR="00A11303">
        <w:rPr>
          <w:rFonts w:ascii="Calibri Light" w:hAnsi="Calibri Light"/>
          <w:szCs w:val="26"/>
        </w:rPr>
        <w:t xml:space="preserve">the </w:t>
      </w:r>
      <w:r w:rsidR="00C3651E">
        <w:rPr>
          <w:rFonts w:ascii="Calibri Light" w:hAnsi="Calibri Light"/>
          <w:szCs w:val="26"/>
        </w:rPr>
        <w:t>majo</w:t>
      </w:r>
      <w:r w:rsidR="00AC189A">
        <w:rPr>
          <w:rFonts w:ascii="Calibri Light" w:hAnsi="Calibri Light"/>
          <w:szCs w:val="26"/>
        </w:rPr>
        <w:t xml:space="preserve">rity of recommendations </w:t>
      </w:r>
      <w:r w:rsidR="00AC189A" w:rsidRPr="00300B8F">
        <w:rPr>
          <w:rFonts w:ascii="Calibri Light" w:hAnsi="Calibri Light"/>
          <w:szCs w:val="26"/>
        </w:rPr>
        <w:t>(</w:t>
      </w:r>
      <w:r w:rsidR="00300B8F" w:rsidRPr="00300B8F">
        <w:rPr>
          <w:rFonts w:ascii="Calibri Light" w:hAnsi="Calibri Light"/>
          <w:szCs w:val="26"/>
        </w:rPr>
        <w:t>96</w:t>
      </w:r>
      <w:r w:rsidR="00C3651E" w:rsidRPr="00300B8F">
        <w:rPr>
          <w:rFonts w:ascii="Calibri Light" w:hAnsi="Calibri Light"/>
          <w:szCs w:val="26"/>
        </w:rPr>
        <w:t xml:space="preserve"> per cent) have been agreed or agreed with some qualification.</w:t>
      </w:r>
    </w:p>
    <w:p w:rsidR="00DD4845" w:rsidRPr="00A21FC1" w:rsidRDefault="00AB31FA" w:rsidP="00FB565E">
      <w:pPr>
        <w:pStyle w:val="Heading2"/>
        <w:spacing w:before="160"/>
        <w:rPr>
          <w:rFonts w:ascii="Calibri Light" w:hAnsi="Calibri Light"/>
        </w:rPr>
      </w:pPr>
      <w:bookmarkStart w:id="5" w:name="_Toc421009977"/>
      <w:bookmarkEnd w:id="4"/>
      <w:r w:rsidRPr="00A21FC1">
        <w:rPr>
          <w:rFonts w:ascii="Calibri Light" w:hAnsi="Calibri Light"/>
        </w:rPr>
        <w:t>Review</w:t>
      </w:r>
      <w:r w:rsidR="00DD4845" w:rsidRPr="00A21FC1">
        <w:rPr>
          <w:rFonts w:ascii="Calibri Light" w:hAnsi="Calibri Light"/>
        </w:rPr>
        <w:t xml:space="preserve"> objective</w:t>
      </w:r>
      <w:bookmarkEnd w:id="5"/>
    </w:p>
    <w:p w:rsidR="00E715F1" w:rsidRPr="0078120B" w:rsidRDefault="00E715F1" w:rsidP="00FB565E">
      <w:pPr>
        <w:pStyle w:val="NormalNumbering"/>
        <w:numPr>
          <w:ilvl w:val="0"/>
          <w:numId w:val="2"/>
        </w:numPr>
        <w:spacing w:before="40" w:after="40"/>
        <w:ind w:left="0" w:firstLine="0"/>
        <w:rPr>
          <w:rFonts w:ascii="Calibri Light" w:hAnsi="Calibri Light"/>
          <w:szCs w:val="26"/>
        </w:rPr>
      </w:pPr>
      <w:r w:rsidRPr="0078120B">
        <w:rPr>
          <w:rFonts w:ascii="Calibri Light" w:hAnsi="Calibri Light"/>
          <w:szCs w:val="26"/>
        </w:rPr>
        <w:t xml:space="preserve">The objective of this </w:t>
      </w:r>
      <w:r w:rsidR="00AB31FA" w:rsidRPr="0078120B">
        <w:rPr>
          <w:rFonts w:ascii="Calibri Light" w:hAnsi="Calibri Light"/>
          <w:szCs w:val="26"/>
        </w:rPr>
        <w:t>review</w:t>
      </w:r>
      <w:r w:rsidRPr="0078120B">
        <w:rPr>
          <w:rFonts w:ascii="Calibri Light" w:hAnsi="Calibri Light"/>
          <w:szCs w:val="26"/>
        </w:rPr>
        <w:t xml:space="preserve"> was to assess the actions taken </w:t>
      </w:r>
      <w:r w:rsidR="00AB31FA" w:rsidRPr="0078120B">
        <w:rPr>
          <w:rFonts w:ascii="Calibri Light" w:hAnsi="Calibri Light"/>
          <w:szCs w:val="26"/>
        </w:rPr>
        <w:t xml:space="preserve">by the department </w:t>
      </w:r>
      <w:r w:rsidRPr="0078120B">
        <w:rPr>
          <w:rFonts w:ascii="Calibri Light" w:hAnsi="Calibri Light"/>
          <w:szCs w:val="26"/>
        </w:rPr>
        <w:t xml:space="preserve">to </w:t>
      </w:r>
      <w:r w:rsidR="00AB31FA" w:rsidRPr="0078120B">
        <w:rPr>
          <w:rFonts w:ascii="Calibri Light" w:hAnsi="Calibri Light"/>
          <w:szCs w:val="26"/>
        </w:rPr>
        <w:t>implement</w:t>
      </w:r>
      <w:r w:rsidRPr="0078120B">
        <w:rPr>
          <w:rFonts w:ascii="Calibri Light" w:hAnsi="Calibri Light"/>
          <w:szCs w:val="26"/>
        </w:rPr>
        <w:t xml:space="preserve"> recommendations </w:t>
      </w:r>
      <w:r w:rsidR="00AB31FA" w:rsidRPr="0078120B">
        <w:rPr>
          <w:rFonts w:ascii="Calibri Light" w:hAnsi="Calibri Light"/>
          <w:szCs w:val="26"/>
        </w:rPr>
        <w:t>generated by</w:t>
      </w:r>
      <w:r w:rsidRPr="0078120B">
        <w:rPr>
          <w:rFonts w:ascii="Calibri Light" w:hAnsi="Calibri Light"/>
          <w:szCs w:val="26"/>
        </w:rPr>
        <w:t xml:space="preserve"> previous IIGB and Interim Inspector-General of Horse Importation (IIGHI) audits and reviews. </w:t>
      </w:r>
    </w:p>
    <w:p w:rsidR="00BD416B" w:rsidRPr="00A21FC1" w:rsidRDefault="00BD416B" w:rsidP="00FB565E">
      <w:pPr>
        <w:pStyle w:val="Heading2"/>
        <w:spacing w:before="160"/>
        <w:rPr>
          <w:rFonts w:ascii="Calibri Light" w:hAnsi="Calibri Light"/>
        </w:rPr>
      </w:pPr>
      <w:bookmarkStart w:id="6" w:name="_Toc421009978"/>
      <w:r w:rsidRPr="00A21FC1">
        <w:rPr>
          <w:rFonts w:ascii="Calibri Light" w:hAnsi="Calibri Light"/>
        </w:rPr>
        <w:t>Scope</w:t>
      </w:r>
      <w:bookmarkEnd w:id="6"/>
    </w:p>
    <w:p w:rsidR="006A2A6B" w:rsidRPr="0078120B" w:rsidRDefault="00AB31FA" w:rsidP="00FB565E">
      <w:pPr>
        <w:pStyle w:val="NormalNumbering"/>
        <w:numPr>
          <w:ilvl w:val="0"/>
          <w:numId w:val="2"/>
        </w:numPr>
        <w:spacing w:before="40" w:after="40"/>
        <w:ind w:left="0" w:firstLine="0"/>
        <w:rPr>
          <w:rFonts w:ascii="Calibri Light" w:hAnsi="Calibri Light"/>
          <w:szCs w:val="26"/>
        </w:rPr>
      </w:pPr>
      <w:r w:rsidRPr="0078120B">
        <w:rPr>
          <w:rFonts w:ascii="Calibri Light" w:hAnsi="Calibri Light"/>
          <w:szCs w:val="26"/>
        </w:rPr>
        <w:t xml:space="preserve">The scope </w:t>
      </w:r>
      <w:r w:rsidR="009E05EE" w:rsidRPr="0078120B">
        <w:rPr>
          <w:rFonts w:ascii="Calibri Light" w:hAnsi="Calibri Light"/>
          <w:szCs w:val="26"/>
        </w:rPr>
        <w:t>wa</w:t>
      </w:r>
      <w:r w:rsidRPr="0078120B">
        <w:rPr>
          <w:rFonts w:ascii="Calibri Light" w:hAnsi="Calibri Light"/>
          <w:szCs w:val="26"/>
        </w:rPr>
        <w:t>s to r</w:t>
      </w:r>
      <w:r w:rsidR="009923F5" w:rsidRPr="0078120B">
        <w:rPr>
          <w:rFonts w:ascii="Calibri Light" w:hAnsi="Calibri Light"/>
          <w:szCs w:val="26"/>
        </w:rPr>
        <w:t xml:space="preserve">eview and assess the adequacy of actions taken and recorded in </w:t>
      </w:r>
      <w:r w:rsidR="00B94CA2" w:rsidRPr="0078120B">
        <w:rPr>
          <w:rFonts w:ascii="Calibri Light" w:hAnsi="Calibri Light"/>
          <w:szCs w:val="26"/>
        </w:rPr>
        <w:t xml:space="preserve">the department’s </w:t>
      </w:r>
      <w:r w:rsidR="009E05EE" w:rsidRPr="0078120B">
        <w:rPr>
          <w:rFonts w:ascii="Calibri Light" w:hAnsi="Calibri Light"/>
          <w:szCs w:val="26"/>
        </w:rPr>
        <w:t xml:space="preserve">internal </w:t>
      </w:r>
      <w:r w:rsidR="00B94CA2" w:rsidRPr="0078120B">
        <w:rPr>
          <w:rFonts w:ascii="Calibri Light" w:hAnsi="Calibri Light"/>
          <w:szCs w:val="26"/>
        </w:rPr>
        <w:t>database (eTRAC)</w:t>
      </w:r>
      <w:r w:rsidRPr="0078120B">
        <w:rPr>
          <w:rFonts w:ascii="Calibri Light" w:hAnsi="Calibri Light"/>
          <w:szCs w:val="26"/>
        </w:rPr>
        <w:t>,</w:t>
      </w:r>
      <w:r w:rsidR="009923F5" w:rsidRPr="0078120B">
        <w:rPr>
          <w:rFonts w:ascii="Calibri Light" w:hAnsi="Calibri Light"/>
          <w:szCs w:val="26"/>
        </w:rPr>
        <w:t xml:space="preserve"> where the department has marked </w:t>
      </w:r>
      <w:r w:rsidRPr="0078120B">
        <w:rPr>
          <w:rFonts w:ascii="Calibri Light" w:hAnsi="Calibri Light"/>
          <w:szCs w:val="26"/>
        </w:rPr>
        <w:t>implementation of a</w:t>
      </w:r>
      <w:r w:rsidR="009923F5" w:rsidRPr="0078120B">
        <w:rPr>
          <w:rFonts w:ascii="Calibri Light" w:hAnsi="Calibri Light"/>
          <w:szCs w:val="26"/>
        </w:rPr>
        <w:t xml:space="preserve"> recommendation as </w:t>
      </w:r>
      <w:r w:rsidRPr="0078120B">
        <w:rPr>
          <w:rFonts w:ascii="Calibri Light" w:hAnsi="Calibri Light"/>
          <w:szCs w:val="26"/>
        </w:rPr>
        <w:t>‘</w:t>
      </w:r>
      <w:r w:rsidR="009923F5" w:rsidRPr="0078120B">
        <w:rPr>
          <w:rFonts w:ascii="Calibri Light" w:hAnsi="Calibri Light"/>
          <w:szCs w:val="26"/>
        </w:rPr>
        <w:t>complete</w:t>
      </w:r>
      <w:r w:rsidRPr="0078120B">
        <w:rPr>
          <w:rFonts w:ascii="Calibri Light" w:hAnsi="Calibri Light"/>
          <w:szCs w:val="26"/>
        </w:rPr>
        <w:t>’</w:t>
      </w:r>
      <w:r w:rsidR="009923F5" w:rsidRPr="0078120B">
        <w:rPr>
          <w:rFonts w:ascii="Calibri Light" w:hAnsi="Calibri Light"/>
          <w:szCs w:val="26"/>
        </w:rPr>
        <w:t>.</w:t>
      </w:r>
      <w:r w:rsidR="006A2A6B" w:rsidRPr="0078120B">
        <w:rPr>
          <w:rFonts w:ascii="Calibri Light" w:hAnsi="Calibri Light"/>
          <w:szCs w:val="26"/>
        </w:rPr>
        <w:t xml:space="preserve"> </w:t>
      </w:r>
    </w:p>
    <w:p w:rsidR="006A2A6B" w:rsidRPr="0078120B" w:rsidRDefault="006A2A6B" w:rsidP="00FB565E">
      <w:pPr>
        <w:pStyle w:val="NormalNumbering"/>
        <w:numPr>
          <w:ilvl w:val="0"/>
          <w:numId w:val="2"/>
        </w:numPr>
        <w:spacing w:before="40" w:after="40"/>
        <w:ind w:left="0" w:firstLine="0"/>
        <w:rPr>
          <w:rFonts w:ascii="Calibri Light" w:hAnsi="Calibri Light"/>
          <w:szCs w:val="26"/>
        </w:rPr>
      </w:pPr>
      <w:r w:rsidRPr="0078120B">
        <w:rPr>
          <w:rFonts w:ascii="Calibri Light" w:hAnsi="Calibri Light"/>
          <w:szCs w:val="26"/>
        </w:rPr>
        <w:t xml:space="preserve">All recommendations included in completed IIGB reports are recorded in </w:t>
      </w:r>
      <w:r w:rsidR="00B94CA2" w:rsidRPr="0078120B">
        <w:rPr>
          <w:rFonts w:ascii="Calibri Light" w:hAnsi="Calibri Light"/>
          <w:szCs w:val="26"/>
        </w:rPr>
        <w:t>eTRAC,</w:t>
      </w:r>
      <w:r w:rsidR="00B94CA2" w:rsidRPr="0078120B" w:rsidDel="00B94CA2">
        <w:rPr>
          <w:rFonts w:ascii="Calibri Light" w:hAnsi="Calibri Light"/>
          <w:szCs w:val="26"/>
        </w:rPr>
        <w:t xml:space="preserve"> </w:t>
      </w:r>
      <w:r w:rsidR="0055774F" w:rsidRPr="0078120B">
        <w:rPr>
          <w:rFonts w:ascii="Calibri Light" w:hAnsi="Calibri Light"/>
          <w:szCs w:val="26"/>
        </w:rPr>
        <w:t xml:space="preserve">which is </w:t>
      </w:r>
      <w:r w:rsidRPr="0078120B">
        <w:rPr>
          <w:rFonts w:ascii="Calibri Light" w:hAnsi="Calibri Light"/>
          <w:szCs w:val="26"/>
        </w:rPr>
        <w:t xml:space="preserve">used to track and update progress on the department’s high-level actions and decisions. </w:t>
      </w:r>
    </w:p>
    <w:p w:rsidR="009923F5" w:rsidRPr="0078120B" w:rsidRDefault="006A2A6B" w:rsidP="00FB565E">
      <w:pPr>
        <w:pStyle w:val="NormalNumbering"/>
        <w:numPr>
          <w:ilvl w:val="0"/>
          <w:numId w:val="2"/>
        </w:numPr>
        <w:spacing w:before="40" w:after="40"/>
        <w:ind w:left="0" w:firstLine="0"/>
        <w:rPr>
          <w:rFonts w:ascii="Calibri Light" w:hAnsi="Calibri Light"/>
          <w:szCs w:val="26"/>
        </w:rPr>
      </w:pPr>
      <w:r w:rsidRPr="0078120B">
        <w:rPr>
          <w:rFonts w:ascii="Calibri Light" w:hAnsi="Calibri Light"/>
          <w:szCs w:val="26"/>
        </w:rPr>
        <w:t>As at 29 August 2014, eTRAC</w:t>
      </w:r>
      <w:r w:rsidR="00AE6B3F" w:rsidRPr="0078120B">
        <w:rPr>
          <w:rFonts w:ascii="Calibri Light" w:hAnsi="Calibri Light"/>
          <w:szCs w:val="26"/>
        </w:rPr>
        <w:t xml:space="preserve"> contained 95</w:t>
      </w:r>
      <w:r w:rsidRPr="0078120B">
        <w:rPr>
          <w:rFonts w:ascii="Calibri Light" w:hAnsi="Calibri Light"/>
          <w:szCs w:val="26"/>
        </w:rPr>
        <w:t xml:space="preserve"> recommendations marked</w:t>
      </w:r>
      <w:r w:rsidR="003C27FF" w:rsidRPr="0078120B">
        <w:rPr>
          <w:rFonts w:ascii="Calibri Light" w:hAnsi="Calibri Light"/>
          <w:szCs w:val="26"/>
        </w:rPr>
        <w:t xml:space="preserve"> as</w:t>
      </w:r>
      <w:r w:rsidRPr="0078120B">
        <w:rPr>
          <w:rFonts w:ascii="Calibri Light" w:hAnsi="Calibri Light"/>
          <w:szCs w:val="26"/>
        </w:rPr>
        <w:t xml:space="preserve"> </w:t>
      </w:r>
      <w:r w:rsidR="003C27FF" w:rsidRPr="0078120B">
        <w:rPr>
          <w:rFonts w:ascii="Calibri Light" w:hAnsi="Calibri Light"/>
          <w:szCs w:val="26"/>
        </w:rPr>
        <w:t>‘</w:t>
      </w:r>
      <w:r w:rsidRPr="0078120B">
        <w:rPr>
          <w:rFonts w:ascii="Calibri Light" w:hAnsi="Calibri Light"/>
          <w:szCs w:val="26"/>
        </w:rPr>
        <w:t>complete</w:t>
      </w:r>
      <w:r w:rsidR="003C27FF" w:rsidRPr="0078120B">
        <w:rPr>
          <w:rFonts w:ascii="Calibri Light" w:hAnsi="Calibri Light"/>
          <w:szCs w:val="26"/>
        </w:rPr>
        <w:t>’</w:t>
      </w:r>
      <w:r w:rsidR="0055774F" w:rsidRPr="0078120B">
        <w:rPr>
          <w:rFonts w:ascii="Calibri Light" w:hAnsi="Calibri Light"/>
          <w:szCs w:val="26"/>
        </w:rPr>
        <w:t>,</w:t>
      </w:r>
      <w:r w:rsidRPr="0078120B">
        <w:rPr>
          <w:rFonts w:ascii="Calibri Light" w:hAnsi="Calibri Light"/>
          <w:szCs w:val="26"/>
        </w:rPr>
        <w:t xml:space="preserve"> from 2</w:t>
      </w:r>
      <w:r w:rsidR="00E871EB" w:rsidRPr="0078120B">
        <w:rPr>
          <w:rFonts w:ascii="Calibri Light" w:hAnsi="Calibri Light"/>
          <w:szCs w:val="26"/>
        </w:rPr>
        <w:t>2</w:t>
      </w:r>
      <w:r w:rsidRPr="0078120B">
        <w:rPr>
          <w:rFonts w:ascii="Calibri Light" w:hAnsi="Calibri Light"/>
          <w:szCs w:val="26"/>
        </w:rPr>
        <w:t xml:space="preserve"> published reports. </w:t>
      </w:r>
    </w:p>
    <w:p w:rsidR="00DD4845" w:rsidRPr="00A21FC1" w:rsidRDefault="00EA5537" w:rsidP="00FB565E">
      <w:pPr>
        <w:pStyle w:val="Heading2"/>
        <w:spacing w:before="160"/>
        <w:rPr>
          <w:rFonts w:ascii="Calibri Light" w:hAnsi="Calibri Light"/>
        </w:rPr>
      </w:pPr>
      <w:bookmarkStart w:id="7" w:name="_Toc421009979"/>
      <w:r w:rsidRPr="00A21FC1">
        <w:rPr>
          <w:rFonts w:ascii="Calibri Light" w:hAnsi="Calibri Light"/>
        </w:rPr>
        <w:t>Methodology</w:t>
      </w:r>
      <w:bookmarkEnd w:id="7"/>
    </w:p>
    <w:p w:rsidR="00BE2138" w:rsidRPr="0078120B" w:rsidRDefault="00B25A0C" w:rsidP="00FB565E">
      <w:pPr>
        <w:pStyle w:val="NormalNumbering"/>
        <w:numPr>
          <w:ilvl w:val="0"/>
          <w:numId w:val="2"/>
        </w:numPr>
        <w:spacing w:before="40" w:after="40"/>
        <w:ind w:left="0" w:firstLine="0"/>
        <w:rPr>
          <w:rFonts w:ascii="Calibri Light" w:hAnsi="Calibri Light"/>
          <w:szCs w:val="26"/>
        </w:rPr>
      </w:pPr>
      <w:r w:rsidRPr="0078120B">
        <w:rPr>
          <w:rFonts w:ascii="Calibri Light" w:hAnsi="Calibri Light"/>
          <w:szCs w:val="26"/>
        </w:rPr>
        <w:t xml:space="preserve">The IIGB considered </w:t>
      </w:r>
      <w:r w:rsidR="0055774F" w:rsidRPr="0078120B">
        <w:rPr>
          <w:rFonts w:ascii="Calibri Light" w:hAnsi="Calibri Light"/>
          <w:szCs w:val="26"/>
        </w:rPr>
        <w:t xml:space="preserve">the department’s </w:t>
      </w:r>
      <w:r w:rsidRPr="0078120B">
        <w:rPr>
          <w:rFonts w:ascii="Calibri Light" w:hAnsi="Calibri Light"/>
          <w:szCs w:val="26"/>
        </w:rPr>
        <w:t xml:space="preserve">actions, as reported in eTRAC, </w:t>
      </w:r>
      <w:r w:rsidR="009923F5" w:rsidRPr="0078120B">
        <w:rPr>
          <w:rFonts w:ascii="Calibri Light" w:hAnsi="Calibri Light"/>
          <w:szCs w:val="26"/>
        </w:rPr>
        <w:t xml:space="preserve">to implement </w:t>
      </w:r>
      <w:r w:rsidR="003C27FF" w:rsidRPr="0078120B">
        <w:rPr>
          <w:rFonts w:ascii="Calibri Light" w:hAnsi="Calibri Light"/>
          <w:szCs w:val="26"/>
        </w:rPr>
        <w:t>each of the previous</w:t>
      </w:r>
      <w:r w:rsidR="00AE6B3F" w:rsidRPr="0078120B">
        <w:rPr>
          <w:rFonts w:ascii="Calibri Light" w:hAnsi="Calibri Light"/>
          <w:szCs w:val="26"/>
        </w:rPr>
        <w:t xml:space="preserve"> 95</w:t>
      </w:r>
      <w:r w:rsidRPr="0078120B">
        <w:rPr>
          <w:rFonts w:ascii="Calibri Light" w:hAnsi="Calibri Light"/>
          <w:szCs w:val="26"/>
        </w:rPr>
        <w:t xml:space="preserve"> </w:t>
      </w:r>
      <w:r w:rsidR="009923F5" w:rsidRPr="0078120B">
        <w:rPr>
          <w:rFonts w:ascii="Calibri Light" w:hAnsi="Calibri Light"/>
          <w:szCs w:val="26"/>
        </w:rPr>
        <w:t>recommendations</w:t>
      </w:r>
      <w:r w:rsidR="00BE2138" w:rsidRPr="0078120B">
        <w:rPr>
          <w:rFonts w:ascii="Calibri Light" w:hAnsi="Calibri Light"/>
          <w:szCs w:val="26"/>
        </w:rPr>
        <w:t>.</w:t>
      </w:r>
    </w:p>
    <w:p w:rsidR="00BE2138" w:rsidRPr="0078120B" w:rsidRDefault="00BE2138" w:rsidP="00FB565E">
      <w:pPr>
        <w:pStyle w:val="NormalNumbering"/>
        <w:numPr>
          <w:ilvl w:val="0"/>
          <w:numId w:val="2"/>
        </w:numPr>
        <w:spacing w:before="40" w:after="40"/>
        <w:ind w:left="0" w:firstLine="0"/>
        <w:rPr>
          <w:rFonts w:ascii="Calibri Light" w:hAnsi="Calibri Light"/>
          <w:szCs w:val="26"/>
        </w:rPr>
      </w:pPr>
      <w:r w:rsidRPr="0078120B">
        <w:rPr>
          <w:rFonts w:ascii="Calibri Light" w:hAnsi="Calibri Light"/>
          <w:szCs w:val="26"/>
        </w:rPr>
        <w:t xml:space="preserve">Where the IIGB considered the original intent </w:t>
      </w:r>
      <w:r w:rsidR="005612F1" w:rsidRPr="0078120B">
        <w:rPr>
          <w:rFonts w:ascii="Calibri Light" w:hAnsi="Calibri Light"/>
          <w:szCs w:val="26"/>
        </w:rPr>
        <w:t xml:space="preserve">and purpose </w:t>
      </w:r>
      <w:r w:rsidRPr="0078120B">
        <w:rPr>
          <w:rFonts w:ascii="Calibri Light" w:hAnsi="Calibri Light"/>
          <w:szCs w:val="26"/>
        </w:rPr>
        <w:t xml:space="preserve">of the recommendation had been satisfactorily addressed, the IIGB </w:t>
      </w:r>
      <w:r w:rsidR="00B25A0C" w:rsidRPr="0078120B">
        <w:rPr>
          <w:rFonts w:ascii="Calibri Light" w:hAnsi="Calibri Light"/>
          <w:szCs w:val="26"/>
        </w:rPr>
        <w:t xml:space="preserve">has </w:t>
      </w:r>
      <w:r w:rsidRPr="0078120B">
        <w:rPr>
          <w:rFonts w:ascii="Calibri Light" w:hAnsi="Calibri Light"/>
          <w:szCs w:val="26"/>
        </w:rPr>
        <w:t>closed the recomme</w:t>
      </w:r>
      <w:r w:rsidR="00B25A0C" w:rsidRPr="0078120B">
        <w:rPr>
          <w:rFonts w:ascii="Calibri Light" w:hAnsi="Calibri Light"/>
          <w:szCs w:val="26"/>
        </w:rPr>
        <w:t>ndation for no further action or follow-up</w:t>
      </w:r>
      <w:r w:rsidRPr="0078120B">
        <w:rPr>
          <w:rFonts w:ascii="Calibri Light" w:hAnsi="Calibri Light"/>
          <w:szCs w:val="26"/>
        </w:rPr>
        <w:t>.</w:t>
      </w:r>
      <w:r w:rsidR="00A6012C">
        <w:rPr>
          <w:rFonts w:ascii="Calibri Light" w:hAnsi="Calibri Light"/>
          <w:szCs w:val="26"/>
        </w:rPr>
        <w:t xml:space="preserve"> This includes two of the 95 recommendations that were </w:t>
      </w:r>
      <w:r w:rsidR="004521CD">
        <w:rPr>
          <w:rFonts w:ascii="Calibri Light" w:hAnsi="Calibri Light"/>
          <w:szCs w:val="26"/>
        </w:rPr>
        <w:t xml:space="preserve">not </w:t>
      </w:r>
      <w:r w:rsidR="00A6012C">
        <w:rPr>
          <w:rFonts w:ascii="Calibri Light" w:hAnsi="Calibri Light"/>
          <w:szCs w:val="26"/>
        </w:rPr>
        <w:t>agreed by the department.</w:t>
      </w:r>
    </w:p>
    <w:p w:rsidR="00BE2138" w:rsidRPr="0078120B" w:rsidRDefault="00B25A0C" w:rsidP="00FB565E">
      <w:pPr>
        <w:pStyle w:val="NormalNumbering"/>
        <w:numPr>
          <w:ilvl w:val="0"/>
          <w:numId w:val="2"/>
        </w:numPr>
        <w:spacing w:before="40" w:after="40"/>
        <w:ind w:left="0" w:firstLine="0"/>
        <w:rPr>
          <w:rFonts w:ascii="Calibri Light" w:hAnsi="Calibri Light"/>
          <w:szCs w:val="26"/>
        </w:rPr>
      </w:pPr>
      <w:r w:rsidRPr="0078120B">
        <w:rPr>
          <w:rFonts w:ascii="Calibri Light" w:hAnsi="Calibri Light"/>
          <w:szCs w:val="26"/>
        </w:rPr>
        <w:t xml:space="preserve">In some cases the </w:t>
      </w:r>
      <w:r w:rsidR="00BE2138" w:rsidRPr="0078120B">
        <w:rPr>
          <w:rFonts w:ascii="Calibri Light" w:hAnsi="Calibri Light"/>
          <w:szCs w:val="26"/>
        </w:rPr>
        <w:t>IIGB considered f</w:t>
      </w:r>
      <w:r w:rsidRPr="0078120B">
        <w:rPr>
          <w:rFonts w:ascii="Calibri Light" w:hAnsi="Calibri Light"/>
          <w:szCs w:val="26"/>
        </w:rPr>
        <w:t>urther information was required</w:t>
      </w:r>
      <w:r w:rsidR="00BE2138" w:rsidRPr="0078120B">
        <w:rPr>
          <w:rFonts w:ascii="Calibri Light" w:hAnsi="Calibri Light"/>
          <w:szCs w:val="26"/>
        </w:rPr>
        <w:t xml:space="preserve"> or the actions taken did not fully address the intent of the recommendation</w:t>
      </w:r>
      <w:r w:rsidRPr="0078120B">
        <w:rPr>
          <w:rFonts w:ascii="Calibri Light" w:hAnsi="Calibri Light"/>
          <w:szCs w:val="26"/>
        </w:rPr>
        <w:t>. In these cases, t</w:t>
      </w:r>
      <w:r w:rsidR="00BE2138" w:rsidRPr="0078120B">
        <w:rPr>
          <w:rFonts w:ascii="Calibri Light" w:hAnsi="Calibri Light"/>
          <w:szCs w:val="26"/>
        </w:rPr>
        <w:t xml:space="preserve">he IIGB approached the </w:t>
      </w:r>
      <w:r w:rsidR="00BE2138" w:rsidRPr="0078120B">
        <w:rPr>
          <w:rFonts w:ascii="Calibri Light" w:hAnsi="Calibri Light"/>
          <w:szCs w:val="26"/>
        </w:rPr>
        <w:lastRenderedPageBreak/>
        <w:t>department for further information or clarification, regarding the actions taken to implement the recommendation.</w:t>
      </w:r>
    </w:p>
    <w:p w:rsidR="009B08D6" w:rsidRPr="0078120B" w:rsidRDefault="009B08D6" w:rsidP="00FB565E">
      <w:pPr>
        <w:pStyle w:val="NormalNumbering"/>
        <w:numPr>
          <w:ilvl w:val="0"/>
          <w:numId w:val="2"/>
        </w:numPr>
        <w:spacing w:before="40" w:after="40"/>
        <w:ind w:left="0" w:firstLine="0"/>
        <w:rPr>
          <w:rFonts w:ascii="Calibri Light" w:hAnsi="Calibri Light"/>
          <w:szCs w:val="26"/>
        </w:rPr>
      </w:pPr>
      <w:r w:rsidRPr="0078120B">
        <w:rPr>
          <w:rFonts w:ascii="Calibri Light" w:hAnsi="Calibri Light"/>
          <w:szCs w:val="26"/>
        </w:rPr>
        <w:t>Where the implementation of a recommendation necessitate</w:t>
      </w:r>
      <w:r w:rsidR="00AC189A">
        <w:rPr>
          <w:rFonts w:ascii="Calibri Light" w:hAnsi="Calibri Light"/>
          <w:szCs w:val="26"/>
        </w:rPr>
        <w:t>d</w:t>
      </w:r>
      <w:r w:rsidRPr="0078120B">
        <w:rPr>
          <w:rFonts w:ascii="Calibri Light" w:hAnsi="Calibri Light"/>
          <w:szCs w:val="26"/>
        </w:rPr>
        <w:t xml:space="preserve"> wider departmental action, for example </w:t>
      </w:r>
      <w:r w:rsidR="0055774F" w:rsidRPr="0078120B">
        <w:rPr>
          <w:rFonts w:ascii="Calibri Light" w:hAnsi="Calibri Light"/>
          <w:szCs w:val="26"/>
        </w:rPr>
        <w:t xml:space="preserve">significant </w:t>
      </w:r>
      <w:r w:rsidRPr="0078120B">
        <w:rPr>
          <w:rFonts w:ascii="Calibri Light" w:hAnsi="Calibri Light"/>
          <w:szCs w:val="26"/>
        </w:rPr>
        <w:t xml:space="preserve">modification or enhancement of </w:t>
      </w:r>
      <w:r w:rsidR="0055774F" w:rsidRPr="0078120B">
        <w:rPr>
          <w:rFonts w:ascii="Calibri Light" w:hAnsi="Calibri Light"/>
          <w:szCs w:val="26"/>
        </w:rPr>
        <w:t xml:space="preserve">an </w:t>
      </w:r>
      <w:r w:rsidRPr="0078120B">
        <w:rPr>
          <w:rFonts w:ascii="Calibri Light" w:hAnsi="Calibri Light"/>
          <w:szCs w:val="26"/>
        </w:rPr>
        <w:t xml:space="preserve">IT system, or the IIGB considered that the nature </w:t>
      </w:r>
      <w:r w:rsidR="00AC189A">
        <w:rPr>
          <w:rFonts w:ascii="Calibri Light" w:hAnsi="Calibri Light"/>
          <w:szCs w:val="26"/>
        </w:rPr>
        <w:t>of the biosecurity risk warranted</w:t>
      </w:r>
      <w:r w:rsidRPr="0078120B">
        <w:rPr>
          <w:rFonts w:ascii="Calibri Light" w:hAnsi="Calibri Light"/>
          <w:szCs w:val="26"/>
        </w:rPr>
        <w:t xml:space="preserve"> ongoing monitoring, that </w:t>
      </w:r>
      <w:r w:rsidR="001430B4" w:rsidRPr="0078120B">
        <w:rPr>
          <w:rFonts w:ascii="Calibri Light" w:hAnsi="Calibri Light"/>
          <w:szCs w:val="26"/>
        </w:rPr>
        <w:t>item</w:t>
      </w:r>
      <w:r w:rsidR="00A11303">
        <w:rPr>
          <w:rFonts w:ascii="Calibri Light" w:hAnsi="Calibri Light"/>
          <w:szCs w:val="26"/>
        </w:rPr>
        <w:t xml:space="preserve"> was placed on a</w:t>
      </w:r>
      <w:r w:rsidR="00A6012C">
        <w:rPr>
          <w:rFonts w:ascii="Calibri Light" w:hAnsi="Calibri Light"/>
          <w:szCs w:val="26"/>
        </w:rPr>
        <w:t>n observation list of broad themes</w:t>
      </w:r>
      <w:r w:rsidR="00707E8B" w:rsidRPr="0078120B">
        <w:rPr>
          <w:rFonts w:ascii="Calibri Light" w:hAnsi="Calibri Light"/>
          <w:szCs w:val="26"/>
        </w:rPr>
        <w:t xml:space="preserve">. </w:t>
      </w:r>
      <w:r w:rsidR="0055774F" w:rsidRPr="0078120B">
        <w:rPr>
          <w:rFonts w:ascii="Calibri Light" w:hAnsi="Calibri Light"/>
          <w:szCs w:val="26"/>
        </w:rPr>
        <w:t>It is intended that t</w:t>
      </w:r>
      <w:r w:rsidR="001430B4" w:rsidRPr="0078120B">
        <w:rPr>
          <w:rFonts w:ascii="Calibri Light" w:hAnsi="Calibri Light"/>
          <w:szCs w:val="26"/>
        </w:rPr>
        <w:t>hese</w:t>
      </w:r>
      <w:r w:rsidR="009E05EE" w:rsidRPr="0078120B">
        <w:rPr>
          <w:rFonts w:ascii="Calibri Light" w:hAnsi="Calibri Light"/>
          <w:szCs w:val="26"/>
        </w:rPr>
        <w:t xml:space="preserve"> themes</w:t>
      </w:r>
      <w:r w:rsidRPr="0078120B">
        <w:rPr>
          <w:rFonts w:ascii="Calibri Light" w:hAnsi="Calibri Light"/>
          <w:szCs w:val="26"/>
        </w:rPr>
        <w:t xml:space="preserve"> will be periodically reviewed, every six or twelve months.</w:t>
      </w:r>
    </w:p>
    <w:p w:rsidR="00101723" w:rsidRPr="00A21FC1" w:rsidRDefault="00101723" w:rsidP="00FB565E">
      <w:pPr>
        <w:pStyle w:val="Heading2"/>
        <w:spacing w:before="160"/>
        <w:rPr>
          <w:rFonts w:ascii="Calibri Light" w:hAnsi="Calibri Light"/>
        </w:rPr>
      </w:pPr>
      <w:bookmarkStart w:id="8" w:name="_Toc421009980"/>
      <w:r w:rsidRPr="00A21FC1">
        <w:rPr>
          <w:rFonts w:ascii="Calibri Light" w:hAnsi="Calibri Light"/>
        </w:rPr>
        <w:t>Findings</w:t>
      </w:r>
      <w:bookmarkEnd w:id="8"/>
    </w:p>
    <w:p w:rsidR="00101723" w:rsidRPr="0078120B" w:rsidRDefault="00101723" w:rsidP="00FB565E">
      <w:pPr>
        <w:pStyle w:val="NormalNumbering"/>
        <w:numPr>
          <w:ilvl w:val="0"/>
          <w:numId w:val="2"/>
        </w:numPr>
        <w:spacing w:before="40" w:after="40"/>
        <w:ind w:left="0" w:firstLine="0"/>
        <w:rPr>
          <w:rFonts w:ascii="Calibri Light" w:hAnsi="Calibri Light"/>
          <w:szCs w:val="26"/>
        </w:rPr>
      </w:pPr>
      <w:r w:rsidRPr="0078120B">
        <w:rPr>
          <w:rFonts w:ascii="Calibri Light" w:hAnsi="Calibri Light"/>
          <w:szCs w:val="26"/>
        </w:rPr>
        <w:t>The IIG</w:t>
      </w:r>
      <w:r w:rsidR="001412A3" w:rsidRPr="0078120B">
        <w:rPr>
          <w:rFonts w:ascii="Calibri Light" w:hAnsi="Calibri Light"/>
          <w:szCs w:val="26"/>
        </w:rPr>
        <w:t xml:space="preserve">B </w:t>
      </w:r>
      <w:r w:rsidR="00AC189A">
        <w:rPr>
          <w:rFonts w:ascii="Calibri Light" w:hAnsi="Calibri Light"/>
          <w:szCs w:val="26"/>
        </w:rPr>
        <w:t xml:space="preserve">initially </w:t>
      </w:r>
      <w:r w:rsidR="001412A3" w:rsidRPr="0078120B">
        <w:rPr>
          <w:rFonts w:ascii="Calibri Light" w:hAnsi="Calibri Light"/>
          <w:szCs w:val="26"/>
        </w:rPr>
        <w:t>consider</w:t>
      </w:r>
      <w:r w:rsidR="00AC189A">
        <w:rPr>
          <w:rFonts w:ascii="Calibri Light" w:hAnsi="Calibri Light"/>
          <w:szCs w:val="26"/>
        </w:rPr>
        <w:t>ed</w:t>
      </w:r>
      <w:r w:rsidR="001412A3" w:rsidRPr="0078120B">
        <w:rPr>
          <w:rFonts w:ascii="Calibri Light" w:hAnsi="Calibri Light"/>
          <w:szCs w:val="26"/>
        </w:rPr>
        <w:t xml:space="preserve"> </w:t>
      </w:r>
      <w:r w:rsidR="0043354A">
        <w:rPr>
          <w:rFonts w:ascii="Calibri Light" w:hAnsi="Calibri Light"/>
          <w:szCs w:val="26"/>
        </w:rPr>
        <w:t>implementation of 82</w:t>
      </w:r>
      <w:r w:rsidR="003E0407" w:rsidRPr="0078120B">
        <w:rPr>
          <w:rFonts w:ascii="Calibri Light" w:hAnsi="Calibri Light"/>
          <w:szCs w:val="26"/>
        </w:rPr>
        <w:t xml:space="preserve"> of the 95</w:t>
      </w:r>
      <w:r w:rsidRPr="0078120B">
        <w:rPr>
          <w:rFonts w:ascii="Calibri Light" w:hAnsi="Calibri Light"/>
          <w:szCs w:val="26"/>
        </w:rPr>
        <w:t xml:space="preserve"> recommendations as satisfactory and </w:t>
      </w:r>
      <w:r w:rsidR="00002061" w:rsidRPr="0078120B">
        <w:rPr>
          <w:rFonts w:ascii="Calibri Light" w:hAnsi="Calibri Light"/>
          <w:szCs w:val="26"/>
        </w:rPr>
        <w:t>regard</w:t>
      </w:r>
      <w:r w:rsidR="00AC189A">
        <w:rPr>
          <w:rFonts w:ascii="Calibri Light" w:hAnsi="Calibri Light"/>
          <w:szCs w:val="26"/>
        </w:rPr>
        <w:t>ed</w:t>
      </w:r>
      <w:r w:rsidRPr="0078120B">
        <w:rPr>
          <w:rFonts w:ascii="Calibri Light" w:hAnsi="Calibri Light"/>
          <w:szCs w:val="26"/>
        </w:rPr>
        <w:t xml:space="preserve"> these recommendations </w:t>
      </w:r>
      <w:r w:rsidR="0055774F" w:rsidRPr="0078120B">
        <w:rPr>
          <w:rFonts w:ascii="Calibri Light" w:hAnsi="Calibri Light"/>
          <w:szCs w:val="26"/>
        </w:rPr>
        <w:t>as ‘</w:t>
      </w:r>
      <w:r w:rsidRPr="0078120B">
        <w:rPr>
          <w:rFonts w:ascii="Calibri Light" w:hAnsi="Calibri Light"/>
          <w:szCs w:val="26"/>
        </w:rPr>
        <w:t>complete</w:t>
      </w:r>
      <w:r w:rsidR="0055774F" w:rsidRPr="0078120B">
        <w:rPr>
          <w:rFonts w:ascii="Calibri Light" w:hAnsi="Calibri Light"/>
          <w:szCs w:val="26"/>
        </w:rPr>
        <w:t>d’</w:t>
      </w:r>
      <w:r w:rsidR="000805AC" w:rsidRPr="0078120B">
        <w:rPr>
          <w:rFonts w:ascii="Calibri Light" w:hAnsi="Calibri Light"/>
          <w:szCs w:val="26"/>
        </w:rPr>
        <w:t xml:space="preserve"> (Attachment A)</w:t>
      </w:r>
      <w:r w:rsidRPr="0078120B">
        <w:rPr>
          <w:rFonts w:ascii="Calibri Light" w:hAnsi="Calibri Light"/>
          <w:szCs w:val="26"/>
        </w:rPr>
        <w:t>.</w:t>
      </w:r>
      <w:r w:rsidR="00A6012C">
        <w:rPr>
          <w:rFonts w:ascii="Calibri Light" w:hAnsi="Calibri Light"/>
          <w:szCs w:val="26"/>
        </w:rPr>
        <w:t xml:space="preserve"> </w:t>
      </w:r>
      <w:r w:rsidR="00FC3FAE">
        <w:rPr>
          <w:rFonts w:ascii="Calibri Light" w:hAnsi="Calibri Light"/>
          <w:szCs w:val="26"/>
        </w:rPr>
        <w:t>However, in implementing some other recommendations, it is recognised that the department will require additional time to introduce more wide-ranging changes.</w:t>
      </w:r>
    </w:p>
    <w:p w:rsidR="00101723" w:rsidRDefault="00101723" w:rsidP="00FB565E">
      <w:pPr>
        <w:pStyle w:val="NormalNumbering"/>
        <w:numPr>
          <w:ilvl w:val="0"/>
          <w:numId w:val="2"/>
        </w:numPr>
        <w:spacing w:before="40" w:after="40"/>
        <w:ind w:left="0" w:firstLine="0"/>
        <w:rPr>
          <w:rFonts w:ascii="Calibri Light" w:hAnsi="Calibri Light"/>
          <w:szCs w:val="26"/>
        </w:rPr>
      </w:pPr>
      <w:r w:rsidRPr="0078120B">
        <w:rPr>
          <w:rFonts w:ascii="Calibri Light" w:hAnsi="Calibri Light"/>
          <w:szCs w:val="26"/>
        </w:rPr>
        <w:t xml:space="preserve">In </w:t>
      </w:r>
      <w:r w:rsidR="000805AC" w:rsidRPr="0078120B">
        <w:rPr>
          <w:rFonts w:ascii="Calibri Light" w:hAnsi="Calibri Light"/>
          <w:szCs w:val="26"/>
        </w:rPr>
        <w:t xml:space="preserve">some </w:t>
      </w:r>
      <w:r w:rsidRPr="0078120B">
        <w:rPr>
          <w:rFonts w:ascii="Calibri Light" w:hAnsi="Calibri Light"/>
          <w:szCs w:val="26"/>
        </w:rPr>
        <w:t>cases, the IIGB approached the department for updated information on the actions taken to</w:t>
      </w:r>
      <w:r w:rsidR="009E05EE" w:rsidRPr="0078120B">
        <w:rPr>
          <w:rFonts w:ascii="Calibri Light" w:hAnsi="Calibri Light"/>
          <w:szCs w:val="26"/>
        </w:rPr>
        <w:t xml:space="preserve"> address recommendations. In each of</w:t>
      </w:r>
      <w:r w:rsidRPr="0078120B">
        <w:rPr>
          <w:rFonts w:ascii="Calibri Light" w:hAnsi="Calibri Light"/>
          <w:szCs w:val="26"/>
        </w:rPr>
        <w:t xml:space="preserve"> these cases, the IIGB is satisfied with the responses received from the department</w:t>
      </w:r>
      <w:r w:rsidR="00AC189A">
        <w:rPr>
          <w:rFonts w:ascii="Calibri Light" w:hAnsi="Calibri Light"/>
          <w:szCs w:val="26"/>
        </w:rPr>
        <w:t xml:space="preserve">, </w:t>
      </w:r>
      <w:r w:rsidR="00FC3FAE">
        <w:rPr>
          <w:rFonts w:ascii="Calibri Light" w:hAnsi="Calibri Light"/>
          <w:szCs w:val="26"/>
        </w:rPr>
        <w:t>and after further review, considers that all 95 recommendations can be regarded as ‘completed’</w:t>
      </w:r>
      <w:r w:rsidRPr="0078120B">
        <w:rPr>
          <w:rFonts w:ascii="Calibri Light" w:hAnsi="Calibri Light"/>
          <w:szCs w:val="26"/>
        </w:rPr>
        <w:t>.</w:t>
      </w:r>
    </w:p>
    <w:p w:rsidR="00953CA9" w:rsidRDefault="00953CA9" w:rsidP="00FB565E">
      <w:pPr>
        <w:pStyle w:val="NormalNumbering"/>
        <w:numPr>
          <w:ilvl w:val="0"/>
          <w:numId w:val="2"/>
        </w:numPr>
        <w:spacing w:before="40" w:after="40"/>
        <w:ind w:left="0" w:firstLine="0"/>
        <w:rPr>
          <w:rFonts w:ascii="Calibri Light" w:hAnsi="Calibri Light"/>
          <w:szCs w:val="26"/>
        </w:rPr>
      </w:pPr>
      <w:r>
        <w:rPr>
          <w:rFonts w:ascii="Calibri Light" w:hAnsi="Calibri Light"/>
          <w:szCs w:val="26"/>
        </w:rPr>
        <w:t>As noted above, the department is not obliged to</w:t>
      </w:r>
      <w:r w:rsidR="005746D2">
        <w:rPr>
          <w:rFonts w:ascii="Calibri Light" w:hAnsi="Calibri Light"/>
          <w:szCs w:val="26"/>
        </w:rPr>
        <w:t xml:space="preserve"> accept IIGB recommendations. In </w:t>
      </w:r>
      <w:r w:rsidR="00881E1E">
        <w:rPr>
          <w:rFonts w:ascii="Calibri Light" w:hAnsi="Calibri Light"/>
          <w:szCs w:val="26"/>
        </w:rPr>
        <w:t>20</w:t>
      </w:r>
      <w:r w:rsidR="00A6012C">
        <w:rPr>
          <w:rFonts w:ascii="Calibri Light" w:hAnsi="Calibri Light"/>
          <w:szCs w:val="26"/>
        </w:rPr>
        <w:t>12</w:t>
      </w:r>
      <w:r w:rsidR="00881E1E">
        <w:rPr>
          <w:rFonts w:ascii="Calibri Light" w:hAnsi="Calibri Light"/>
          <w:szCs w:val="26"/>
        </w:rPr>
        <w:t>, t</w:t>
      </w:r>
      <w:r>
        <w:rPr>
          <w:rFonts w:ascii="Calibri Light" w:hAnsi="Calibri Light"/>
          <w:szCs w:val="26"/>
        </w:rPr>
        <w:t>he IIG</w:t>
      </w:r>
      <w:r w:rsidR="00A6012C">
        <w:rPr>
          <w:rFonts w:ascii="Calibri Light" w:hAnsi="Calibri Light"/>
          <w:szCs w:val="26"/>
        </w:rPr>
        <w:t>B</w:t>
      </w:r>
      <w:r>
        <w:rPr>
          <w:rFonts w:ascii="Calibri Light" w:hAnsi="Calibri Light"/>
          <w:szCs w:val="26"/>
        </w:rPr>
        <w:t xml:space="preserve"> </w:t>
      </w:r>
      <w:r w:rsidR="00881E1E">
        <w:rPr>
          <w:rFonts w:ascii="Calibri Light" w:hAnsi="Calibri Light"/>
          <w:szCs w:val="26"/>
        </w:rPr>
        <w:t>made two recommendations regarding an annual</w:t>
      </w:r>
      <w:r w:rsidR="0031130B">
        <w:rPr>
          <w:rFonts w:ascii="Calibri Light" w:hAnsi="Calibri Light"/>
          <w:szCs w:val="26"/>
        </w:rPr>
        <w:t xml:space="preserve"> detailed survey of horses o</w:t>
      </w:r>
      <w:r w:rsidR="00881E1E">
        <w:rPr>
          <w:rFonts w:ascii="Calibri Light" w:hAnsi="Calibri Light"/>
          <w:szCs w:val="26"/>
        </w:rPr>
        <w:t>n properties in the vicinity of pos</w:t>
      </w:r>
      <w:r w:rsidR="00786830">
        <w:rPr>
          <w:rFonts w:ascii="Calibri Light" w:hAnsi="Calibri Light"/>
          <w:szCs w:val="26"/>
        </w:rPr>
        <w:t>t-arrival quarantine facilities</w:t>
      </w:r>
      <w:r w:rsidR="005746D2">
        <w:rPr>
          <w:rFonts w:ascii="Calibri Light" w:hAnsi="Calibri Light"/>
          <w:szCs w:val="26"/>
        </w:rPr>
        <w:t>.</w:t>
      </w:r>
      <w:r w:rsidR="00786830">
        <w:rPr>
          <w:rFonts w:ascii="Calibri Light" w:hAnsi="Calibri Light"/>
          <w:szCs w:val="26"/>
        </w:rPr>
        <w:t xml:space="preserve"> </w:t>
      </w:r>
      <w:r w:rsidR="001762B6">
        <w:rPr>
          <w:rFonts w:ascii="Calibri Light" w:hAnsi="Calibri Light"/>
          <w:szCs w:val="26"/>
        </w:rPr>
        <w:t>T</w:t>
      </w:r>
      <w:r w:rsidR="00881E1E">
        <w:rPr>
          <w:rFonts w:ascii="Calibri Light" w:hAnsi="Calibri Light"/>
          <w:szCs w:val="26"/>
        </w:rPr>
        <w:t>hese recommendations were not agreed</w:t>
      </w:r>
      <w:r w:rsidR="001762B6">
        <w:rPr>
          <w:rFonts w:ascii="Calibri Light" w:hAnsi="Calibri Light"/>
          <w:szCs w:val="26"/>
        </w:rPr>
        <w:t>, as implementation was considered impractical and unnecessary; they were also inconsistent with the relevant import risk assessment</w:t>
      </w:r>
      <w:r w:rsidR="00881E1E">
        <w:rPr>
          <w:rFonts w:ascii="Calibri Light" w:hAnsi="Calibri Light"/>
          <w:szCs w:val="26"/>
        </w:rPr>
        <w:t>.</w:t>
      </w:r>
    </w:p>
    <w:p w:rsidR="00AA521A" w:rsidRPr="0078120B" w:rsidRDefault="00AA521A" w:rsidP="00FB565E">
      <w:pPr>
        <w:pStyle w:val="NormalNumbering"/>
        <w:numPr>
          <w:ilvl w:val="0"/>
          <w:numId w:val="2"/>
        </w:numPr>
        <w:spacing w:before="40" w:after="40"/>
        <w:ind w:left="0" w:firstLine="0"/>
        <w:rPr>
          <w:rFonts w:ascii="Calibri Light" w:hAnsi="Calibri Light"/>
          <w:szCs w:val="26"/>
        </w:rPr>
      </w:pPr>
      <w:r>
        <w:rPr>
          <w:rFonts w:ascii="Calibri Light" w:hAnsi="Calibri Light"/>
          <w:szCs w:val="26"/>
        </w:rPr>
        <w:t>Effective implementation of IIGB audit recommendations requires strong management oversight and monitoring, together with clear responsibilities and</w:t>
      </w:r>
      <w:r w:rsidR="005746D2">
        <w:rPr>
          <w:rFonts w:ascii="Calibri Light" w:hAnsi="Calibri Light"/>
          <w:szCs w:val="26"/>
        </w:rPr>
        <w:t xml:space="preserve"> timely actions. </w:t>
      </w:r>
      <w:r>
        <w:rPr>
          <w:rFonts w:ascii="Calibri Light" w:hAnsi="Calibri Light"/>
          <w:szCs w:val="26"/>
        </w:rPr>
        <w:t>This review has highlighted the benefits of having well-understood reporting processes and timelines for the consideration and implementation of IIGB recommendations.</w:t>
      </w:r>
    </w:p>
    <w:p w:rsidR="00A765C1" w:rsidRPr="0078120B" w:rsidRDefault="00F1434F" w:rsidP="00A765C1">
      <w:pPr>
        <w:pStyle w:val="NormalNumbering"/>
        <w:numPr>
          <w:ilvl w:val="0"/>
          <w:numId w:val="2"/>
        </w:numPr>
        <w:spacing w:before="40" w:after="40"/>
        <w:ind w:left="0" w:firstLine="0"/>
        <w:rPr>
          <w:rFonts w:ascii="Calibri Light" w:hAnsi="Calibri Light"/>
          <w:szCs w:val="26"/>
        </w:rPr>
      </w:pPr>
      <w:r>
        <w:rPr>
          <w:rFonts w:ascii="Calibri Light" w:hAnsi="Calibri Light"/>
          <w:szCs w:val="26"/>
        </w:rPr>
        <w:t>The IIGB has created a</w:t>
      </w:r>
      <w:r w:rsidR="006A2A6B" w:rsidRPr="0078120B">
        <w:rPr>
          <w:rFonts w:ascii="Calibri Light" w:hAnsi="Calibri Light"/>
          <w:szCs w:val="26"/>
        </w:rPr>
        <w:t xml:space="preserve"> list</w:t>
      </w:r>
      <w:r w:rsidR="009E05EE" w:rsidRPr="0078120B">
        <w:rPr>
          <w:rFonts w:ascii="Calibri Light" w:hAnsi="Calibri Light"/>
          <w:szCs w:val="26"/>
        </w:rPr>
        <w:t xml:space="preserve"> o</w:t>
      </w:r>
      <w:r>
        <w:rPr>
          <w:rFonts w:ascii="Calibri Light" w:hAnsi="Calibri Light"/>
          <w:szCs w:val="26"/>
        </w:rPr>
        <w:t>f</w:t>
      </w:r>
      <w:r w:rsidR="009E05EE" w:rsidRPr="0078120B">
        <w:rPr>
          <w:rFonts w:ascii="Calibri Light" w:hAnsi="Calibri Light"/>
          <w:szCs w:val="26"/>
        </w:rPr>
        <w:t xml:space="preserve"> broad areas (themes) where </w:t>
      </w:r>
      <w:r>
        <w:rPr>
          <w:rFonts w:ascii="Calibri Light" w:hAnsi="Calibri Light"/>
          <w:szCs w:val="26"/>
        </w:rPr>
        <w:t>it is</w:t>
      </w:r>
      <w:r w:rsidR="009E05EE" w:rsidRPr="0078120B">
        <w:rPr>
          <w:rFonts w:ascii="Calibri Light" w:hAnsi="Calibri Light"/>
          <w:szCs w:val="26"/>
        </w:rPr>
        <w:t xml:space="preserve"> consider</w:t>
      </w:r>
      <w:r>
        <w:rPr>
          <w:rFonts w:ascii="Calibri Light" w:hAnsi="Calibri Light"/>
          <w:szCs w:val="26"/>
        </w:rPr>
        <w:t>ed</w:t>
      </w:r>
      <w:r w:rsidR="009E05EE" w:rsidRPr="0078120B">
        <w:rPr>
          <w:rFonts w:ascii="Calibri Light" w:hAnsi="Calibri Light"/>
          <w:szCs w:val="26"/>
        </w:rPr>
        <w:t xml:space="preserve"> that the outcomes of the department’</w:t>
      </w:r>
      <w:r w:rsidR="00707E8B" w:rsidRPr="0078120B">
        <w:rPr>
          <w:rFonts w:ascii="Calibri Light" w:hAnsi="Calibri Light"/>
          <w:szCs w:val="26"/>
        </w:rPr>
        <w:t xml:space="preserve">s actions should be </w:t>
      </w:r>
      <w:r>
        <w:rPr>
          <w:rFonts w:ascii="Calibri Light" w:hAnsi="Calibri Light"/>
          <w:szCs w:val="26"/>
        </w:rPr>
        <w:t xml:space="preserve">periodically </w:t>
      </w:r>
      <w:r w:rsidR="00707E8B" w:rsidRPr="0078120B">
        <w:rPr>
          <w:rFonts w:ascii="Calibri Light" w:hAnsi="Calibri Light"/>
          <w:szCs w:val="26"/>
        </w:rPr>
        <w:t>monitored</w:t>
      </w:r>
      <w:r>
        <w:rPr>
          <w:rFonts w:ascii="Calibri Light" w:hAnsi="Calibri Light"/>
          <w:szCs w:val="26"/>
        </w:rPr>
        <w:t xml:space="preserve"> and assessed</w:t>
      </w:r>
      <w:r w:rsidR="00707E8B" w:rsidRPr="0078120B">
        <w:rPr>
          <w:rFonts w:ascii="Calibri Light" w:hAnsi="Calibri Light"/>
          <w:szCs w:val="26"/>
        </w:rPr>
        <w:t xml:space="preserve">. </w:t>
      </w:r>
      <w:r w:rsidR="009E05EE" w:rsidRPr="0078120B">
        <w:rPr>
          <w:rFonts w:ascii="Calibri Light" w:hAnsi="Calibri Light"/>
          <w:szCs w:val="26"/>
        </w:rPr>
        <w:t xml:space="preserve">This recognises that full implementation of some </w:t>
      </w:r>
      <w:r>
        <w:rPr>
          <w:rFonts w:ascii="Calibri Light" w:hAnsi="Calibri Light"/>
          <w:szCs w:val="26"/>
        </w:rPr>
        <w:t>changes</w:t>
      </w:r>
      <w:r w:rsidR="009E05EE" w:rsidRPr="0078120B">
        <w:rPr>
          <w:rFonts w:ascii="Calibri Light" w:hAnsi="Calibri Light"/>
          <w:szCs w:val="26"/>
        </w:rPr>
        <w:t xml:space="preserve"> might be dependent upon parties external to the department, outside the department’s control, and require considerable time.</w:t>
      </w:r>
      <w:r w:rsidR="00A765C1" w:rsidRPr="0078120B">
        <w:rPr>
          <w:rFonts w:ascii="Calibri Light" w:hAnsi="Calibri Light"/>
          <w:szCs w:val="26"/>
        </w:rPr>
        <w:t xml:space="preserve"> </w:t>
      </w:r>
      <w:r>
        <w:rPr>
          <w:rFonts w:ascii="Calibri Light" w:hAnsi="Calibri Light"/>
          <w:szCs w:val="26"/>
        </w:rPr>
        <w:t>I</w:t>
      </w:r>
      <w:r w:rsidR="00A765C1" w:rsidRPr="0078120B">
        <w:rPr>
          <w:rFonts w:ascii="Calibri Light" w:hAnsi="Calibri Light"/>
          <w:szCs w:val="26"/>
        </w:rPr>
        <w:t xml:space="preserve">t is accepted that </w:t>
      </w:r>
      <w:r w:rsidR="001430B4" w:rsidRPr="0078120B">
        <w:rPr>
          <w:rFonts w:ascii="Calibri Light" w:hAnsi="Calibri Light"/>
          <w:szCs w:val="26"/>
        </w:rPr>
        <w:t xml:space="preserve">at present, </w:t>
      </w:r>
      <w:r w:rsidR="00A765C1" w:rsidRPr="0078120B">
        <w:rPr>
          <w:rFonts w:ascii="Calibri Light" w:hAnsi="Calibri Light"/>
          <w:szCs w:val="26"/>
        </w:rPr>
        <w:t>the department has implemented such recommendations to the extent of its ability, and accordingly th</w:t>
      </w:r>
      <w:r>
        <w:rPr>
          <w:rFonts w:ascii="Calibri Light" w:hAnsi="Calibri Light"/>
          <w:szCs w:val="26"/>
        </w:rPr>
        <w:t>os</w:t>
      </w:r>
      <w:r w:rsidR="00A765C1" w:rsidRPr="0078120B">
        <w:rPr>
          <w:rFonts w:ascii="Calibri Light" w:hAnsi="Calibri Light"/>
          <w:szCs w:val="26"/>
        </w:rPr>
        <w:t xml:space="preserve">e recommendations are </w:t>
      </w:r>
      <w:r w:rsidR="00D84C44">
        <w:rPr>
          <w:rFonts w:ascii="Calibri Light" w:hAnsi="Calibri Light"/>
          <w:szCs w:val="26"/>
        </w:rPr>
        <w:t xml:space="preserve">appropriately </w:t>
      </w:r>
      <w:r w:rsidR="00A765C1" w:rsidRPr="0078120B">
        <w:rPr>
          <w:rFonts w:ascii="Calibri Light" w:hAnsi="Calibri Light"/>
          <w:szCs w:val="26"/>
        </w:rPr>
        <w:t>recorded in eTRAC as ‘complete’.</w:t>
      </w:r>
    </w:p>
    <w:p w:rsidR="006A2A6B" w:rsidRPr="0078120B" w:rsidRDefault="00745DF0" w:rsidP="00FB565E">
      <w:pPr>
        <w:pStyle w:val="NormalNumbering"/>
        <w:numPr>
          <w:ilvl w:val="0"/>
          <w:numId w:val="2"/>
        </w:numPr>
        <w:spacing w:before="40" w:after="40"/>
        <w:ind w:left="0" w:firstLine="0"/>
        <w:rPr>
          <w:rFonts w:ascii="Calibri Light" w:hAnsi="Calibri Light"/>
          <w:szCs w:val="26"/>
        </w:rPr>
      </w:pPr>
      <w:r w:rsidRPr="0078120B">
        <w:rPr>
          <w:rFonts w:ascii="Calibri Light" w:hAnsi="Calibri Light"/>
          <w:szCs w:val="26"/>
        </w:rPr>
        <w:t xml:space="preserve">The themes on the </w:t>
      </w:r>
      <w:r w:rsidR="00097B04">
        <w:rPr>
          <w:rFonts w:ascii="Calibri Light" w:hAnsi="Calibri Light"/>
          <w:szCs w:val="26"/>
        </w:rPr>
        <w:t>observation</w:t>
      </w:r>
      <w:r w:rsidR="00097B04" w:rsidRPr="0078120B">
        <w:rPr>
          <w:rFonts w:ascii="Calibri Light" w:hAnsi="Calibri Light"/>
          <w:szCs w:val="26"/>
        </w:rPr>
        <w:t xml:space="preserve"> </w:t>
      </w:r>
      <w:r w:rsidRPr="0078120B">
        <w:rPr>
          <w:rFonts w:ascii="Calibri Light" w:hAnsi="Calibri Light"/>
          <w:szCs w:val="26"/>
        </w:rPr>
        <w:t xml:space="preserve">list </w:t>
      </w:r>
      <w:r w:rsidR="00707E8B" w:rsidRPr="0078120B">
        <w:rPr>
          <w:rFonts w:ascii="Calibri Light" w:hAnsi="Calibri Light"/>
          <w:szCs w:val="26"/>
        </w:rPr>
        <w:t xml:space="preserve">(Attachment B) </w:t>
      </w:r>
      <w:r w:rsidRPr="0078120B">
        <w:rPr>
          <w:rFonts w:ascii="Calibri Light" w:hAnsi="Calibri Light"/>
          <w:szCs w:val="26"/>
        </w:rPr>
        <w:t>will</w:t>
      </w:r>
      <w:r w:rsidR="006A2A6B" w:rsidRPr="0078120B">
        <w:rPr>
          <w:rFonts w:ascii="Calibri Light" w:hAnsi="Calibri Light"/>
          <w:szCs w:val="26"/>
        </w:rPr>
        <w:t xml:space="preserve"> remain ‘</w:t>
      </w:r>
      <w:r w:rsidR="00651E55" w:rsidRPr="0078120B">
        <w:rPr>
          <w:rFonts w:ascii="Calibri Light" w:hAnsi="Calibri Light"/>
          <w:szCs w:val="26"/>
        </w:rPr>
        <w:t>live’</w:t>
      </w:r>
      <w:r w:rsidR="00562D6C" w:rsidRPr="0078120B">
        <w:rPr>
          <w:rFonts w:ascii="Calibri Light" w:hAnsi="Calibri Light"/>
          <w:szCs w:val="26"/>
        </w:rPr>
        <w:t>,</w:t>
      </w:r>
      <w:r w:rsidR="00651E55" w:rsidRPr="0078120B">
        <w:rPr>
          <w:rFonts w:ascii="Calibri Light" w:hAnsi="Calibri Light"/>
          <w:szCs w:val="26"/>
        </w:rPr>
        <w:t xml:space="preserve"> for inclusion in the IIGB’</w:t>
      </w:r>
      <w:r w:rsidR="006A2A6B" w:rsidRPr="0078120B">
        <w:rPr>
          <w:rFonts w:ascii="Calibri Light" w:hAnsi="Calibri Light"/>
          <w:szCs w:val="26"/>
        </w:rPr>
        <w:t>s next reg</w:t>
      </w:r>
      <w:r w:rsidR="00C22295" w:rsidRPr="0078120B">
        <w:rPr>
          <w:rFonts w:ascii="Calibri Light" w:hAnsi="Calibri Light"/>
          <w:szCs w:val="26"/>
        </w:rPr>
        <w:t>ular review of recommendations.</w:t>
      </w:r>
    </w:p>
    <w:p w:rsidR="00101723" w:rsidRPr="0078120B" w:rsidRDefault="00D84C44" w:rsidP="00FB565E">
      <w:pPr>
        <w:pStyle w:val="NormalNumbering"/>
        <w:numPr>
          <w:ilvl w:val="0"/>
          <w:numId w:val="2"/>
        </w:numPr>
        <w:spacing w:before="40" w:after="40"/>
        <w:ind w:left="0" w:firstLine="0"/>
        <w:rPr>
          <w:rFonts w:ascii="Calibri Light" w:hAnsi="Calibri Light"/>
          <w:szCs w:val="26"/>
        </w:rPr>
      </w:pPr>
      <w:r>
        <w:rPr>
          <w:rFonts w:ascii="Calibri Light" w:hAnsi="Calibri Light"/>
          <w:szCs w:val="26"/>
        </w:rPr>
        <w:lastRenderedPageBreak/>
        <w:t>While a</w:t>
      </w:r>
      <w:r w:rsidR="00CA1638" w:rsidRPr="0078120B">
        <w:rPr>
          <w:rFonts w:ascii="Calibri Light" w:hAnsi="Calibri Light"/>
          <w:szCs w:val="26"/>
        </w:rPr>
        <w:t>ll items</w:t>
      </w:r>
      <w:r w:rsidR="00101723" w:rsidRPr="0078120B">
        <w:rPr>
          <w:rFonts w:ascii="Calibri Light" w:hAnsi="Calibri Light"/>
          <w:szCs w:val="26"/>
        </w:rPr>
        <w:t xml:space="preserve"> </w:t>
      </w:r>
      <w:r w:rsidR="00562D6C" w:rsidRPr="0078120B">
        <w:rPr>
          <w:rFonts w:ascii="Calibri Light" w:hAnsi="Calibri Light"/>
          <w:szCs w:val="26"/>
        </w:rPr>
        <w:t xml:space="preserve">on the </w:t>
      </w:r>
      <w:r w:rsidR="00097B04">
        <w:rPr>
          <w:rFonts w:ascii="Calibri Light" w:hAnsi="Calibri Light"/>
          <w:szCs w:val="26"/>
        </w:rPr>
        <w:t>observation</w:t>
      </w:r>
      <w:r w:rsidR="00097B04" w:rsidRPr="0078120B">
        <w:rPr>
          <w:rFonts w:ascii="Calibri Light" w:hAnsi="Calibri Light"/>
          <w:szCs w:val="26"/>
        </w:rPr>
        <w:t xml:space="preserve"> </w:t>
      </w:r>
      <w:r w:rsidR="00562D6C" w:rsidRPr="0078120B">
        <w:rPr>
          <w:rFonts w:ascii="Calibri Light" w:hAnsi="Calibri Light"/>
          <w:szCs w:val="26"/>
        </w:rPr>
        <w:t>list</w:t>
      </w:r>
      <w:r w:rsidR="00101723" w:rsidRPr="0078120B">
        <w:rPr>
          <w:rFonts w:ascii="Calibri Light" w:hAnsi="Calibri Light"/>
          <w:szCs w:val="26"/>
        </w:rPr>
        <w:t xml:space="preserve"> are </w:t>
      </w:r>
      <w:r>
        <w:rPr>
          <w:rFonts w:ascii="Calibri Light" w:hAnsi="Calibri Light"/>
          <w:szCs w:val="26"/>
        </w:rPr>
        <w:t>judged</w:t>
      </w:r>
      <w:r w:rsidR="00707E8B" w:rsidRPr="0078120B">
        <w:rPr>
          <w:rFonts w:ascii="Calibri Light" w:hAnsi="Calibri Light"/>
          <w:szCs w:val="26"/>
        </w:rPr>
        <w:t xml:space="preserve"> </w:t>
      </w:r>
      <w:r w:rsidR="00562D6C" w:rsidRPr="0078120B">
        <w:rPr>
          <w:rFonts w:ascii="Calibri Light" w:hAnsi="Calibri Light"/>
          <w:szCs w:val="26"/>
        </w:rPr>
        <w:t>to be</w:t>
      </w:r>
      <w:r w:rsidR="00EF399E" w:rsidRPr="0078120B">
        <w:rPr>
          <w:rFonts w:ascii="Calibri Light" w:hAnsi="Calibri Light"/>
          <w:szCs w:val="26"/>
        </w:rPr>
        <w:t xml:space="preserve"> relatively</w:t>
      </w:r>
      <w:r w:rsidR="00562D6C" w:rsidRPr="0078120B">
        <w:rPr>
          <w:rFonts w:ascii="Calibri Light" w:hAnsi="Calibri Light"/>
          <w:szCs w:val="26"/>
        </w:rPr>
        <w:t xml:space="preserve"> </w:t>
      </w:r>
      <w:r w:rsidR="00101723" w:rsidRPr="0078120B">
        <w:rPr>
          <w:rFonts w:ascii="Calibri Light" w:hAnsi="Calibri Light"/>
          <w:szCs w:val="26"/>
        </w:rPr>
        <w:t>low risk</w:t>
      </w:r>
      <w:r>
        <w:rPr>
          <w:rFonts w:ascii="Calibri Light" w:hAnsi="Calibri Light"/>
          <w:szCs w:val="26"/>
        </w:rPr>
        <w:t xml:space="preserve"> at present, the IIGB may decide to initiate a new audit wh</w:t>
      </w:r>
      <w:r w:rsidR="00AA521A">
        <w:rPr>
          <w:rFonts w:ascii="Calibri Light" w:hAnsi="Calibri Light"/>
          <w:szCs w:val="26"/>
        </w:rPr>
        <w:t>ere a</w:t>
      </w:r>
      <w:r>
        <w:rPr>
          <w:rFonts w:ascii="Calibri Light" w:hAnsi="Calibri Light"/>
          <w:szCs w:val="26"/>
        </w:rPr>
        <w:t xml:space="preserve"> situation has significantly changed</w:t>
      </w:r>
      <w:r w:rsidR="00AA521A">
        <w:rPr>
          <w:rFonts w:ascii="Calibri Light" w:hAnsi="Calibri Light"/>
          <w:szCs w:val="26"/>
        </w:rPr>
        <w:t xml:space="preserve"> or new information becomes available</w:t>
      </w:r>
      <w:r w:rsidR="00EF399E" w:rsidRPr="0078120B">
        <w:rPr>
          <w:rFonts w:ascii="Calibri Light" w:hAnsi="Calibri Light"/>
          <w:szCs w:val="26"/>
        </w:rPr>
        <w:t>.</w:t>
      </w:r>
      <w:r w:rsidR="00101723" w:rsidRPr="0078120B">
        <w:rPr>
          <w:rFonts w:ascii="Calibri Light" w:hAnsi="Calibri Light"/>
          <w:szCs w:val="26"/>
        </w:rPr>
        <w:t xml:space="preserve"> </w:t>
      </w:r>
    </w:p>
    <w:p w:rsidR="00E22F94" w:rsidRPr="00A21FC1" w:rsidRDefault="006B4BCC" w:rsidP="00FB565E">
      <w:pPr>
        <w:pStyle w:val="Heading2"/>
        <w:spacing w:before="160"/>
        <w:rPr>
          <w:rFonts w:ascii="Calibri Light" w:hAnsi="Calibri Light"/>
        </w:rPr>
      </w:pPr>
      <w:bookmarkStart w:id="9" w:name="_Toc421009981"/>
      <w:r w:rsidRPr="00A21FC1">
        <w:rPr>
          <w:rFonts w:ascii="Calibri Light" w:hAnsi="Calibri Light"/>
        </w:rPr>
        <w:t>Conclusion</w:t>
      </w:r>
      <w:bookmarkEnd w:id="9"/>
    </w:p>
    <w:p w:rsidR="00101723" w:rsidRDefault="00BE2138" w:rsidP="00FB565E">
      <w:pPr>
        <w:pStyle w:val="NormalNumbering"/>
        <w:numPr>
          <w:ilvl w:val="0"/>
          <w:numId w:val="2"/>
        </w:numPr>
        <w:spacing w:before="40" w:after="40"/>
        <w:ind w:left="0" w:firstLine="0"/>
        <w:rPr>
          <w:rFonts w:ascii="Calibri Light" w:hAnsi="Calibri Light"/>
          <w:szCs w:val="26"/>
        </w:rPr>
      </w:pPr>
      <w:r w:rsidRPr="0078120B">
        <w:rPr>
          <w:rFonts w:ascii="Calibri Light" w:hAnsi="Calibri Light"/>
          <w:szCs w:val="26"/>
        </w:rPr>
        <w:t xml:space="preserve">The IIGB considers </w:t>
      </w:r>
      <w:r w:rsidR="00101723" w:rsidRPr="0078120B">
        <w:rPr>
          <w:rFonts w:ascii="Calibri Light" w:hAnsi="Calibri Light"/>
          <w:szCs w:val="26"/>
        </w:rPr>
        <w:t xml:space="preserve">the department is making good progress in its implementation of IIGB recommendations, </w:t>
      </w:r>
      <w:r w:rsidR="00665577" w:rsidRPr="0078120B">
        <w:rPr>
          <w:rFonts w:ascii="Calibri Light" w:hAnsi="Calibri Light"/>
          <w:szCs w:val="26"/>
        </w:rPr>
        <w:t>demonstrating</w:t>
      </w:r>
      <w:r w:rsidR="00101723" w:rsidRPr="0078120B">
        <w:rPr>
          <w:rFonts w:ascii="Calibri Light" w:hAnsi="Calibri Light"/>
          <w:szCs w:val="26"/>
        </w:rPr>
        <w:t xml:space="preserve"> </w:t>
      </w:r>
      <w:r w:rsidR="00562D6C" w:rsidRPr="0078120B">
        <w:rPr>
          <w:rFonts w:ascii="Calibri Light" w:hAnsi="Calibri Light"/>
          <w:szCs w:val="26"/>
        </w:rPr>
        <w:t>its</w:t>
      </w:r>
      <w:r w:rsidR="00101723" w:rsidRPr="0078120B">
        <w:rPr>
          <w:rFonts w:ascii="Calibri Light" w:hAnsi="Calibri Light"/>
          <w:szCs w:val="26"/>
        </w:rPr>
        <w:t xml:space="preserve"> ongoing commitment to continual improvement in </w:t>
      </w:r>
      <w:r w:rsidR="00562D6C" w:rsidRPr="0078120B">
        <w:rPr>
          <w:rFonts w:ascii="Calibri Light" w:hAnsi="Calibri Light"/>
          <w:szCs w:val="26"/>
        </w:rPr>
        <w:t>the management of</w:t>
      </w:r>
      <w:r w:rsidR="00101723" w:rsidRPr="0078120B">
        <w:rPr>
          <w:rFonts w:ascii="Calibri Light" w:hAnsi="Calibri Light"/>
          <w:szCs w:val="26"/>
        </w:rPr>
        <w:t xml:space="preserve"> biosecurity risk</w:t>
      </w:r>
      <w:r w:rsidR="00562D6C" w:rsidRPr="0078120B">
        <w:rPr>
          <w:rFonts w:ascii="Calibri Light" w:hAnsi="Calibri Light"/>
          <w:szCs w:val="26"/>
        </w:rPr>
        <w:t>s</w:t>
      </w:r>
      <w:r w:rsidR="00101723" w:rsidRPr="0078120B">
        <w:rPr>
          <w:rFonts w:ascii="Calibri Light" w:hAnsi="Calibri Light"/>
          <w:szCs w:val="26"/>
        </w:rPr>
        <w:t>.</w:t>
      </w:r>
    </w:p>
    <w:p w:rsidR="00AA521A" w:rsidRPr="0078120B" w:rsidRDefault="00AA521A" w:rsidP="00FB565E">
      <w:pPr>
        <w:pStyle w:val="NormalNumbering"/>
        <w:numPr>
          <w:ilvl w:val="0"/>
          <w:numId w:val="2"/>
        </w:numPr>
        <w:spacing w:before="40" w:after="40"/>
        <w:ind w:left="0" w:firstLine="0"/>
        <w:rPr>
          <w:rFonts w:ascii="Calibri Light" w:hAnsi="Calibri Light"/>
          <w:szCs w:val="26"/>
        </w:rPr>
      </w:pPr>
      <w:r>
        <w:rPr>
          <w:rFonts w:ascii="Calibri Light" w:hAnsi="Calibri Light"/>
          <w:szCs w:val="26"/>
        </w:rPr>
        <w:t>This review has demonstrated the benefits in having clear</w:t>
      </w:r>
      <w:r w:rsidR="00A87D25">
        <w:rPr>
          <w:rFonts w:ascii="Calibri Light" w:hAnsi="Calibri Light"/>
          <w:szCs w:val="26"/>
        </w:rPr>
        <w:t>, agreed</w:t>
      </w:r>
      <w:r>
        <w:rPr>
          <w:rFonts w:ascii="Calibri Light" w:hAnsi="Calibri Light"/>
          <w:szCs w:val="26"/>
        </w:rPr>
        <w:t xml:space="preserve"> </w:t>
      </w:r>
      <w:r w:rsidR="00A87D25">
        <w:rPr>
          <w:rFonts w:ascii="Calibri Light" w:hAnsi="Calibri Light"/>
          <w:szCs w:val="26"/>
        </w:rPr>
        <w:t>processes and timelines for auditing and reporting of all IIGB activities.</w:t>
      </w:r>
    </w:p>
    <w:p w:rsidR="00E22F94" w:rsidRPr="00A21FC1" w:rsidRDefault="00982D09" w:rsidP="00FB565E">
      <w:pPr>
        <w:pStyle w:val="Heading2"/>
        <w:spacing w:before="160"/>
        <w:rPr>
          <w:rFonts w:ascii="Calibri Light" w:hAnsi="Calibri Light"/>
        </w:rPr>
      </w:pPr>
      <w:bookmarkStart w:id="10" w:name="_Toc421009982"/>
      <w:r w:rsidRPr="00A21FC1">
        <w:rPr>
          <w:rFonts w:ascii="Calibri Light" w:hAnsi="Calibri Light"/>
        </w:rPr>
        <w:t>Ne</w:t>
      </w:r>
      <w:r w:rsidR="00C344F4" w:rsidRPr="00A21FC1">
        <w:rPr>
          <w:rFonts w:ascii="Calibri Light" w:hAnsi="Calibri Light"/>
        </w:rPr>
        <w:t>xt</w:t>
      </w:r>
      <w:r w:rsidRPr="00A21FC1">
        <w:rPr>
          <w:rFonts w:ascii="Calibri Light" w:hAnsi="Calibri Light"/>
        </w:rPr>
        <w:t xml:space="preserve"> review cycle</w:t>
      </w:r>
      <w:bookmarkEnd w:id="10"/>
    </w:p>
    <w:p w:rsidR="00E22F94" w:rsidRPr="0078120B" w:rsidRDefault="00982D09" w:rsidP="00FB565E">
      <w:pPr>
        <w:pStyle w:val="NormalNumbering"/>
        <w:numPr>
          <w:ilvl w:val="0"/>
          <w:numId w:val="2"/>
        </w:numPr>
        <w:spacing w:before="40" w:after="40"/>
        <w:ind w:left="0" w:firstLine="0"/>
        <w:rPr>
          <w:rFonts w:ascii="Calibri Light" w:hAnsi="Calibri Light"/>
          <w:szCs w:val="26"/>
        </w:rPr>
      </w:pPr>
      <w:r w:rsidRPr="0078120B">
        <w:rPr>
          <w:rFonts w:ascii="Calibri Light" w:hAnsi="Calibri Light"/>
          <w:szCs w:val="26"/>
        </w:rPr>
        <w:t>Th</w:t>
      </w:r>
      <w:r w:rsidR="006B4BCC" w:rsidRPr="0078120B">
        <w:rPr>
          <w:rFonts w:ascii="Calibri Light" w:hAnsi="Calibri Light"/>
          <w:szCs w:val="26"/>
        </w:rPr>
        <w:t>e</w:t>
      </w:r>
      <w:r w:rsidRPr="0078120B">
        <w:rPr>
          <w:rFonts w:ascii="Calibri Light" w:hAnsi="Calibri Light"/>
          <w:szCs w:val="26"/>
        </w:rPr>
        <w:t xml:space="preserve"> IIGB</w:t>
      </w:r>
      <w:r w:rsidR="002F518A" w:rsidRPr="0078120B">
        <w:rPr>
          <w:rFonts w:ascii="Calibri Light" w:hAnsi="Calibri Light"/>
          <w:szCs w:val="26"/>
        </w:rPr>
        <w:t xml:space="preserve"> will commence the next review of </w:t>
      </w:r>
      <w:r w:rsidR="00743C41" w:rsidRPr="0078120B">
        <w:rPr>
          <w:rFonts w:ascii="Calibri Light" w:hAnsi="Calibri Light"/>
          <w:szCs w:val="26"/>
        </w:rPr>
        <w:t xml:space="preserve">previous </w:t>
      </w:r>
      <w:r w:rsidR="001D1F15">
        <w:rPr>
          <w:rFonts w:ascii="Calibri Light" w:hAnsi="Calibri Light"/>
          <w:szCs w:val="26"/>
        </w:rPr>
        <w:t>recommendations in August</w:t>
      </w:r>
      <w:r w:rsidR="00177AB0" w:rsidRPr="0078120B">
        <w:rPr>
          <w:rFonts w:ascii="Calibri Light" w:hAnsi="Calibri Light"/>
          <w:szCs w:val="26"/>
        </w:rPr>
        <w:t> </w:t>
      </w:r>
      <w:r w:rsidR="002F518A" w:rsidRPr="0078120B">
        <w:rPr>
          <w:rFonts w:ascii="Calibri Light" w:hAnsi="Calibri Light"/>
          <w:szCs w:val="26"/>
        </w:rPr>
        <w:t>2015.</w:t>
      </w:r>
    </w:p>
    <w:p w:rsidR="00FB565E" w:rsidRPr="00A21FC1" w:rsidRDefault="00FB565E">
      <w:pPr>
        <w:rPr>
          <w:rFonts w:ascii="Calibri Light" w:hAnsi="Calibri Light" w:cs="Arial"/>
          <w:b/>
          <w:bCs/>
          <w:iCs/>
          <w:noProof/>
          <w:sz w:val="28"/>
          <w:szCs w:val="28"/>
        </w:rPr>
      </w:pPr>
    </w:p>
    <w:p w:rsidR="00FB565E" w:rsidRPr="00A21FC1" w:rsidRDefault="006A73A0">
      <w:pPr>
        <w:rPr>
          <w:rFonts w:ascii="Calibri Light" w:hAnsi="Calibri Light" w:cs="Arial"/>
          <w:b/>
          <w:bCs/>
          <w:iCs/>
          <w:noProof/>
          <w:sz w:val="28"/>
          <w:szCs w:val="28"/>
        </w:rPr>
      </w:pPr>
      <w:r>
        <w:rPr>
          <w:rFonts w:ascii="Calibri Light" w:hAnsi="Calibri Light" w:cs="Arial"/>
          <w:b/>
          <w:bCs/>
          <w:iCs/>
          <w:noProof/>
          <w:sz w:val="28"/>
          <w:szCs w:val="28"/>
        </w:rPr>
        <w:t>[Signed]</w:t>
      </w:r>
    </w:p>
    <w:p w:rsidR="006A2A6B" w:rsidRPr="00A21FC1" w:rsidRDefault="006A2A6B">
      <w:pPr>
        <w:rPr>
          <w:rFonts w:ascii="Calibri Light" w:hAnsi="Calibri Light" w:cs="Arial"/>
          <w:b/>
          <w:bCs/>
          <w:iCs/>
          <w:noProof/>
          <w:sz w:val="28"/>
          <w:szCs w:val="28"/>
        </w:rPr>
      </w:pPr>
    </w:p>
    <w:p w:rsidR="00C22295" w:rsidRPr="00A21FC1" w:rsidRDefault="00C22295">
      <w:pPr>
        <w:rPr>
          <w:rFonts w:ascii="Calibri Light" w:hAnsi="Calibri Light" w:cs="Arial"/>
          <w:b/>
          <w:bCs/>
          <w:iCs/>
          <w:noProof/>
          <w:sz w:val="28"/>
          <w:szCs w:val="28"/>
        </w:rPr>
      </w:pPr>
    </w:p>
    <w:p w:rsidR="00C22295" w:rsidRPr="00A21FC1" w:rsidRDefault="00C22295" w:rsidP="00CC50C1">
      <w:pPr>
        <w:rPr>
          <w:rFonts w:ascii="Calibri Light" w:hAnsi="Calibri Light" w:cs="Calibri"/>
          <w:sz w:val="24"/>
          <w:szCs w:val="26"/>
        </w:rPr>
      </w:pPr>
      <w:r w:rsidRPr="00A21FC1">
        <w:rPr>
          <w:rFonts w:ascii="Calibri Light" w:hAnsi="Calibri Light" w:cs="Calibri"/>
          <w:sz w:val="24"/>
          <w:szCs w:val="26"/>
        </w:rPr>
        <w:t>Dr Michael Bond</w:t>
      </w:r>
      <w:r w:rsidRPr="00A21FC1">
        <w:rPr>
          <w:rFonts w:ascii="Calibri Light" w:hAnsi="Calibri Light" w:cs="Calibri"/>
          <w:sz w:val="24"/>
          <w:szCs w:val="26"/>
        </w:rPr>
        <w:br/>
        <w:t>Interim Inspector-General of Biosecurity</w:t>
      </w:r>
    </w:p>
    <w:p w:rsidR="00C22295" w:rsidRPr="00A21FC1" w:rsidRDefault="008C25B9" w:rsidP="00A01D61">
      <w:pPr>
        <w:rPr>
          <w:rFonts w:ascii="Calibri Light" w:hAnsi="Calibri Light" w:cs="Calibri"/>
          <w:sz w:val="24"/>
          <w:szCs w:val="26"/>
        </w:rPr>
      </w:pPr>
      <w:r>
        <w:rPr>
          <w:rFonts w:ascii="Calibri Light" w:hAnsi="Calibri Light" w:cs="Calibri"/>
          <w:sz w:val="24"/>
          <w:szCs w:val="26"/>
        </w:rPr>
        <w:t>10 July 2015</w:t>
      </w:r>
    </w:p>
    <w:p w:rsidR="00EC6BD5" w:rsidRDefault="00EC6BD5" w:rsidP="00753233">
      <w:pPr>
        <w:pStyle w:val="Heading2"/>
        <w:spacing w:before="0" w:after="120"/>
        <w:jc w:val="right"/>
        <w:rPr>
          <w:rFonts w:ascii="Calibri Light" w:hAnsi="Calibri Light"/>
        </w:rPr>
        <w:sectPr w:rsidR="00EC6BD5" w:rsidSect="002F7C1F">
          <w:headerReference w:type="default" r:id="rId11"/>
          <w:pgSz w:w="11906" w:h="16838"/>
          <w:pgMar w:top="1440" w:right="1560" w:bottom="1440" w:left="1797" w:header="709" w:footer="709" w:gutter="0"/>
          <w:cols w:space="708"/>
          <w:docGrid w:linePitch="360"/>
        </w:sectPr>
      </w:pPr>
    </w:p>
    <w:p w:rsidR="00EC6BD5" w:rsidRPr="006461BE" w:rsidRDefault="00EC6BD5" w:rsidP="00922427">
      <w:pPr>
        <w:pStyle w:val="Heading2"/>
        <w:spacing w:before="160"/>
        <w:jc w:val="right"/>
        <w:rPr>
          <w:rFonts w:ascii="Calibri Light" w:hAnsi="Calibri Light"/>
        </w:rPr>
      </w:pPr>
      <w:bookmarkStart w:id="11" w:name="_Toc421009983"/>
      <w:r w:rsidRPr="006461BE">
        <w:rPr>
          <w:rFonts w:ascii="Calibri Light" w:hAnsi="Calibri Light"/>
        </w:rPr>
        <w:lastRenderedPageBreak/>
        <w:t>Attachment A</w:t>
      </w:r>
      <w:bookmarkEnd w:id="11"/>
    </w:p>
    <w:p w:rsidR="00FF516D" w:rsidRPr="00C550F1" w:rsidRDefault="00FF516D" w:rsidP="006461BE">
      <w:pPr>
        <w:jc w:val="center"/>
        <w:rPr>
          <w:rFonts w:ascii="Calibri Light" w:hAnsi="Calibri Light"/>
          <w:b/>
        </w:rPr>
      </w:pPr>
      <w:r w:rsidRPr="00C550F1">
        <w:rPr>
          <w:rFonts w:ascii="Calibri Light" w:hAnsi="Calibri Light"/>
          <w:b/>
        </w:rPr>
        <w:t>Recommendations closed by the Interim Inspector-General of Biosecurity</w:t>
      </w:r>
    </w:p>
    <w:p w:rsidR="00FF516D" w:rsidRPr="00A21FC1" w:rsidRDefault="00FF516D" w:rsidP="00FF516D">
      <w:pPr>
        <w:rPr>
          <w:rFonts w:ascii="Calibri Light" w:hAnsi="Calibri Light"/>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7797"/>
        <w:gridCol w:w="1843"/>
      </w:tblGrid>
      <w:tr w:rsidR="00E21B62" w:rsidRPr="00A21FC1" w:rsidTr="003E7DE9">
        <w:tc>
          <w:tcPr>
            <w:tcW w:w="8364" w:type="dxa"/>
            <w:gridSpan w:val="2"/>
            <w:shd w:val="clear" w:color="auto" w:fill="548DD4"/>
            <w:vAlign w:val="center"/>
          </w:tcPr>
          <w:p w:rsidR="00E21B62" w:rsidRPr="00A21FC1" w:rsidRDefault="00E21B62" w:rsidP="003E7DE9">
            <w:pPr>
              <w:spacing w:before="120" w:after="120"/>
              <w:rPr>
                <w:rFonts w:ascii="Calibri Light" w:hAnsi="Calibri Light"/>
                <w:b/>
              </w:rPr>
            </w:pPr>
            <w:r w:rsidRPr="00A21FC1">
              <w:rPr>
                <w:rFonts w:ascii="Calibri Light" w:hAnsi="Calibri Light"/>
                <w:b/>
              </w:rPr>
              <w:t>Title</w:t>
            </w:r>
          </w:p>
        </w:tc>
        <w:tc>
          <w:tcPr>
            <w:tcW w:w="1843" w:type="dxa"/>
            <w:shd w:val="clear" w:color="auto" w:fill="548DD4"/>
            <w:vAlign w:val="center"/>
          </w:tcPr>
          <w:p w:rsidR="00E21B62" w:rsidRPr="00A21FC1" w:rsidRDefault="00E21B62" w:rsidP="003E7DE9">
            <w:pPr>
              <w:spacing w:before="120" w:after="120"/>
              <w:rPr>
                <w:rFonts w:ascii="Calibri Light" w:hAnsi="Calibri Light"/>
                <w:b/>
              </w:rPr>
            </w:pPr>
            <w:r w:rsidRPr="00A21FC1">
              <w:rPr>
                <w:rFonts w:ascii="Calibri Light" w:hAnsi="Calibri Light"/>
                <w:b/>
              </w:rPr>
              <w:t>Publicly released</w:t>
            </w:r>
          </w:p>
        </w:tc>
      </w:tr>
      <w:tr w:rsidR="00E21B62" w:rsidRPr="00A21FC1" w:rsidTr="003E7DE9">
        <w:tc>
          <w:tcPr>
            <w:tcW w:w="8364" w:type="dxa"/>
            <w:gridSpan w:val="2"/>
            <w:vAlign w:val="center"/>
          </w:tcPr>
          <w:p w:rsidR="00E21B62" w:rsidRPr="00A21FC1" w:rsidRDefault="00E21B62" w:rsidP="003E7DE9">
            <w:pPr>
              <w:spacing w:before="120" w:after="120"/>
              <w:rPr>
                <w:rFonts w:ascii="Calibri Light" w:hAnsi="Calibri Light"/>
                <w:b/>
              </w:rPr>
            </w:pPr>
            <w:r w:rsidRPr="00A21FC1">
              <w:rPr>
                <w:rFonts w:ascii="Calibri Light" w:hAnsi="Calibri Light"/>
                <w:b/>
              </w:rPr>
              <w:t>Report of the Interim Inspector-General of Horse Importation – April 2009</w:t>
            </w:r>
          </w:p>
        </w:tc>
        <w:tc>
          <w:tcPr>
            <w:tcW w:w="1843" w:type="dxa"/>
            <w:vAlign w:val="center"/>
          </w:tcPr>
          <w:p w:rsidR="00E21B62" w:rsidRPr="00A21FC1" w:rsidRDefault="00E21B62" w:rsidP="003E7DE9">
            <w:pPr>
              <w:spacing w:before="120" w:after="120"/>
              <w:rPr>
                <w:rFonts w:ascii="Calibri Light" w:hAnsi="Calibri Light"/>
                <w:b/>
              </w:rPr>
            </w:pPr>
            <w:r w:rsidRPr="00A21FC1">
              <w:rPr>
                <w:rFonts w:ascii="Calibri Light" w:hAnsi="Calibri Light"/>
                <w:b/>
              </w:rPr>
              <w:t>28 July 2011</w:t>
            </w:r>
          </w:p>
        </w:tc>
      </w:tr>
      <w:tr w:rsidR="00A76756" w:rsidRPr="00A21FC1" w:rsidTr="003E7DE9">
        <w:tc>
          <w:tcPr>
            <w:tcW w:w="10207" w:type="dxa"/>
            <w:gridSpan w:val="3"/>
            <w:shd w:val="clear" w:color="auto" w:fill="C6D9F1"/>
            <w:vAlign w:val="center"/>
          </w:tcPr>
          <w:p w:rsidR="00A76756" w:rsidRPr="00A21FC1" w:rsidRDefault="00A76756" w:rsidP="003E7DE9">
            <w:pPr>
              <w:spacing w:before="120" w:after="120"/>
              <w:rPr>
                <w:rFonts w:ascii="Calibri Light" w:hAnsi="Calibri Light"/>
                <w:b/>
              </w:rPr>
            </w:pPr>
            <w:r w:rsidRPr="00A21FC1">
              <w:rPr>
                <w:rFonts w:ascii="Calibri Light" w:hAnsi="Calibri Light"/>
                <w:b/>
              </w:rPr>
              <w:t>Recommendation</w:t>
            </w:r>
          </w:p>
        </w:tc>
      </w:tr>
      <w:tr w:rsidR="00A76756" w:rsidRPr="00A21FC1" w:rsidTr="003E7DE9">
        <w:tc>
          <w:tcPr>
            <w:tcW w:w="567" w:type="dxa"/>
            <w:vAlign w:val="center"/>
          </w:tcPr>
          <w:p w:rsidR="00A76756" w:rsidRPr="00A21FC1" w:rsidRDefault="00A76756" w:rsidP="003E7DE9">
            <w:pPr>
              <w:spacing w:before="120" w:after="120"/>
              <w:rPr>
                <w:rFonts w:ascii="Calibri Light" w:hAnsi="Calibri Light"/>
              </w:rPr>
            </w:pPr>
            <w:r w:rsidRPr="00A21FC1">
              <w:rPr>
                <w:rFonts w:ascii="Calibri Light" w:hAnsi="Calibri Light"/>
              </w:rPr>
              <w:t>1</w:t>
            </w:r>
          </w:p>
        </w:tc>
        <w:tc>
          <w:tcPr>
            <w:tcW w:w="9640" w:type="dxa"/>
            <w:gridSpan w:val="2"/>
            <w:vAlign w:val="center"/>
          </w:tcPr>
          <w:p w:rsidR="00A76756" w:rsidRPr="00A21FC1" w:rsidRDefault="00A76756" w:rsidP="003E7DE9">
            <w:pPr>
              <w:spacing w:before="120" w:after="120"/>
              <w:rPr>
                <w:rFonts w:ascii="Calibri Light" w:hAnsi="Calibri Light"/>
              </w:rPr>
            </w:pPr>
            <w:r w:rsidRPr="00A21FC1">
              <w:rPr>
                <w:rFonts w:ascii="Calibri Light" w:eastAsia="Times New Roman" w:hAnsi="Calibri Light" w:cs="TimesNewRoman"/>
                <w:color w:val="010101"/>
                <w:sz w:val="20"/>
                <w:szCs w:val="20"/>
              </w:rPr>
              <w:t>AQIS should re-design the shower-out facilities associated with the horse quarantine compound at Eastern Creek Quarantine Station to completely ensure that clothing and footwear worn in the horse compound is separated from clothing and footwear worn outside that area.</w:t>
            </w:r>
          </w:p>
        </w:tc>
      </w:tr>
      <w:tr w:rsidR="00A76756" w:rsidRPr="00A21FC1" w:rsidTr="003E7DE9">
        <w:tc>
          <w:tcPr>
            <w:tcW w:w="567" w:type="dxa"/>
            <w:vAlign w:val="center"/>
          </w:tcPr>
          <w:p w:rsidR="00A76756" w:rsidRPr="00A21FC1" w:rsidRDefault="00A76756" w:rsidP="003E7DE9">
            <w:pPr>
              <w:spacing w:before="120" w:after="120"/>
              <w:rPr>
                <w:rFonts w:ascii="Calibri Light" w:hAnsi="Calibri Light"/>
              </w:rPr>
            </w:pPr>
            <w:r w:rsidRPr="00A21FC1">
              <w:rPr>
                <w:rFonts w:ascii="Calibri Light" w:hAnsi="Calibri Light"/>
              </w:rPr>
              <w:t>2</w:t>
            </w:r>
          </w:p>
        </w:tc>
        <w:tc>
          <w:tcPr>
            <w:tcW w:w="9640" w:type="dxa"/>
            <w:gridSpan w:val="2"/>
            <w:vAlign w:val="center"/>
          </w:tcPr>
          <w:p w:rsidR="00A76756" w:rsidRPr="00A21FC1" w:rsidRDefault="00A76756" w:rsidP="003E7DE9">
            <w:pPr>
              <w:spacing w:before="120" w:after="120"/>
              <w:rPr>
                <w:rFonts w:ascii="Calibri Light" w:eastAsia="Times New Roman" w:hAnsi="Calibri Light" w:cs="TimesNewRoman"/>
                <w:color w:val="010101"/>
                <w:sz w:val="20"/>
                <w:szCs w:val="20"/>
              </w:rPr>
            </w:pPr>
            <w:r w:rsidRPr="00A21FC1">
              <w:rPr>
                <w:rFonts w:ascii="Calibri Light" w:eastAsia="Times New Roman" w:hAnsi="Calibri Light" w:cs="TimesNewRoman"/>
                <w:color w:val="010101"/>
                <w:sz w:val="20"/>
                <w:szCs w:val="20"/>
              </w:rPr>
              <w:t>AQIS should consider structural and procedural changes to the access arrangements for staff to the dog and cat quarantine area at Eastern Creek Quarantine Station to remove the need for transit by way of road through the horse quarantine compound.</w:t>
            </w:r>
          </w:p>
        </w:tc>
      </w:tr>
      <w:tr w:rsidR="00A76756" w:rsidRPr="00A21FC1" w:rsidTr="003E7DE9">
        <w:tc>
          <w:tcPr>
            <w:tcW w:w="567" w:type="dxa"/>
            <w:vAlign w:val="center"/>
          </w:tcPr>
          <w:p w:rsidR="00A76756" w:rsidRPr="00A21FC1" w:rsidRDefault="00A76756" w:rsidP="003E7DE9">
            <w:pPr>
              <w:spacing w:before="120" w:after="120"/>
              <w:rPr>
                <w:rFonts w:ascii="Calibri Light" w:hAnsi="Calibri Light"/>
              </w:rPr>
            </w:pPr>
            <w:r w:rsidRPr="00A21FC1">
              <w:rPr>
                <w:rFonts w:ascii="Calibri Light" w:hAnsi="Calibri Light"/>
              </w:rPr>
              <w:t>3</w:t>
            </w:r>
          </w:p>
        </w:tc>
        <w:tc>
          <w:tcPr>
            <w:tcW w:w="9640" w:type="dxa"/>
            <w:gridSpan w:val="2"/>
            <w:vAlign w:val="center"/>
          </w:tcPr>
          <w:p w:rsidR="00A76756" w:rsidRPr="00A21FC1" w:rsidRDefault="00A76756" w:rsidP="003E7DE9">
            <w:pPr>
              <w:spacing w:before="120" w:after="120"/>
              <w:rPr>
                <w:rFonts w:ascii="Calibri Light" w:eastAsia="Times New Roman" w:hAnsi="Calibri Light" w:cs="TimesNewRoman"/>
                <w:color w:val="010101"/>
                <w:sz w:val="20"/>
                <w:szCs w:val="20"/>
              </w:rPr>
            </w:pPr>
            <w:r w:rsidRPr="00A21FC1">
              <w:rPr>
                <w:rFonts w:ascii="Calibri Light" w:eastAsia="Times New Roman" w:hAnsi="Calibri Light" w:cs="TimesNewRoman"/>
                <w:color w:val="010101"/>
                <w:sz w:val="20"/>
                <w:szCs w:val="20"/>
              </w:rPr>
              <w:t>AQIS should revise manuals of operational procedures for post-arrival quarantine facilities in Australia to ensure they are consistent with a HACCP approach.</w:t>
            </w:r>
          </w:p>
        </w:tc>
      </w:tr>
      <w:tr w:rsidR="00A76756" w:rsidRPr="00A21FC1" w:rsidTr="003E7DE9">
        <w:tc>
          <w:tcPr>
            <w:tcW w:w="567" w:type="dxa"/>
            <w:vAlign w:val="center"/>
          </w:tcPr>
          <w:p w:rsidR="00A76756" w:rsidRPr="00A21FC1" w:rsidRDefault="00A76756" w:rsidP="003E7DE9">
            <w:pPr>
              <w:spacing w:before="120" w:after="120"/>
              <w:rPr>
                <w:rFonts w:ascii="Calibri Light" w:hAnsi="Calibri Light"/>
              </w:rPr>
            </w:pPr>
            <w:r w:rsidRPr="00A21FC1">
              <w:rPr>
                <w:rFonts w:ascii="Calibri Light" w:hAnsi="Calibri Light"/>
              </w:rPr>
              <w:t>4</w:t>
            </w:r>
          </w:p>
        </w:tc>
        <w:tc>
          <w:tcPr>
            <w:tcW w:w="9640" w:type="dxa"/>
            <w:gridSpan w:val="2"/>
            <w:vAlign w:val="center"/>
          </w:tcPr>
          <w:p w:rsidR="00A76756" w:rsidRPr="00A21FC1" w:rsidRDefault="00A76756" w:rsidP="003E7DE9">
            <w:pPr>
              <w:spacing w:before="120" w:after="120"/>
              <w:rPr>
                <w:rFonts w:ascii="Calibri Light" w:hAnsi="Calibri Light"/>
              </w:rPr>
            </w:pPr>
            <w:r w:rsidRPr="00A21FC1">
              <w:rPr>
                <w:rFonts w:ascii="Calibri Light" w:eastAsia="Times New Roman" w:hAnsi="Calibri Light" w:cs="TimesNewRoman"/>
                <w:color w:val="010101"/>
                <w:sz w:val="20"/>
                <w:szCs w:val="20"/>
              </w:rPr>
              <w:t>AQIS should temporarily suspend the import conditions for the return of Australian horses and the temporary importation of horses from the United Arab Emirates until the impending major re-construction of the racetrack, exercise track and horse walkways is at a stage when these facilities can be assessed for acceptability of separation from non-PEQ horses during exercise periods of PEQ horses.</w:t>
            </w:r>
          </w:p>
        </w:tc>
      </w:tr>
      <w:tr w:rsidR="00A76756" w:rsidRPr="00A21FC1" w:rsidTr="003E7DE9">
        <w:tc>
          <w:tcPr>
            <w:tcW w:w="567" w:type="dxa"/>
            <w:vAlign w:val="center"/>
          </w:tcPr>
          <w:p w:rsidR="00A76756" w:rsidRPr="00A21FC1" w:rsidRDefault="00A76756" w:rsidP="003E7DE9">
            <w:pPr>
              <w:spacing w:before="120" w:after="120"/>
              <w:rPr>
                <w:rFonts w:ascii="Calibri Light" w:hAnsi="Calibri Light"/>
              </w:rPr>
            </w:pPr>
            <w:r w:rsidRPr="00A21FC1">
              <w:rPr>
                <w:rFonts w:ascii="Calibri Light" w:hAnsi="Calibri Light"/>
              </w:rPr>
              <w:t>5</w:t>
            </w:r>
          </w:p>
        </w:tc>
        <w:tc>
          <w:tcPr>
            <w:tcW w:w="9640" w:type="dxa"/>
            <w:gridSpan w:val="2"/>
            <w:vAlign w:val="center"/>
          </w:tcPr>
          <w:p w:rsidR="00A76756" w:rsidRPr="00A21FC1" w:rsidRDefault="00A76756" w:rsidP="003E7DE9">
            <w:pPr>
              <w:spacing w:before="120" w:after="120"/>
              <w:rPr>
                <w:rFonts w:ascii="Calibri Light" w:hAnsi="Calibri Light"/>
              </w:rPr>
            </w:pPr>
            <w:r w:rsidRPr="00A21FC1">
              <w:rPr>
                <w:rFonts w:ascii="Calibri Light" w:eastAsia="Times New Roman" w:hAnsi="Calibri Light" w:cs="TimesNewRoman"/>
                <w:color w:val="010101"/>
                <w:sz w:val="20"/>
                <w:szCs w:val="20"/>
              </w:rPr>
              <w:t>Biosecurity Australia should conduct a study that will enable objective standards to be defined for the internal surfaces (including flooring) of stables in PEQ facilities for cleaning and disinfection purposes.</w:t>
            </w:r>
          </w:p>
        </w:tc>
      </w:tr>
      <w:tr w:rsidR="00A64918" w:rsidRPr="00A21FC1" w:rsidTr="003E7DE9">
        <w:tc>
          <w:tcPr>
            <w:tcW w:w="567" w:type="dxa"/>
            <w:vAlign w:val="center"/>
          </w:tcPr>
          <w:p w:rsidR="00A64918" w:rsidRPr="00A21FC1" w:rsidRDefault="00A64918" w:rsidP="003E7DE9">
            <w:pPr>
              <w:spacing w:before="120" w:after="120"/>
              <w:rPr>
                <w:rFonts w:ascii="Calibri Light" w:hAnsi="Calibri Light"/>
              </w:rPr>
            </w:pPr>
            <w:r w:rsidRPr="00A21FC1">
              <w:rPr>
                <w:rFonts w:ascii="Calibri Light" w:hAnsi="Calibri Light"/>
              </w:rPr>
              <w:t>6</w:t>
            </w:r>
          </w:p>
        </w:tc>
        <w:tc>
          <w:tcPr>
            <w:tcW w:w="9640" w:type="dxa"/>
            <w:gridSpan w:val="2"/>
            <w:vAlign w:val="center"/>
          </w:tcPr>
          <w:p w:rsidR="00A64918" w:rsidRPr="00A21FC1" w:rsidRDefault="00A64918" w:rsidP="003E7DE9">
            <w:pPr>
              <w:spacing w:before="120" w:after="120"/>
              <w:rPr>
                <w:rFonts w:ascii="Calibri Light" w:hAnsi="Calibri Light"/>
              </w:rPr>
            </w:pPr>
            <w:r w:rsidRPr="00A21FC1">
              <w:rPr>
                <w:rFonts w:ascii="Calibri Light" w:eastAsia="Times New Roman" w:hAnsi="Calibri Light" w:cs="TimesNewRoman"/>
                <w:color w:val="010101"/>
                <w:sz w:val="20"/>
                <w:szCs w:val="20"/>
              </w:rPr>
              <w:t>AQIS should confirm with all competent authorities who are involved in the preparation for the export of horses to Australia the need for adherence by veterinarians to nasopharyngeal swabbing rather than nasal swabbing in testing undertaken during PEQ.</w:t>
            </w:r>
          </w:p>
        </w:tc>
      </w:tr>
      <w:tr w:rsidR="00A76756" w:rsidRPr="00A21FC1" w:rsidTr="003E7DE9">
        <w:tc>
          <w:tcPr>
            <w:tcW w:w="567" w:type="dxa"/>
            <w:vAlign w:val="center"/>
          </w:tcPr>
          <w:p w:rsidR="00A76756" w:rsidRPr="00A21FC1" w:rsidRDefault="00A76756" w:rsidP="003E7DE9">
            <w:pPr>
              <w:spacing w:before="120" w:after="120"/>
              <w:rPr>
                <w:rFonts w:ascii="Calibri Light" w:hAnsi="Calibri Light"/>
              </w:rPr>
            </w:pPr>
            <w:r w:rsidRPr="00A21FC1">
              <w:rPr>
                <w:rFonts w:ascii="Calibri Light" w:hAnsi="Calibri Light"/>
              </w:rPr>
              <w:t>7</w:t>
            </w:r>
          </w:p>
        </w:tc>
        <w:tc>
          <w:tcPr>
            <w:tcW w:w="9640" w:type="dxa"/>
            <w:gridSpan w:val="2"/>
            <w:vAlign w:val="center"/>
          </w:tcPr>
          <w:p w:rsidR="00A76756" w:rsidRPr="00A21FC1" w:rsidRDefault="00A76756" w:rsidP="003E7DE9">
            <w:pPr>
              <w:autoSpaceDE w:val="0"/>
              <w:autoSpaceDN w:val="0"/>
              <w:adjustRightInd w:val="0"/>
              <w:spacing w:before="120" w:after="120"/>
              <w:rPr>
                <w:rFonts w:ascii="Calibri Light" w:eastAsia="Times New Roman" w:hAnsi="Calibri Light" w:cs="TimesNewRoman"/>
                <w:color w:val="010101"/>
                <w:sz w:val="20"/>
                <w:szCs w:val="20"/>
              </w:rPr>
            </w:pPr>
            <w:r w:rsidRPr="00A21FC1">
              <w:rPr>
                <w:rFonts w:ascii="Calibri Light" w:eastAsia="Times New Roman" w:hAnsi="Calibri Light" w:cs="TimesNewRoman"/>
                <w:color w:val="010101"/>
                <w:sz w:val="20"/>
                <w:szCs w:val="20"/>
              </w:rPr>
              <w:t>AQIS should require that any indoor exercise area at a PEQ facility may only be used by horses undergoing PEQ for Australia after inspection by the competent authority has verified that either:</w:t>
            </w:r>
          </w:p>
          <w:p w:rsidR="00A76756" w:rsidRPr="00A21FC1" w:rsidRDefault="00A76756" w:rsidP="003E7DE9">
            <w:pPr>
              <w:autoSpaceDE w:val="0"/>
              <w:autoSpaceDN w:val="0"/>
              <w:adjustRightInd w:val="0"/>
              <w:spacing w:before="120" w:after="120"/>
              <w:rPr>
                <w:rFonts w:ascii="Calibri Light" w:eastAsia="Times New Roman" w:hAnsi="Calibri Light" w:cs="TimesNewRoman"/>
                <w:color w:val="010101"/>
                <w:sz w:val="20"/>
                <w:szCs w:val="20"/>
              </w:rPr>
            </w:pPr>
            <w:r w:rsidRPr="00A21FC1">
              <w:rPr>
                <w:rFonts w:ascii="Calibri Light" w:eastAsia="Times New Roman" w:hAnsi="Calibri Light" w:cs="TimesNewRoman"/>
                <w:color w:val="010101"/>
                <w:sz w:val="20"/>
                <w:szCs w:val="20"/>
              </w:rPr>
              <w:t>a. Absorbent flooring previously used for the exercising of other horses has been replaced; or</w:t>
            </w:r>
          </w:p>
          <w:p w:rsidR="00A76756" w:rsidRPr="00A21FC1" w:rsidRDefault="00A76756" w:rsidP="003E7DE9">
            <w:pPr>
              <w:spacing w:before="120" w:after="120"/>
              <w:rPr>
                <w:rFonts w:ascii="Calibri Light" w:hAnsi="Calibri Light"/>
              </w:rPr>
            </w:pPr>
            <w:r w:rsidRPr="00A21FC1">
              <w:rPr>
                <w:rFonts w:ascii="Calibri Light" w:eastAsia="Times New Roman" w:hAnsi="Calibri Light" w:cs="TimesNewRoman"/>
                <w:color w:val="010101"/>
                <w:sz w:val="20"/>
                <w:szCs w:val="20"/>
              </w:rPr>
              <w:t>b. The time since the exercise area was last used by another horse has exceeded minimum requirements to be specified by AQIS.</w:t>
            </w:r>
          </w:p>
        </w:tc>
      </w:tr>
      <w:tr w:rsidR="00A76756" w:rsidRPr="00A21FC1" w:rsidTr="003E7DE9">
        <w:tc>
          <w:tcPr>
            <w:tcW w:w="567" w:type="dxa"/>
            <w:vAlign w:val="center"/>
          </w:tcPr>
          <w:p w:rsidR="00A76756" w:rsidRPr="00A21FC1" w:rsidRDefault="00A76756" w:rsidP="003E7DE9">
            <w:pPr>
              <w:spacing w:before="120" w:after="120"/>
              <w:rPr>
                <w:rFonts w:ascii="Calibri Light" w:hAnsi="Calibri Light"/>
              </w:rPr>
            </w:pPr>
            <w:r w:rsidRPr="00A21FC1">
              <w:rPr>
                <w:rFonts w:ascii="Calibri Light" w:hAnsi="Calibri Light"/>
              </w:rPr>
              <w:t>8</w:t>
            </w:r>
          </w:p>
        </w:tc>
        <w:tc>
          <w:tcPr>
            <w:tcW w:w="9640" w:type="dxa"/>
            <w:gridSpan w:val="2"/>
            <w:vAlign w:val="center"/>
          </w:tcPr>
          <w:p w:rsidR="00A76756" w:rsidRPr="00A21FC1" w:rsidRDefault="00A76756" w:rsidP="003E7DE9">
            <w:pPr>
              <w:spacing w:before="120" w:after="120"/>
              <w:rPr>
                <w:rFonts w:ascii="Calibri Light" w:hAnsi="Calibri Light"/>
              </w:rPr>
            </w:pPr>
            <w:r w:rsidRPr="00A21FC1">
              <w:rPr>
                <w:rFonts w:ascii="Calibri Light" w:eastAsia="Times New Roman" w:hAnsi="Calibri Light" w:cs="TimesNewRoman"/>
                <w:color w:val="010101"/>
                <w:sz w:val="20"/>
                <w:szCs w:val="20"/>
              </w:rPr>
              <w:t>AQIS should introduce a standard requirement that loading doors of ground transport vehicles carrying horses from the PEQ to the point of export must be sealed to the satisfaction of the relevant competent authority after loading at the PEQ.</w:t>
            </w:r>
          </w:p>
        </w:tc>
      </w:tr>
      <w:tr w:rsidR="00A76756" w:rsidRPr="00A21FC1" w:rsidTr="003E7DE9">
        <w:tc>
          <w:tcPr>
            <w:tcW w:w="567" w:type="dxa"/>
            <w:vAlign w:val="center"/>
          </w:tcPr>
          <w:p w:rsidR="00A76756" w:rsidRPr="00A21FC1" w:rsidRDefault="00A76756" w:rsidP="003E7DE9">
            <w:pPr>
              <w:spacing w:before="120" w:after="120"/>
              <w:rPr>
                <w:rFonts w:ascii="Calibri Light" w:hAnsi="Calibri Light"/>
              </w:rPr>
            </w:pPr>
            <w:r w:rsidRPr="00A21FC1">
              <w:rPr>
                <w:rFonts w:ascii="Calibri Light" w:hAnsi="Calibri Light"/>
              </w:rPr>
              <w:t>9</w:t>
            </w:r>
          </w:p>
        </w:tc>
        <w:tc>
          <w:tcPr>
            <w:tcW w:w="9640" w:type="dxa"/>
            <w:gridSpan w:val="2"/>
            <w:vAlign w:val="center"/>
          </w:tcPr>
          <w:p w:rsidR="00A76756" w:rsidRPr="00A21FC1" w:rsidRDefault="00A76756" w:rsidP="003E7DE9">
            <w:pPr>
              <w:spacing w:before="120" w:after="120"/>
              <w:rPr>
                <w:rFonts w:ascii="Calibri Light" w:hAnsi="Calibri Light"/>
              </w:rPr>
            </w:pPr>
            <w:r w:rsidRPr="00A21FC1">
              <w:rPr>
                <w:rFonts w:ascii="Calibri Light" w:eastAsia="Times New Roman" w:hAnsi="Calibri Light" w:cs="TimesNewRoman"/>
                <w:color w:val="010101"/>
                <w:sz w:val="20"/>
                <w:szCs w:val="20"/>
              </w:rPr>
              <w:t>AQIS should require that operational manuals of PEQ facilities must include a procedure for the sourcing and validation of information regarding the health status of the premises of origin and the vaccination history of horses in PEQ.</w:t>
            </w:r>
          </w:p>
        </w:tc>
      </w:tr>
      <w:tr w:rsidR="00A76756" w:rsidRPr="00A21FC1" w:rsidTr="003E7DE9">
        <w:tc>
          <w:tcPr>
            <w:tcW w:w="567" w:type="dxa"/>
            <w:vAlign w:val="center"/>
          </w:tcPr>
          <w:p w:rsidR="00A76756" w:rsidRPr="00A21FC1" w:rsidRDefault="00A76756" w:rsidP="003E7DE9">
            <w:pPr>
              <w:spacing w:before="120" w:after="120"/>
              <w:rPr>
                <w:rFonts w:ascii="Calibri Light" w:hAnsi="Calibri Light"/>
              </w:rPr>
            </w:pPr>
            <w:r w:rsidRPr="00A21FC1">
              <w:rPr>
                <w:rFonts w:ascii="Calibri Light" w:hAnsi="Calibri Light"/>
              </w:rPr>
              <w:t>10</w:t>
            </w:r>
          </w:p>
        </w:tc>
        <w:tc>
          <w:tcPr>
            <w:tcW w:w="9640" w:type="dxa"/>
            <w:gridSpan w:val="2"/>
            <w:vAlign w:val="center"/>
          </w:tcPr>
          <w:p w:rsidR="00A76756" w:rsidRPr="00A21FC1" w:rsidRDefault="00A76756" w:rsidP="003E7DE9">
            <w:pPr>
              <w:spacing w:before="120" w:after="120"/>
              <w:rPr>
                <w:rFonts w:ascii="Calibri Light" w:hAnsi="Calibri Light"/>
              </w:rPr>
            </w:pPr>
            <w:r w:rsidRPr="00A21FC1">
              <w:rPr>
                <w:rFonts w:ascii="Calibri Light" w:eastAsia="Times New Roman" w:hAnsi="Calibri Light" w:cs="TimesNewRoman"/>
                <w:color w:val="010101"/>
                <w:sz w:val="20"/>
                <w:szCs w:val="20"/>
              </w:rPr>
              <w:t>AQIS should finalise as quickly as possible model operational procedures for PEQ facilities to assist competent authorities and PEQ facility operators to move more speedily toward development of HACCP-based manuals of operational procedures.</w:t>
            </w:r>
          </w:p>
        </w:tc>
      </w:tr>
      <w:tr w:rsidR="00A5067F" w:rsidRPr="00A21FC1" w:rsidTr="003E7DE9">
        <w:tc>
          <w:tcPr>
            <w:tcW w:w="567" w:type="dxa"/>
            <w:vAlign w:val="center"/>
          </w:tcPr>
          <w:p w:rsidR="00A5067F" w:rsidRPr="00A21FC1" w:rsidRDefault="00A5067F" w:rsidP="003E7DE9">
            <w:pPr>
              <w:spacing w:before="120" w:after="120"/>
              <w:rPr>
                <w:rFonts w:ascii="Calibri Light" w:hAnsi="Calibri Light"/>
              </w:rPr>
            </w:pPr>
            <w:r w:rsidRPr="00A21FC1">
              <w:rPr>
                <w:rFonts w:ascii="Calibri Light" w:hAnsi="Calibri Light"/>
              </w:rPr>
              <w:t>11</w:t>
            </w:r>
          </w:p>
        </w:tc>
        <w:tc>
          <w:tcPr>
            <w:tcW w:w="9640" w:type="dxa"/>
            <w:gridSpan w:val="2"/>
            <w:vAlign w:val="center"/>
          </w:tcPr>
          <w:p w:rsidR="00A5067F" w:rsidRPr="00A21FC1" w:rsidRDefault="00A5067F" w:rsidP="003E7DE9">
            <w:pPr>
              <w:spacing w:before="120" w:after="120"/>
              <w:rPr>
                <w:rFonts w:ascii="Calibri Light" w:hAnsi="Calibri Light"/>
              </w:rPr>
            </w:pPr>
            <w:r w:rsidRPr="00A21FC1">
              <w:rPr>
                <w:rFonts w:ascii="Calibri Light" w:eastAsia="Times New Roman" w:hAnsi="Calibri Light" w:cs="TimesNewRoman"/>
                <w:color w:val="010101"/>
                <w:sz w:val="20"/>
                <w:szCs w:val="20"/>
              </w:rPr>
              <w:t>AQIS should confirm with the relevant competent authority that it is not acceptable for the chain of custody of samples taken for export testing from horses in PEQ for Australia to directly include the manager or operational staff of the PEQ facility.</w:t>
            </w:r>
          </w:p>
        </w:tc>
      </w:tr>
      <w:tr w:rsidR="00A5067F" w:rsidRPr="00A21FC1" w:rsidTr="003E7DE9">
        <w:tc>
          <w:tcPr>
            <w:tcW w:w="567" w:type="dxa"/>
            <w:vAlign w:val="center"/>
          </w:tcPr>
          <w:p w:rsidR="00A5067F" w:rsidRPr="00A21FC1" w:rsidRDefault="00A5067F" w:rsidP="003E7DE9">
            <w:pPr>
              <w:spacing w:before="120" w:after="120"/>
              <w:rPr>
                <w:rFonts w:ascii="Calibri Light" w:hAnsi="Calibri Light"/>
              </w:rPr>
            </w:pPr>
            <w:r w:rsidRPr="00A21FC1">
              <w:rPr>
                <w:rFonts w:ascii="Calibri Light" w:hAnsi="Calibri Light"/>
              </w:rPr>
              <w:lastRenderedPageBreak/>
              <w:t>12</w:t>
            </w:r>
          </w:p>
        </w:tc>
        <w:tc>
          <w:tcPr>
            <w:tcW w:w="9640" w:type="dxa"/>
            <w:gridSpan w:val="2"/>
            <w:vAlign w:val="center"/>
          </w:tcPr>
          <w:p w:rsidR="00A5067F" w:rsidRPr="00A21FC1" w:rsidRDefault="00A5067F" w:rsidP="003E7DE9">
            <w:pPr>
              <w:spacing w:before="120" w:after="120"/>
              <w:rPr>
                <w:rFonts w:ascii="Calibri Light" w:hAnsi="Calibri Light"/>
              </w:rPr>
            </w:pPr>
            <w:r w:rsidRPr="00A21FC1">
              <w:rPr>
                <w:rFonts w:ascii="Calibri Light" w:eastAsia="Times New Roman" w:hAnsi="Calibri Light" w:cs="TimesNewRoman"/>
                <w:color w:val="010101"/>
                <w:sz w:val="20"/>
                <w:szCs w:val="20"/>
              </w:rPr>
              <w:t>AQIS should confirm with the relevant competent authority that it is not acceptable for horses in PEQ for Australia to access the sand- floored exercise area that is used by other horses that are undergoing post-arrival quarantine in that country.</w:t>
            </w:r>
          </w:p>
        </w:tc>
      </w:tr>
      <w:tr w:rsidR="00A5067F" w:rsidRPr="00A21FC1" w:rsidTr="003E7DE9">
        <w:tc>
          <w:tcPr>
            <w:tcW w:w="567" w:type="dxa"/>
            <w:vAlign w:val="center"/>
          </w:tcPr>
          <w:p w:rsidR="00A5067F" w:rsidRPr="00A21FC1" w:rsidRDefault="00A5067F" w:rsidP="003E7DE9">
            <w:pPr>
              <w:spacing w:before="120" w:after="120"/>
              <w:rPr>
                <w:rFonts w:ascii="Calibri Light" w:hAnsi="Calibri Light"/>
              </w:rPr>
            </w:pPr>
            <w:r w:rsidRPr="00A21FC1">
              <w:rPr>
                <w:rFonts w:ascii="Calibri Light" w:hAnsi="Calibri Light"/>
              </w:rPr>
              <w:t>13</w:t>
            </w:r>
          </w:p>
        </w:tc>
        <w:tc>
          <w:tcPr>
            <w:tcW w:w="9640" w:type="dxa"/>
            <w:gridSpan w:val="2"/>
            <w:vAlign w:val="center"/>
          </w:tcPr>
          <w:p w:rsidR="00A5067F" w:rsidRPr="00A21FC1" w:rsidRDefault="00A5067F" w:rsidP="003E7DE9">
            <w:pPr>
              <w:autoSpaceDE w:val="0"/>
              <w:autoSpaceDN w:val="0"/>
              <w:adjustRightInd w:val="0"/>
              <w:spacing w:before="120" w:after="120"/>
              <w:rPr>
                <w:rFonts w:ascii="Calibri Light" w:eastAsia="Times New Roman" w:hAnsi="Calibri Light" w:cs="TimesNewRoman"/>
                <w:color w:val="010101"/>
                <w:sz w:val="20"/>
                <w:szCs w:val="20"/>
              </w:rPr>
            </w:pPr>
            <w:r w:rsidRPr="00A21FC1">
              <w:rPr>
                <w:rFonts w:ascii="Calibri Light" w:eastAsia="Times New Roman" w:hAnsi="Calibri Light" w:cs="TimesNewRoman"/>
                <w:color w:val="010101"/>
                <w:sz w:val="20"/>
                <w:szCs w:val="20"/>
              </w:rPr>
              <w:t>AQIS should ensure that the Standard Operating Procedures under development for the relevant PEQ must specify that Australian PEQ horses to be walked to the ground transport loading ramp at the end of the quarantine period must not leave the PEQ facility until the following measures are undertaken:</w:t>
            </w:r>
          </w:p>
          <w:p w:rsidR="00A5067F" w:rsidRPr="00A21FC1" w:rsidRDefault="00A5067F" w:rsidP="003E7DE9">
            <w:pPr>
              <w:autoSpaceDE w:val="0"/>
              <w:autoSpaceDN w:val="0"/>
              <w:adjustRightInd w:val="0"/>
              <w:spacing w:before="120" w:after="120"/>
              <w:rPr>
                <w:rFonts w:ascii="Calibri Light" w:eastAsia="Times New Roman" w:hAnsi="Calibri Light" w:cs="TimesNewRoman"/>
                <w:color w:val="010101"/>
                <w:sz w:val="20"/>
                <w:szCs w:val="20"/>
              </w:rPr>
            </w:pPr>
            <w:r w:rsidRPr="00A21FC1">
              <w:rPr>
                <w:rFonts w:ascii="Calibri Light" w:eastAsia="Times New Roman" w:hAnsi="Calibri Light" w:cs="TimesNewRoman"/>
                <w:color w:val="010101"/>
                <w:sz w:val="20"/>
                <w:szCs w:val="20"/>
              </w:rPr>
              <w:t>a. Any horses being accommodated at the barn adjacent to the loading area are stabled;</w:t>
            </w:r>
          </w:p>
          <w:p w:rsidR="00A5067F" w:rsidRPr="00A21FC1" w:rsidRDefault="00A5067F" w:rsidP="003E7DE9">
            <w:pPr>
              <w:autoSpaceDE w:val="0"/>
              <w:autoSpaceDN w:val="0"/>
              <w:adjustRightInd w:val="0"/>
              <w:spacing w:before="120" w:after="120"/>
              <w:rPr>
                <w:rFonts w:ascii="Calibri Light" w:eastAsia="Times New Roman" w:hAnsi="Calibri Light" w:cs="TimesNewRoman"/>
                <w:color w:val="010101"/>
                <w:sz w:val="20"/>
                <w:szCs w:val="20"/>
              </w:rPr>
            </w:pPr>
            <w:r w:rsidRPr="00A21FC1">
              <w:rPr>
                <w:rFonts w:ascii="Calibri Light" w:eastAsia="Times New Roman" w:hAnsi="Calibri Light" w:cs="TimesNewRoman"/>
                <w:color w:val="010101"/>
                <w:sz w:val="20"/>
                <w:szCs w:val="20"/>
              </w:rPr>
              <w:t>b. External doors of that barn have been closed; and</w:t>
            </w:r>
          </w:p>
          <w:p w:rsidR="00A5067F" w:rsidRPr="00A21FC1" w:rsidRDefault="00A5067F" w:rsidP="003E7DE9">
            <w:pPr>
              <w:spacing w:before="120" w:after="120"/>
              <w:rPr>
                <w:rFonts w:ascii="Calibri Light" w:hAnsi="Calibri Light"/>
              </w:rPr>
            </w:pPr>
            <w:r w:rsidRPr="00A21FC1">
              <w:rPr>
                <w:rFonts w:ascii="Calibri Light" w:eastAsia="Times New Roman" w:hAnsi="Calibri Light" w:cs="TimesNewRoman"/>
                <w:color w:val="010101"/>
                <w:sz w:val="20"/>
                <w:szCs w:val="20"/>
              </w:rPr>
              <w:t>c. Only the loading ramps that are furthest from the barn will be used to load Australian PEQ horses.</w:t>
            </w:r>
          </w:p>
        </w:tc>
      </w:tr>
      <w:tr w:rsidR="00A5067F" w:rsidRPr="00A21FC1" w:rsidTr="003E7DE9">
        <w:tc>
          <w:tcPr>
            <w:tcW w:w="567" w:type="dxa"/>
            <w:vAlign w:val="center"/>
          </w:tcPr>
          <w:p w:rsidR="00A5067F" w:rsidRPr="00A21FC1" w:rsidRDefault="00A5067F" w:rsidP="003E7DE9">
            <w:pPr>
              <w:spacing w:before="120" w:after="120"/>
              <w:rPr>
                <w:rFonts w:ascii="Calibri Light" w:hAnsi="Calibri Light"/>
              </w:rPr>
            </w:pPr>
            <w:r w:rsidRPr="00A21FC1">
              <w:rPr>
                <w:rFonts w:ascii="Calibri Light" w:hAnsi="Calibri Light"/>
              </w:rPr>
              <w:t>14</w:t>
            </w:r>
          </w:p>
        </w:tc>
        <w:tc>
          <w:tcPr>
            <w:tcW w:w="9640" w:type="dxa"/>
            <w:gridSpan w:val="2"/>
            <w:vAlign w:val="center"/>
          </w:tcPr>
          <w:p w:rsidR="00A5067F" w:rsidRPr="00A21FC1" w:rsidRDefault="00A5067F" w:rsidP="003E7DE9">
            <w:pPr>
              <w:spacing w:before="120" w:after="120"/>
              <w:rPr>
                <w:rFonts w:ascii="Calibri Light" w:hAnsi="Calibri Light"/>
              </w:rPr>
            </w:pPr>
            <w:r w:rsidRPr="00A21FC1">
              <w:rPr>
                <w:rFonts w:ascii="Calibri Light" w:eastAsia="Times New Roman" w:hAnsi="Calibri Light" w:cs="TimesNewRoman"/>
                <w:color w:val="010101"/>
                <w:sz w:val="20"/>
                <w:szCs w:val="20"/>
              </w:rPr>
              <w:t xml:space="preserve">AQIS should require that the Standard Operating Procedures under development for PEQ facilities that offer racetrack training include a documented procedure for horse-mounted safety officers at racetrack training sessions to maintain separation of at least 100m from Australian horses. In the event that such horses come into closer contact with Australian PEQ horse undertaking </w:t>
            </w:r>
            <w:proofErr w:type="spellStart"/>
            <w:r w:rsidRPr="00A21FC1">
              <w:rPr>
                <w:rFonts w:ascii="Calibri Light" w:eastAsia="Times New Roman" w:hAnsi="Calibri Light" w:cs="TimesNewRoman"/>
                <w:color w:val="010101"/>
                <w:sz w:val="20"/>
                <w:szCs w:val="20"/>
              </w:rPr>
              <w:t>trackwork</w:t>
            </w:r>
            <w:proofErr w:type="spellEnd"/>
            <w:r w:rsidRPr="00A21FC1">
              <w:rPr>
                <w:rFonts w:ascii="Calibri Light" w:eastAsia="Times New Roman" w:hAnsi="Calibri Light" w:cs="TimesNewRoman"/>
                <w:color w:val="010101"/>
                <w:sz w:val="20"/>
                <w:szCs w:val="20"/>
              </w:rPr>
              <w:t>, this must be immediately reported to the official veterinarian and subsequently to AQIS, Canberra, as soon as possible with full details of that incident.</w:t>
            </w:r>
          </w:p>
        </w:tc>
      </w:tr>
    </w:tbl>
    <w:p w:rsidR="00965C2F" w:rsidRPr="00A21FC1" w:rsidRDefault="00965C2F" w:rsidP="00E21B62">
      <w:pPr>
        <w:rPr>
          <w:rFonts w:ascii="Calibri Light" w:hAnsi="Calibri Light"/>
        </w:rPr>
      </w:pPr>
    </w:p>
    <w:p w:rsidR="00965C2F" w:rsidRPr="00A21FC1" w:rsidRDefault="00965C2F">
      <w:pPr>
        <w:rPr>
          <w:rFonts w:ascii="Calibri Light" w:hAnsi="Calibri Light"/>
        </w:rPr>
      </w:pPr>
    </w:p>
    <w:p w:rsidR="00091F76" w:rsidRPr="00A21FC1" w:rsidRDefault="00091F76">
      <w:pPr>
        <w:rPr>
          <w:rFonts w:ascii="Calibri Light" w:hAnsi="Calibri Light"/>
        </w:rPr>
      </w:pPr>
    </w:p>
    <w:p w:rsidR="00FB565E" w:rsidRPr="00A21FC1" w:rsidRDefault="00FB565E">
      <w:pPr>
        <w:rPr>
          <w:rFonts w:ascii="Calibri Light" w:hAnsi="Calibri Light"/>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7797"/>
        <w:gridCol w:w="1843"/>
      </w:tblGrid>
      <w:tr w:rsidR="00965C2F" w:rsidRPr="00A21FC1" w:rsidTr="003E7DE9">
        <w:tc>
          <w:tcPr>
            <w:tcW w:w="8364" w:type="dxa"/>
            <w:gridSpan w:val="2"/>
            <w:shd w:val="clear" w:color="auto" w:fill="548DD4"/>
            <w:vAlign w:val="center"/>
          </w:tcPr>
          <w:p w:rsidR="00965C2F" w:rsidRPr="00A21FC1" w:rsidRDefault="00965C2F" w:rsidP="003E7DE9">
            <w:pPr>
              <w:spacing w:before="120" w:after="120"/>
              <w:rPr>
                <w:rFonts w:ascii="Calibri Light" w:hAnsi="Calibri Light"/>
                <w:b/>
              </w:rPr>
            </w:pPr>
            <w:r w:rsidRPr="00A21FC1">
              <w:rPr>
                <w:rFonts w:ascii="Calibri Light" w:hAnsi="Calibri Light"/>
                <w:b/>
              </w:rPr>
              <w:t>Title</w:t>
            </w:r>
          </w:p>
        </w:tc>
        <w:tc>
          <w:tcPr>
            <w:tcW w:w="1843" w:type="dxa"/>
            <w:shd w:val="clear" w:color="auto" w:fill="548DD4"/>
            <w:vAlign w:val="center"/>
          </w:tcPr>
          <w:p w:rsidR="00965C2F" w:rsidRPr="00A21FC1" w:rsidRDefault="00965C2F" w:rsidP="003E7DE9">
            <w:pPr>
              <w:spacing w:before="120" w:after="120"/>
              <w:rPr>
                <w:rFonts w:ascii="Calibri Light" w:hAnsi="Calibri Light"/>
                <w:b/>
              </w:rPr>
            </w:pPr>
            <w:r w:rsidRPr="00A21FC1">
              <w:rPr>
                <w:rFonts w:ascii="Calibri Light" w:hAnsi="Calibri Light"/>
                <w:b/>
              </w:rPr>
              <w:t>Publicly released</w:t>
            </w:r>
          </w:p>
        </w:tc>
      </w:tr>
      <w:tr w:rsidR="00965C2F" w:rsidRPr="00A21FC1" w:rsidTr="003E7DE9">
        <w:tc>
          <w:tcPr>
            <w:tcW w:w="8364" w:type="dxa"/>
            <w:gridSpan w:val="2"/>
            <w:vAlign w:val="center"/>
          </w:tcPr>
          <w:p w:rsidR="00965C2F" w:rsidRPr="00A21FC1" w:rsidRDefault="00965C2F" w:rsidP="003E7DE9">
            <w:pPr>
              <w:spacing w:before="120" w:after="120"/>
              <w:rPr>
                <w:rFonts w:ascii="Calibri Light" w:hAnsi="Calibri Light"/>
                <w:b/>
              </w:rPr>
            </w:pPr>
            <w:r w:rsidRPr="00A21FC1">
              <w:rPr>
                <w:rFonts w:ascii="Calibri Light" w:hAnsi="Calibri Light"/>
                <w:b/>
              </w:rPr>
              <w:t xml:space="preserve">Prawn </w:t>
            </w:r>
            <w:r w:rsidR="009A019A" w:rsidRPr="00A21FC1">
              <w:rPr>
                <w:rFonts w:ascii="Calibri Light" w:hAnsi="Calibri Light"/>
                <w:b/>
              </w:rPr>
              <w:t>incident review – an examination of what caused a consignment of imported raw peeled prawns that tested positive for White Spot Syndrome Virus (WSSV) to be mistakenly released into Australia by the Biosecurity Services Group (BSG)</w:t>
            </w:r>
          </w:p>
        </w:tc>
        <w:tc>
          <w:tcPr>
            <w:tcW w:w="1843" w:type="dxa"/>
            <w:vAlign w:val="center"/>
          </w:tcPr>
          <w:p w:rsidR="00965C2F" w:rsidRPr="00A21FC1" w:rsidRDefault="009A019A" w:rsidP="003E7DE9">
            <w:pPr>
              <w:spacing w:before="120" w:after="120"/>
              <w:rPr>
                <w:rFonts w:ascii="Calibri Light" w:hAnsi="Calibri Light"/>
                <w:b/>
              </w:rPr>
            </w:pPr>
            <w:r w:rsidRPr="00A21FC1">
              <w:rPr>
                <w:rFonts w:ascii="Calibri Light" w:hAnsi="Calibri Light"/>
                <w:b/>
              </w:rPr>
              <w:t>22 November 2010</w:t>
            </w:r>
          </w:p>
        </w:tc>
      </w:tr>
      <w:tr w:rsidR="00A5067F" w:rsidRPr="00A21FC1" w:rsidTr="003E7DE9">
        <w:tc>
          <w:tcPr>
            <w:tcW w:w="10207" w:type="dxa"/>
            <w:gridSpan w:val="3"/>
            <w:shd w:val="clear" w:color="auto" w:fill="C6D9F1"/>
            <w:vAlign w:val="center"/>
          </w:tcPr>
          <w:p w:rsidR="00A5067F" w:rsidRPr="00A21FC1" w:rsidRDefault="00A5067F" w:rsidP="003E7DE9">
            <w:pPr>
              <w:spacing w:before="120" w:after="120"/>
              <w:rPr>
                <w:rFonts w:ascii="Calibri Light" w:hAnsi="Calibri Light"/>
                <w:b/>
              </w:rPr>
            </w:pPr>
            <w:r w:rsidRPr="00A21FC1">
              <w:rPr>
                <w:rFonts w:ascii="Calibri Light" w:hAnsi="Calibri Light"/>
                <w:b/>
              </w:rPr>
              <w:t>Recommendation</w:t>
            </w:r>
          </w:p>
        </w:tc>
      </w:tr>
      <w:tr w:rsidR="00A5067F" w:rsidRPr="00A21FC1" w:rsidTr="003E7DE9">
        <w:tc>
          <w:tcPr>
            <w:tcW w:w="567" w:type="dxa"/>
            <w:vAlign w:val="center"/>
          </w:tcPr>
          <w:p w:rsidR="00A5067F" w:rsidRPr="00A21FC1" w:rsidRDefault="00A5067F" w:rsidP="003E7DE9">
            <w:pPr>
              <w:spacing w:before="120" w:after="120"/>
              <w:rPr>
                <w:rFonts w:ascii="Calibri Light" w:hAnsi="Calibri Light"/>
              </w:rPr>
            </w:pPr>
            <w:r w:rsidRPr="00A21FC1">
              <w:rPr>
                <w:rFonts w:ascii="Calibri Light" w:hAnsi="Calibri Light"/>
              </w:rPr>
              <w:t>1</w:t>
            </w:r>
          </w:p>
        </w:tc>
        <w:tc>
          <w:tcPr>
            <w:tcW w:w="9640" w:type="dxa"/>
            <w:gridSpan w:val="2"/>
            <w:vAlign w:val="center"/>
          </w:tcPr>
          <w:p w:rsidR="00A5067F" w:rsidRPr="00A21FC1" w:rsidRDefault="00A5067F" w:rsidP="003E7DE9">
            <w:pPr>
              <w:spacing w:before="120" w:after="120"/>
              <w:rPr>
                <w:rFonts w:ascii="Calibri Light" w:hAnsi="Calibri Light"/>
              </w:rPr>
            </w:pPr>
            <w:r w:rsidRPr="00A21FC1">
              <w:rPr>
                <w:rFonts w:ascii="Calibri Light" w:eastAsia="Times New Roman" w:hAnsi="Calibri Light" w:cs="TimesNewRoman"/>
                <w:color w:val="010101"/>
                <w:sz w:val="20"/>
                <w:szCs w:val="20"/>
              </w:rPr>
              <w:t xml:space="preserve">Placing a requirement on the importer for scrutinising laboratory results and explicitly stating to BSG whether the outcomes are positive or negative. This would require the importer to provide a positive statement regarding the test results which would provide an extra preventative measure to ensure that laboratory results are treated correctly. This should be reinforced with appropriate sanctions for false declarations and by BSG assurance measures. However the requirement for BSG to verify the outcomes of the testing, based on the copy of the report provided directly to them by the laboratory, and then process the release of consignments in AIMS would remain and therefore the risk of mistaken release would ultimately remain. </w:t>
            </w:r>
          </w:p>
        </w:tc>
      </w:tr>
      <w:tr w:rsidR="00A5067F" w:rsidRPr="00A21FC1" w:rsidTr="003E7DE9">
        <w:tc>
          <w:tcPr>
            <w:tcW w:w="567" w:type="dxa"/>
            <w:vAlign w:val="center"/>
          </w:tcPr>
          <w:p w:rsidR="00A5067F" w:rsidRPr="00A21FC1" w:rsidRDefault="00A5067F" w:rsidP="003E7DE9">
            <w:pPr>
              <w:spacing w:before="120" w:after="120"/>
              <w:rPr>
                <w:rFonts w:ascii="Calibri Light" w:hAnsi="Calibri Light"/>
              </w:rPr>
            </w:pPr>
            <w:r w:rsidRPr="00A21FC1">
              <w:rPr>
                <w:rFonts w:ascii="Calibri Light" w:hAnsi="Calibri Light"/>
              </w:rPr>
              <w:t>3</w:t>
            </w:r>
          </w:p>
        </w:tc>
        <w:tc>
          <w:tcPr>
            <w:tcW w:w="9640" w:type="dxa"/>
            <w:gridSpan w:val="2"/>
            <w:vAlign w:val="center"/>
          </w:tcPr>
          <w:p w:rsidR="00A5067F" w:rsidRPr="00A21FC1" w:rsidRDefault="00A5067F"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The consistency of release processes throughout the Region Offices should be reviewed by the Central Office (Operations Division) to assess whether there are other opportunities for improving release processes. This assessment should also consider whether reporting and release functions could be centralised (as suggested by BSG) to the BSG Entry Management National Coordination Centre in Adelaide to provide more dedicated attention to these specific processes.</w:t>
            </w:r>
          </w:p>
        </w:tc>
      </w:tr>
      <w:tr w:rsidR="00A5067F" w:rsidRPr="00A21FC1" w:rsidTr="003E7DE9">
        <w:tc>
          <w:tcPr>
            <w:tcW w:w="567" w:type="dxa"/>
            <w:vAlign w:val="center"/>
          </w:tcPr>
          <w:p w:rsidR="00A5067F" w:rsidRPr="00A21FC1" w:rsidRDefault="00A5067F" w:rsidP="003E7DE9">
            <w:pPr>
              <w:spacing w:before="120" w:after="120"/>
              <w:rPr>
                <w:rFonts w:ascii="Calibri Light" w:hAnsi="Calibri Light"/>
              </w:rPr>
            </w:pPr>
            <w:r w:rsidRPr="00A21FC1">
              <w:rPr>
                <w:rFonts w:ascii="Calibri Light" w:hAnsi="Calibri Light"/>
              </w:rPr>
              <w:t>4</w:t>
            </w:r>
          </w:p>
        </w:tc>
        <w:tc>
          <w:tcPr>
            <w:tcW w:w="9640" w:type="dxa"/>
            <w:gridSpan w:val="2"/>
            <w:vAlign w:val="center"/>
          </w:tcPr>
          <w:p w:rsidR="00A5067F" w:rsidRPr="00A21FC1" w:rsidRDefault="00A5067F" w:rsidP="003E7DE9">
            <w:pPr>
              <w:spacing w:before="120" w:after="120"/>
              <w:rPr>
                <w:rFonts w:ascii="Calibri Light" w:hAnsi="Calibri Light"/>
              </w:rPr>
            </w:pPr>
            <w:r w:rsidRPr="00A21FC1">
              <w:rPr>
                <w:rFonts w:ascii="Calibri Light" w:eastAsia="Times New Roman" w:hAnsi="Calibri Light" w:cs="TimesNewRoman"/>
                <w:color w:val="010101"/>
                <w:sz w:val="20"/>
                <w:szCs w:val="20"/>
              </w:rPr>
              <w:t>Implement an additional control which requires that all emailed laboratory test results be reviewed by the supervisor each day and verification that positive test results have been treated correctly in AIMS be performed. This additional control is not considered to result in significant additional workload on the supervisor as, on average, there are only a few laboratory test results released each day.</w:t>
            </w:r>
          </w:p>
        </w:tc>
      </w:tr>
      <w:tr w:rsidR="00A5067F" w:rsidRPr="00A21FC1" w:rsidTr="003E7DE9">
        <w:tc>
          <w:tcPr>
            <w:tcW w:w="567" w:type="dxa"/>
            <w:vAlign w:val="center"/>
          </w:tcPr>
          <w:p w:rsidR="00A5067F" w:rsidRPr="00A21FC1" w:rsidRDefault="00A5067F" w:rsidP="003E7DE9">
            <w:pPr>
              <w:spacing w:before="120" w:after="120"/>
              <w:rPr>
                <w:rFonts w:ascii="Calibri Light" w:hAnsi="Calibri Light"/>
              </w:rPr>
            </w:pPr>
            <w:r w:rsidRPr="00A21FC1">
              <w:rPr>
                <w:rFonts w:ascii="Calibri Light" w:hAnsi="Calibri Light"/>
              </w:rPr>
              <w:t>5</w:t>
            </w:r>
          </w:p>
        </w:tc>
        <w:tc>
          <w:tcPr>
            <w:tcW w:w="9640" w:type="dxa"/>
            <w:gridSpan w:val="2"/>
            <w:vAlign w:val="center"/>
          </w:tcPr>
          <w:p w:rsidR="00A5067F" w:rsidRPr="00A21FC1" w:rsidRDefault="00A5067F"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The accredited laboratories should change the format of reports to make positive test results stand out more clearly from negative test results. The format of the laboratory reports should also be amended to ensure that these contain a definitive statement regarding whether testing has resulted in positive or negative results. This will provide staff with a single point of reference to inform the release of consignments.</w:t>
            </w:r>
          </w:p>
        </w:tc>
      </w:tr>
      <w:tr w:rsidR="00A5067F" w:rsidRPr="00A21FC1" w:rsidTr="003E7DE9">
        <w:tc>
          <w:tcPr>
            <w:tcW w:w="567" w:type="dxa"/>
            <w:vAlign w:val="center"/>
          </w:tcPr>
          <w:p w:rsidR="00A5067F" w:rsidRPr="00A21FC1" w:rsidRDefault="00A5067F" w:rsidP="003E7DE9">
            <w:pPr>
              <w:spacing w:before="120" w:after="120"/>
              <w:rPr>
                <w:rFonts w:ascii="Calibri Light" w:hAnsi="Calibri Light"/>
              </w:rPr>
            </w:pPr>
            <w:r w:rsidRPr="00A21FC1">
              <w:rPr>
                <w:rFonts w:ascii="Calibri Light" w:hAnsi="Calibri Light"/>
              </w:rPr>
              <w:lastRenderedPageBreak/>
              <w:t>6</w:t>
            </w:r>
          </w:p>
        </w:tc>
        <w:tc>
          <w:tcPr>
            <w:tcW w:w="9640" w:type="dxa"/>
            <w:gridSpan w:val="2"/>
            <w:vAlign w:val="center"/>
          </w:tcPr>
          <w:p w:rsidR="00A5067F" w:rsidRPr="00A21FC1" w:rsidRDefault="00A5067F" w:rsidP="003E7DE9">
            <w:pPr>
              <w:spacing w:before="120" w:after="120"/>
              <w:rPr>
                <w:rFonts w:ascii="Calibri Light" w:hAnsi="Calibri Light"/>
              </w:rPr>
            </w:pPr>
            <w:r w:rsidRPr="00A21FC1">
              <w:rPr>
                <w:rFonts w:ascii="Calibri Light" w:eastAsia="Times New Roman" w:hAnsi="Calibri Light" w:cs="TimesNewRoman"/>
                <w:color w:val="010101"/>
                <w:sz w:val="20"/>
                <w:szCs w:val="20"/>
              </w:rPr>
              <w:t>Post-inspection officers should ensure that the quarantine entry number and the results of the testing of each of the 13 individual samples of five prawns are acknowledged on the laboratory reports in order to verify that the correct laboratory report is being referred to, and the outcomes of the testing of each sample have been individually reviewed.</w:t>
            </w:r>
          </w:p>
        </w:tc>
      </w:tr>
      <w:tr w:rsidR="00A5067F" w:rsidRPr="00A21FC1" w:rsidTr="003E7DE9">
        <w:tc>
          <w:tcPr>
            <w:tcW w:w="567" w:type="dxa"/>
            <w:vAlign w:val="center"/>
          </w:tcPr>
          <w:p w:rsidR="00A5067F" w:rsidRPr="00A21FC1" w:rsidRDefault="00A5067F" w:rsidP="003E7DE9">
            <w:pPr>
              <w:spacing w:before="120" w:after="120"/>
              <w:rPr>
                <w:rFonts w:ascii="Calibri Light" w:hAnsi="Calibri Light"/>
              </w:rPr>
            </w:pPr>
            <w:r w:rsidRPr="00A21FC1">
              <w:rPr>
                <w:rFonts w:ascii="Calibri Light" w:hAnsi="Calibri Light"/>
              </w:rPr>
              <w:t>7</w:t>
            </w:r>
          </w:p>
        </w:tc>
        <w:tc>
          <w:tcPr>
            <w:tcW w:w="9640" w:type="dxa"/>
            <w:gridSpan w:val="2"/>
            <w:vAlign w:val="center"/>
          </w:tcPr>
          <w:p w:rsidR="00A5067F" w:rsidRPr="00A21FC1" w:rsidRDefault="00A5067F"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The ‘Prawn Sampling for Disease Testing (updated)’ Work Instruction should be amended to more clearly define what exactly constitutes a batch by, for example, providing a single definitive identifier such as the processing run and clarifying all additional defining attributes that should then be evaluated and in order of importance.</w:t>
            </w:r>
          </w:p>
        </w:tc>
      </w:tr>
    </w:tbl>
    <w:p w:rsidR="00700A4B" w:rsidRPr="00A21FC1" w:rsidRDefault="00700A4B" w:rsidP="00E21B62">
      <w:pPr>
        <w:rPr>
          <w:rFonts w:ascii="Calibri Light" w:hAnsi="Calibri Light"/>
        </w:rPr>
      </w:pPr>
    </w:p>
    <w:p w:rsidR="00FB565E" w:rsidRPr="00A21FC1" w:rsidRDefault="00FB565E" w:rsidP="00E21B62">
      <w:pPr>
        <w:rPr>
          <w:rFonts w:ascii="Calibri Light" w:hAnsi="Calibri Light"/>
        </w:rPr>
      </w:pPr>
    </w:p>
    <w:p w:rsidR="00091F76" w:rsidRPr="00A21FC1" w:rsidRDefault="00091F76" w:rsidP="00E21B62">
      <w:pPr>
        <w:rPr>
          <w:rFonts w:ascii="Calibri Light" w:hAnsi="Calibri Light"/>
        </w:rPr>
      </w:pPr>
    </w:p>
    <w:p w:rsidR="00FB565E" w:rsidRPr="00A21FC1" w:rsidRDefault="00FB565E" w:rsidP="00E21B62">
      <w:pPr>
        <w:rPr>
          <w:rFonts w:ascii="Calibri Light" w:hAnsi="Calibri Light"/>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7797"/>
        <w:gridCol w:w="1843"/>
      </w:tblGrid>
      <w:tr w:rsidR="00AC4AC8" w:rsidRPr="00A21FC1" w:rsidTr="003E7DE9">
        <w:tc>
          <w:tcPr>
            <w:tcW w:w="8364" w:type="dxa"/>
            <w:gridSpan w:val="2"/>
            <w:shd w:val="clear" w:color="auto" w:fill="548DD4"/>
            <w:vAlign w:val="center"/>
          </w:tcPr>
          <w:p w:rsidR="00AC4AC8" w:rsidRPr="00A21FC1" w:rsidRDefault="00AC4AC8" w:rsidP="003E7DE9">
            <w:pPr>
              <w:spacing w:before="120" w:after="120"/>
              <w:rPr>
                <w:rFonts w:ascii="Calibri Light" w:hAnsi="Calibri Light"/>
                <w:b/>
              </w:rPr>
            </w:pPr>
            <w:r w:rsidRPr="00A21FC1">
              <w:rPr>
                <w:rFonts w:ascii="Calibri Light" w:hAnsi="Calibri Light"/>
                <w:b/>
              </w:rPr>
              <w:t>Title</w:t>
            </w:r>
          </w:p>
        </w:tc>
        <w:tc>
          <w:tcPr>
            <w:tcW w:w="1843" w:type="dxa"/>
            <w:shd w:val="clear" w:color="auto" w:fill="548DD4"/>
            <w:vAlign w:val="center"/>
          </w:tcPr>
          <w:p w:rsidR="00AC4AC8" w:rsidRPr="00A21FC1" w:rsidRDefault="00AC4AC8" w:rsidP="003E7DE9">
            <w:pPr>
              <w:spacing w:before="120" w:after="120"/>
              <w:rPr>
                <w:rFonts w:ascii="Calibri Light" w:hAnsi="Calibri Light"/>
                <w:b/>
              </w:rPr>
            </w:pPr>
            <w:r w:rsidRPr="00A21FC1">
              <w:rPr>
                <w:rFonts w:ascii="Calibri Light" w:hAnsi="Calibri Light"/>
                <w:b/>
              </w:rPr>
              <w:t>Publicly released</w:t>
            </w:r>
          </w:p>
        </w:tc>
      </w:tr>
      <w:tr w:rsidR="00AC4AC8" w:rsidRPr="00A21FC1" w:rsidTr="003E7DE9">
        <w:tc>
          <w:tcPr>
            <w:tcW w:w="8364" w:type="dxa"/>
            <w:gridSpan w:val="2"/>
            <w:vAlign w:val="center"/>
          </w:tcPr>
          <w:p w:rsidR="00AC4AC8" w:rsidRPr="00A21FC1" w:rsidRDefault="00AC4AC8" w:rsidP="003E7DE9">
            <w:pPr>
              <w:spacing w:before="120" w:after="120"/>
              <w:rPr>
                <w:rFonts w:ascii="Calibri Light" w:hAnsi="Calibri Light"/>
                <w:b/>
              </w:rPr>
            </w:pPr>
            <w:r w:rsidRPr="00A21FC1">
              <w:rPr>
                <w:rFonts w:ascii="Calibri Light" w:hAnsi="Calibri Light"/>
                <w:b/>
              </w:rPr>
              <w:t>Assessment of the Biosecurity Services Group internal audit of Sandown Post-arrival Quarantine Facility</w:t>
            </w:r>
          </w:p>
        </w:tc>
        <w:tc>
          <w:tcPr>
            <w:tcW w:w="1843" w:type="dxa"/>
            <w:vAlign w:val="center"/>
          </w:tcPr>
          <w:p w:rsidR="00AC4AC8" w:rsidRPr="00A21FC1" w:rsidRDefault="002A6C1F" w:rsidP="003E7DE9">
            <w:pPr>
              <w:spacing w:before="120" w:after="120"/>
              <w:rPr>
                <w:rFonts w:ascii="Calibri Light" w:hAnsi="Calibri Light"/>
                <w:b/>
              </w:rPr>
            </w:pPr>
            <w:r w:rsidRPr="00A21FC1">
              <w:rPr>
                <w:rFonts w:ascii="Calibri Light" w:hAnsi="Calibri Light"/>
                <w:b/>
              </w:rPr>
              <w:t>18 May 2011</w:t>
            </w:r>
          </w:p>
        </w:tc>
      </w:tr>
      <w:tr w:rsidR="00A5067F" w:rsidRPr="00A21FC1" w:rsidTr="003E7DE9">
        <w:tc>
          <w:tcPr>
            <w:tcW w:w="10207" w:type="dxa"/>
            <w:gridSpan w:val="3"/>
            <w:shd w:val="clear" w:color="auto" w:fill="C6D9F1"/>
            <w:vAlign w:val="center"/>
          </w:tcPr>
          <w:p w:rsidR="00A5067F" w:rsidRPr="00A21FC1" w:rsidRDefault="00A5067F" w:rsidP="003E7DE9">
            <w:pPr>
              <w:spacing w:before="120" w:after="120"/>
              <w:rPr>
                <w:rFonts w:ascii="Calibri Light" w:hAnsi="Calibri Light"/>
                <w:b/>
              </w:rPr>
            </w:pPr>
            <w:r w:rsidRPr="00A21FC1">
              <w:rPr>
                <w:rFonts w:ascii="Calibri Light" w:hAnsi="Calibri Light"/>
                <w:b/>
              </w:rPr>
              <w:t>Recommendation</w:t>
            </w:r>
          </w:p>
        </w:tc>
      </w:tr>
      <w:tr w:rsidR="00A5067F" w:rsidRPr="00A21FC1" w:rsidTr="003E7DE9">
        <w:tc>
          <w:tcPr>
            <w:tcW w:w="567" w:type="dxa"/>
            <w:vAlign w:val="center"/>
          </w:tcPr>
          <w:p w:rsidR="00A5067F" w:rsidRPr="00A21FC1" w:rsidRDefault="00A5067F" w:rsidP="003E7DE9">
            <w:pPr>
              <w:spacing w:before="120" w:after="120"/>
              <w:rPr>
                <w:rFonts w:ascii="Calibri Light" w:hAnsi="Calibri Light"/>
              </w:rPr>
            </w:pPr>
            <w:r w:rsidRPr="00A21FC1">
              <w:rPr>
                <w:rFonts w:ascii="Calibri Light" w:hAnsi="Calibri Light"/>
              </w:rPr>
              <w:t>1</w:t>
            </w:r>
          </w:p>
        </w:tc>
        <w:tc>
          <w:tcPr>
            <w:tcW w:w="9640" w:type="dxa"/>
            <w:gridSpan w:val="2"/>
            <w:vAlign w:val="center"/>
          </w:tcPr>
          <w:p w:rsidR="00A5067F" w:rsidRPr="00A21FC1" w:rsidRDefault="00A5067F" w:rsidP="003E7DE9">
            <w:pPr>
              <w:autoSpaceDE w:val="0"/>
              <w:autoSpaceDN w:val="0"/>
              <w:adjustRightInd w:val="0"/>
              <w:spacing w:before="120" w:after="120"/>
              <w:rPr>
                <w:rFonts w:ascii="Calibri Light" w:eastAsia="Times New Roman" w:hAnsi="Calibri Light" w:cs="TimesNewRoman"/>
                <w:color w:val="010101"/>
                <w:sz w:val="20"/>
                <w:szCs w:val="20"/>
              </w:rPr>
            </w:pPr>
            <w:r w:rsidRPr="00A21FC1">
              <w:rPr>
                <w:rFonts w:ascii="Calibri Light" w:eastAsia="Times New Roman" w:hAnsi="Calibri Light" w:cs="TimesNewRoman"/>
                <w:color w:val="010101"/>
                <w:sz w:val="20"/>
                <w:szCs w:val="20"/>
              </w:rPr>
              <w:t>In future, AQIS audits of operations and procedures that have earlier been audited by a recognised audit provider (for example, the Interim Inspector General of Biosecurity or Interim Inspector General of Horse Importation during 2008–09 or the Australian National Audit Office) should include an assessment of changes made in response to adopted recommendations made in the relevant report.</w:t>
            </w:r>
          </w:p>
        </w:tc>
      </w:tr>
      <w:tr w:rsidR="00A5067F" w:rsidRPr="00A21FC1" w:rsidTr="003E7DE9">
        <w:tc>
          <w:tcPr>
            <w:tcW w:w="567" w:type="dxa"/>
            <w:vAlign w:val="center"/>
          </w:tcPr>
          <w:p w:rsidR="00A5067F" w:rsidRPr="00A21FC1" w:rsidRDefault="00A5067F" w:rsidP="003E7DE9">
            <w:pPr>
              <w:spacing w:before="120" w:after="120"/>
              <w:rPr>
                <w:rFonts w:ascii="Calibri Light" w:hAnsi="Calibri Light"/>
              </w:rPr>
            </w:pPr>
            <w:r w:rsidRPr="00A21FC1">
              <w:rPr>
                <w:rFonts w:ascii="Calibri Light" w:hAnsi="Calibri Light"/>
              </w:rPr>
              <w:t>2</w:t>
            </w:r>
          </w:p>
        </w:tc>
        <w:tc>
          <w:tcPr>
            <w:tcW w:w="9640" w:type="dxa"/>
            <w:gridSpan w:val="2"/>
            <w:vAlign w:val="center"/>
          </w:tcPr>
          <w:p w:rsidR="00A5067F" w:rsidRPr="00A21FC1" w:rsidRDefault="00A5067F" w:rsidP="003E7DE9">
            <w:pPr>
              <w:spacing w:before="120" w:after="120"/>
              <w:rPr>
                <w:rFonts w:ascii="Calibri Light" w:hAnsi="Calibri Light"/>
              </w:rPr>
            </w:pPr>
            <w:r w:rsidRPr="00A21FC1">
              <w:rPr>
                <w:rFonts w:ascii="Calibri Light" w:eastAsia="Times New Roman" w:hAnsi="Calibri Light" w:cs="TimesNewRoman"/>
                <w:color w:val="010101"/>
                <w:sz w:val="20"/>
                <w:szCs w:val="20"/>
              </w:rPr>
              <w:t>AQIS should include in the role of operational oversight by the official veterinarian added measures to assure that entry/exit biosecurity requirements are fully met by all personnel for any privately run quarantine facility.</w:t>
            </w:r>
          </w:p>
        </w:tc>
      </w:tr>
      <w:tr w:rsidR="00A5067F" w:rsidRPr="00A21FC1" w:rsidTr="003E7DE9">
        <w:tc>
          <w:tcPr>
            <w:tcW w:w="567" w:type="dxa"/>
            <w:vAlign w:val="center"/>
          </w:tcPr>
          <w:p w:rsidR="00A5067F" w:rsidRPr="00A21FC1" w:rsidRDefault="00A5067F" w:rsidP="003E7DE9">
            <w:pPr>
              <w:spacing w:before="120" w:after="120"/>
              <w:rPr>
                <w:rFonts w:ascii="Calibri Light" w:hAnsi="Calibri Light"/>
              </w:rPr>
            </w:pPr>
            <w:r w:rsidRPr="00A21FC1">
              <w:rPr>
                <w:rFonts w:ascii="Calibri Light" w:hAnsi="Calibri Light"/>
              </w:rPr>
              <w:t>3</w:t>
            </w:r>
          </w:p>
        </w:tc>
        <w:tc>
          <w:tcPr>
            <w:tcW w:w="9640" w:type="dxa"/>
            <w:gridSpan w:val="2"/>
            <w:vAlign w:val="center"/>
          </w:tcPr>
          <w:p w:rsidR="00A5067F" w:rsidRPr="00A21FC1" w:rsidRDefault="00A5067F" w:rsidP="003E7DE9">
            <w:pPr>
              <w:spacing w:before="120" w:after="120"/>
              <w:rPr>
                <w:rFonts w:ascii="Calibri Light" w:hAnsi="Calibri Light"/>
              </w:rPr>
            </w:pPr>
            <w:r w:rsidRPr="00A21FC1">
              <w:rPr>
                <w:rFonts w:ascii="Calibri Light" w:eastAsia="Times New Roman" w:hAnsi="Calibri Light" w:cs="TimesNewRoman"/>
                <w:color w:val="010101"/>
                <w:sz w:val="20"/>
                <w:szCs w:val="20"/>
              </w:rPr>
              <w:t>AQIS should withhold approval of Racing Victoria Limited (RVL) to conduct post-arrival quarantine operations at either its Sandown or prospective Werribee facilities pending appropriate corrective actions by RVL to findings in the AQIS audit. This should also entail a detailed follow-up assessment by AQIS of the ability to RVL to meet standards of documentation and training and to fully comply with biosecurity requirements in the future.</w:t>
            </w:r>
          </w:p>
        </w:tc>
      </w:tr>
    </w:tbl>
    <w:p w:rsidR="00A5067F" w:rsidRPr="00A21FC1" w:rsidRDefault="00A5067F" w:rsidP="007548E0">
      <w:pPr>
        <w:tabs>
          <w:tab w:val="left" w:pos="7621"/>
        </w:tabs>
        <w:ind w:left="-743"/>
        <w:rPr>
          <w:rFonts w:ascii="Calibri Light" w:hAnsi="Calibri Light"/>
        </w:rPr>
      </w:pPr>
    </w:p>
    <w:p w:rsidR="004979E9" w:rsidRPr="00A21FC1" w:rsidRDefault="004979E9" w:rsidP="007548E0">
      <w:pPr>
        <w:tabs>
          <w:tab w:val="left" w:pos="7621"/>
        </w:tabs>
        <w:ind w:left="-743"/>
        <w:rPr>
          <w:rFonts w:ascii="Calibri Light" w:hAnsi="Calibri Light"/>
        </w:rPr>
      </w:pPr>
    </w:p>
    <w:p w:rsidR="004979E9" w:rsidRPr="00A21FC1" w:rsidRDefault="004979E9" w:rsidP="007548E0">
      <w:pPr>
        <w:tabs>
          <w:tab w:val="left" w:pos="7621"/>
        </w:tabs>
        <w:ind w:left="-743"/>
        <w:rPr>
          <w:rFonts w:ascii="Calibri Light" w:hAnsi="Calibri Light"/>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7797"/>
        <w:gridCol w:w="1843"/>
      </w:tblGrid>
      <w:tr w:rsidR="00655FA6" w:rsidRPr="00A21FC1" w:rsidTr="003E7DE9">
        <w:tc>
          <w:tcPr>
            <w:tcW w:w="8364" w:type="dxa"/>
            <w:gridSpan w:val="2"/>
            <w:shd w:val="clear" w:color="auto" w:fill="548DD4"/>
            <w:vAlign w:val="center"/>
          </w:tcPr>
          <w:p w:rsidR="00655FA6" w:rsidRPr="00A21FC1" w:rsidRDefault="00655FA6" w:rsidP="003E7DE9">
            <w:pPr>
              <w:spacing w:before="120" w:after="120"/>
              <w:rPr>
                <w:rFonts w:ascii="Calibri Light" w:hAnsi="Calibri Light"/>
                <w:b/>
              </w:rPr>
            </w:pPr>
            <w:r w:rsidRPr="00A21FC1">
              <w:rPr>
                <w:rFonts w:ascii="Calibri Light" w:hAnsi="Calibri Light"/>
                <w:b/>
              </w:rPr>
              <w:t>Title</w:t>
            </w:r>
          </w:p>
        </w:tc>
        <w:tc>
          <w:tcPr>
            <w:tcW w:w="1843" w:type="dxa"/>
            <w:shd w:val="clear" w:color="auto" w:fill="548DD4"/>
            <w:vAlign w:val="center"/>
          </w:tcPr>
          <w:p w:rsidR="00655FA6" w:rsidRPr="00A21FC1" w:rsidRDefault="00655FA6" w:rsidP="003E7DE9">
            <w:pPr>
              <w:spacing w:before="120" w:after="120"/>
              <w:rPr>
                <w:rFonts w:ascii="Calibri Light" w:hAnsi="Calibri Light"/>
                <w:b/>
              </w:rPr>
            </w:pPr>
            <w:r w:rsidRPr="00A21FC1">
              <w:rPr>
                <w:rFonts w:ascii="Calibri Light" w:hAnsi="Calibri Light"/>
                <w:b/>
              </w:rPr>
              <w:t>Publicly released</w:t>
            </w:r>
          </w:p>
        </w:tc>
      </w:tr>
      <w:tr w:rsidR="00655FA6" w:rsidRPr="00A21FC1" w:rsidTr="003E7DE9">
        <w:tc>
          <w:tcPr>
            <w:tcW w:w="8364" w:type="dxa"/>
            <w:gridSpan w:val="2"/>
            <w:vAlign w:val="center"/>
          </w:tcPr>
          <w:p w:rsidR="00655FA6" w:rsidRPr="00A21FC1" w:rsidRDefault="00655FA6" w:rsidP="003E7DE9">
            <w:pPr>
              <w:spacing w:before="120" w:after="120"/>
              <w:rPr>
                <w:rFonts w:ascii="Calibri Light" w:hAnsi="Calibri Light"/>
                <w:b/>
              </w:rPr>
            </w:pPr>
            <w:r w:rsidRPr="00A21FC1">
              <w:rPr>
                <w:rFonts w:ascii="Calibri Light" w:hAnsi="Calibri Light"/>
                <w:b/>
              </w:rPr>
              <w:t>Import Health Certification for Horses Imported to Australia</w:t>
            </w:r>
          </w:p>
        </w:tc>
        <w:tc>
          <w:tcPr>
            <w:tcW w:w="1843" w:type="dxa"/>
            <w:vAlign w:val="center"/>
          </w:tcPr>
          <w:p w:rsidR="00655FA6" w:rsidRPr="00A21FC1" w:rsidRDefault="00655FA6" w:rsidP="003E7DE9">
            <w:pPr>
              <w:spacing w:before="120" w:after="120"/>
              <w:rPr>
                <w:rFonts w:ascii="Calibri Light" w:hAnsi="Calibri Light"/>
                <w:b/>
              </w:rPr>
            </w:pPr>
            <w:r w:rsidRPr="00A21FC1">
              <w:rPr>
                <w:rFonts w:ascii="Calibri Light" w:hAnsi="Calibri Light"/>
                <w:b/>
              </w:rPr>
              <w:t>18 May 2011</w:t>
            </w:r>
          </w:p>
        </w:tc>
      </w:tr>
      <w:tr w:rsidR="004979E9" w:rsidRPr="00A21FC1" w:rsidTr="003E7DE9">
        <w:tc>
          <w:tcPr>
            <w:tcW w:w="10207" w:type="dxa"/>
            <w:gridSpan w:val="3"/>
            <w:shd w:val="clear" w:color="auto" w:fill="C6D9F1"/>
            <w:vAlign w:val="center"/>
          </w:tcPr>
          <w:p w:rsidR="004979E9" w:rsidRPr="00A21FC1" w:rsidRDefault="004979E9" w:rsidP="003E7DE9">
            <w:pPr>
              <w:spacing w:before="120" w:after="120"/>
              <w:rPr>
                <w:rFonts w:ascii="Calibri Light" w:hAnsi="Calibri Light"/>
                <w:b/>
              </w:rPr>
            </w:pPr>
            <w:r w:rsidRPr="00A21FC1">
              <w:rPr>
                <w:rFonts w:ascii="Calibri Light" w:hAnsi="Calibri Light"/>
                <w:b/>
              </w:rPr>
              <w:t>Recommendation</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1</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 xml:space="preserve">In the case of stallion imports, the Biosecurity Services Group should require full import health certification for any test mares maintained in the pre-export quarantine facility during the quarantine period and not intended to be exported. </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2</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 xml:space="preserve">The Biosecurity Services Group should note and consider the appropriateness of a Licensed Veterinary Inspector issuing certain components of the health certification relating to import conditions as a private veterinary practitioner with no reference to his/her official Department of Environment Food and Rural Affairs status. </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3</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Biosecurity Services Group (BSG) should clarify with the United States Department of Agriculture (USDA) the requirement for documentation to be supplied that addresses Condition 13.1 in the USDA Veterinary Health Certificate. It is advisable that this documentation accompany the health certification provided with all future shipments of horses from the United States of America (USA).</w:t>
            </w:r>
          </w:p>
        </w:tc>
      </w:tr>
      <w:tr w:rsidR="00CD24EF" w:rsidRPr="00A21FC1" w:rsidTr="003E7DE9">
        <w:tc>
          <w:tcPr>
            <w:tcW w:w="8364" w:type="dxa"/>
            <w:gridSpan w:val="2"/>
            <w:shd w:val="clear" w:color="auto" w:fill="548DD4"/>
            <w:vAlign w:val="center"/>
          </w:tcPr>
          <w:p w:rsidR="00CD24EF" w:rsidRPr="00A21FC1" w:rsidRDefault="00CD24EF" w:rsidP="003E7DE9">
            <w:pPr>
              <w:spacing w:before="120" w:after="120"/>
              <w:rPr>
                <w:rFonts w:ascii="Calibri Light" w:hAnsi="Calibri Light"/>
                <w:b/>
              </w:rPr>
            </w:pPr>
            <w:r w:rsidRPr="00A21FC1">
              <w:rPr>
                <w:rFonts w:ascii="Calibri Light" w:hAnsi="Calibri Light"/>
                <w:b/>
              </w:rPr>
              <w:lastRenderedPageBreak/>
              <w:t>Title</w:t>
            </w:r>
          </w:p>
        </w:tc>
        <w:tc>
          <w:tcPr>
            <w:tcW w:w="1843" w:type="dxa"/>
            <w:shd w:val="clear" w:color="auto" w:fill="548DD4"/>
            <w:vAlign w:val="center"/>
          </w:tcPr>
          <w:p w:rsidR="00CD24EF" w:rsidRPr="00A21FC1" w:rsidRDefault="00CD24EF" w:rsidP="003E7DE9">
            <w:pPr>
              <w:spacing w:before="120" w:after="120"/>
              <w:rPr>
                <w:rFonts w:ascii="Calibri Light" w:hAnsi="Calibri Light"/>
                <w:b/>
              </w:rPr>
            </w:pPr>
            <w:r w:rsidRPr="00A21FC1">
              <w:rPr>
                <w:rFonts w:ascii="Calibri Light" w:hAnsi="Calibri Light"/>
                <w:b/>
              </w:rPr>
              <w:t>Publicly released</w:t>
            </w:r>
          </w:p>
        </w:tc>
      </w:tr>
      <w:tr w:rsidR="00CD24EF" w:rsidRPr="00A21FC1" w:rsidTr="003E7DE9">
        <w:tc>
          <w:tcPr>
            <w:tcW w:w="8364" w:type="dxa"/>
            <w:gridSpan w:val="2"/>
            <w:vAlign w:val="center"/>
          </w:tcPr>
          <w:p w:rsidR="00CD24EF" w:rsidRPr="00A21FC1" w:rsidRDefault="00CD24EF" w:rsidP="003E7DE9">
            <w:pPr>
              <w:spacing w:before="120" w:after="120"/>
              <w:rPr>
                <w:rFonts w:ascii="Calibri Light" w:hAnsi="Calibri Light"/>
                <w:b/>
              </w:rPr>
            </w:pPr>
            <w:r w:rsidRPr="00A21FC1">
              <w:rPr>
                <w:rFonts w:ascii="Calibri Light" w:hAnsi="Calibri Light"/>
                <w:b/>
              </w:rPr>
              <w:t>Audit of Equine Pre-export Procedures in Singapore</w:t>
            </w:r>
          </w:p>
        </w:tc>
        <w:tc>
          <w:tcPr>
            <w:tcW w:w="1843" w:type="dxa"/>
            <w:vAlign w:val="center"/>
          </w:tcPr>
          <w:p w:rsidR="00CD24EF" w:rsidRPr="00A21FC1" w:rsidRDefault="00CD24EF" w:rsidP="003E7DE9">
            <w:pPr>
              <w:spacing w:before="120" w:after="120"/>
              <w:rPr>
                <w:rFonts w:ascii="Calibri Light" w:hAnsi="Calibri Light"/>
                <w:b/>
              </w:rPr>
            </w:pPr>
            <w:r w:rsidRPr="00A21FC1">
              <w:rPr>
                <w:rFonts w:ascii="Calibri Light" w:hAnsi="Calibri Light"/>
                <w:b/>
              </w:rPr>
              <w:t>24 May 2011</w:t>
            </w:r>
          </w:p>
        </w:tc>
      </w:tr>
      <w:tr w:rsidR="004979E9" w:rsidRPr="00A21FC1" w:rsidTr="003E7DE9">
        <w:tc>
          <w:tcPr>
            <w:tcW w:w="10207" w:type="dxa"/>
            <w:gridSpan w:val="3"/>
            <w:shd w:val="clear" w:color="auto" w:fill="C6D9F1"/>
            <w:vAlign w:val="center"/>
          </w:tcPr>
          <w:p w:rsidR="004979E9" w:rsidRPr="00A21FC1" w:rsidRDefault="004979E9" w:rsidP="003E7DE9">
            <w:pPr>
              <w:spacing w:before="120" w:after="120"/>
              <w:rPr>
                <w:rFonts w:ascii="Calibri Light" w:hAnsi="Calibri Light"/>
                <w:b/>
              </w:rPr>
            </w:pPr>
            <w:r w:rsidRPr="00A21FC1">
              <w:rPr>
                <w:rFonts w:ascii="Calibri Light" w:hAnsi="Calibri Light"/>
                <w:b/>
              </w:rPr>
              <w:t>Recommendation</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1</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 xml:space="preserve">BSG/AQIS should clarify with the </w:t>
            </w:r>
            <w:proofErr w:type="spellStart"/>
            <w:r w:rsidRPr="00A21FC1">
              <w:rPr>
                <w:rFonts w:ascii="Calibri Light" w:eastAsia="Times New Roman" w:hAnsi="Calibri Light" w:cs="TimesNewRoman"/>
                <w:color w:val="010101"/>
                <w:sz w:val="20"/>
                <w:szCs w:val="20"/>
              </w:rPr>
              <w:t>Agri</w:t>
            </w:r>
            <w:proofErr w:type="spellEnd"/>
            <w:r w:rsidRPr="00A21FC1">
              <w:rPr>
                <w:rFonts w:ascii="Calibri Light" w:eastAsia="Times New Roman" w:hAnsi="Calibri Light" w:cs="TimesNewRoman"/>
                <w:color w:val="010101"/>
                <w:sz w:val="20"/>
                <w:szCs w:val="20"/>
              </w:rPr>
              <w:t>-Food and Veterinary Authority of Singapore the need for nasopharyngeal swabbing (not nasal swabbing as is practised by the authorised veterinarians) of horses for equine influenza testing.</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2</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 xml:space="preserve">It is recommended that BSG/AQIS request an attestation by the attending </w:t>
            </w:r>
            <w:proofErr w:type="spellStart"/>
            <w:r w:rsidRPr="00A21FC1">
              <w:rPr>
                <w:rFonts w:ascii="Calibri Light" w:eastAsia="Times New Roman" w:hAnsi="Calibri Light" w:cs="TimesNewRoman"/>
                <w:color w:val="010101"/>
                <w:sz w:val="20"/>
                <w:szCs w:val="20"/>
              </w:rPr>
              <w:t>para</w:t>
            </w:r>
            <w:proofErr w:type="spellEnd"/>
            <w:r w:rsidRPr="00A21FC1">
              <w:rPr>
                <w:rFonts w:ascii="Calibri Light" w:eastAsia="Times New Roman" w:hAnsi="Calibri Light" w:cs="TimesNewRoman"/>
                <w:color w:val="010101"/>
                <w:sz w:val="20"/>
                <w:szCs w:val="20"/>
              </w:rPr>
              <w:t xml:space="preserve">-veterinarian of the </w:t>
            </w:r>
            <w:proofErr w:type="spellStart"/>
            <w:r w:rsidRPr="00A21FC1">
              <w:rPr>
                <w:rFonts w:ascii="Calibri Light" w:eastAsia="Times New Roman" w:hAnsi="Calibri Light" w:cs="TimesNewRoman"/>
                <w:color w:val="010101"/>
                <w:sz w:val="20"/>
                <w:szCs w:val="20"/>
              </w:rPr>
              <w:t>Agri</w:t>
            </w:r>
            <w:proofErr w:type="spellEnd"/>
            <w:r w:rsidRPr="00A21FC1">
              <w:rPr>
                <w:rFonts w:ascii="Calibri Light" w:eastAsia="Times New Roman" w:hAnsi="Calibri Light" w:cs="TimesNewRoman"/>
                <w:color w:val="010101"/>
                <w:sz w:val="20"/>
                <w:szCs w:val="20"/>
              </w:rPr>
              <w:t>-Food and Veterinary Authority of Singapore responsible for inspection of the aircraft/aircraft fittings associated with the export horses be included as an attachment to the export health certificates. This situation also applies in some other countries that export horses to Australia.</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3</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 xml:space="preserve">It is recommended that the Interim Inspector General of Biosecurity write to Singapore Turf Club and the </w:t>
            </w:r>
            <w:proofErr w:type="spellStart"/>
            <w:r w:rsidRPr="00A21FC1">
              <w:rPr>
                <w:rFonts w:ascii="Calibri Light" w:eastAsia="Times New Roman" w:hAnsi="Calibri Light" w:cs="TimesNewRoman"/>
                <w:color w:val="010101"/>
                <w:sz w:val="20"/>
                <w:szCs w:val="20"/>
              </w:rPr>
              <w:t>Agri</w:t>
            </w:r>
            <w:proofErr w:type="spellEnd"/>
            <w:r w:rsidRPr="00A21FC1">
              <w:rPr>
                <w:rFonts w:ascii="Calibri Light" w:eastAsia="Times New Roman" w:hAnsi="Calibri Light" w:cs="TimesNewRoman"/>
                <w:color w:val="010101"/>
                <w:sz w:val="20"/>
                <w:szCs w:val="20"/>
              </w:rPr>
              <w:t>-Food and Veterinary Authority (AVA) of Singapore providing an overview of the audit findings and advising that AQIS will advise, and be in contact directly, if any formal action is required in response to this audit.</w:t>
            </w:r>
          </w:p>
        </w:tc>
      </w:tr>
    </w:tbl>
    <w:p w:rsidR="00700A4B" w:rsidRPr="00A21FC1" w:rsidRDefault="00700A4B" w:rsidP="00E21B62">
      <w:pPr>
        <w:rPr>
          <w:rFonts w:ascii="Calibri Light" w:hAnsi="Calibri Light"/>
        </w:rPr>
      </w:pPr>
    </w:p>
    <w:p w:rsidR="00FB565E" w:rsidRPr="00A21FC1" w:rsidRDefault="00FB565E" w:rsidP="00E21B62">
      <w:pPr>
        <w:rPr>
          <w:rFonts w:ascii="Calibri Light" w:hAnsi="Calibri Light"/>
        </w:rPr>
      </w:pPr>
    </w:p>
    <w:p w:rsidR="00091F76" w:rsidRPr="00A21FC1" w:rsidRDefault="00091F76">
      <w:pPr>
        <w:rPr>
          <w:rFonts w:ascii="Calibri Light" w:hAnsi="Calibri Light"/>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7797"/>
        <w:gridCol w:w="1843"/>
      </w:tblGrid>
      <w:tr w:rsidR="00A3356C" w:rsidRPr="00A21FC1" w:rsidTr="003E7DE9">
        <w:tc>
          <w:tcPr>
            <w:tcW w:w="8364" w:type="dxa"/>
            <w:gridSpan w:val="2"/>
            <w:shd w:val="clear" w:color="auto" w:fill="548DD4"/>
            <w:vAlign w:val="center"/>
          </w:tcPr>
          <w:p w:rsidR="00A3356C" w:rsidRPr="00A21FC1" w:rsidRDefault="00A3356C" w:rsidP="003E7DE9">
            <w:pPr>
              <w:spacing w:before="120" w:after="120"/>
              <w:rPr>
                <w:rFonts w:ascii="Calibri Light" w:hAnsi="Calibri Light"/>
                <w:b/>
              </w:rPr>
            </w:pPr>
            <w:r w:rsidRPr="00A21FC1">
              <w:rPr>
                <w:rFonts w:ascii="Calibri Light" w:hAnsi="Calibri Light"/>
                <w:b/>
              </w:rPr>
              <w:t>Title</w:t>
            </w:r>
          </w:p>
        </w:tc>
        <w:tc>
          <w:tcPr>
            <w:tcW w:w="1843" w:type="dxa"/>
            <w:shd w:val="clear" w:color="auto" w:fill="548DD4"/>
            <w:vAlign w:val="center"/>
          </w:tcPr>
          <w:p w:rsidR="00A3356C" w:rsidRPr="00A21FC1" w:rsidRDefault="00A3356C" w:rsidP="003E7DE9">
            <w:pPr>
              <w:spacing w:before="120" w:after="120"/>
              <w:rPr>
                <w:rFonts w:ascii="Calibri Light" w:hAnsi="Calibri Light"/>
                <w:b/>
              </w:rPr>
            </w:pPr>
            <w:r w:rsidRPr="00A21FC1">
              <w:rPr>
                <w:rFonts w:ascii="Calibri Light" w:hAnsi="Calibri Light"/>
                <w:b/>
              </w:rPr>
              <w:t>Publicly released</w:t>
            </w:r>
          </w:p>
        </w:tc>
      </w:tr>
      <w:tr w:rsidR="00A3356C" w:rsidRPr="00A21FC1" w:rsidTr="003E7DE9">
        <w:tc>
          <w:tcPr>
            <w:tcW w:w="8364" w:type="dxa"/>
            <w:gridSpan w:val="2"/>
            <w:vAlign w:val="center"/>
          </w:tcPr>
          <w:p w:rsidR="00A3356C" w:rsidRPr="00A21FC1" w:rsidRDefault="00A3356C" w:rsidP="003E7DE9">
            <w:pPr>
              <w:spacing w:before="120" w:after="120"/>
              <w:rPr>
                <w:rFonts w:ascii="Calibri Light" w:hAnsi="Calibri Light"/>
                <w:b/>
              </w:rPr>
            </w:pPr>
            <w:r w:rsidRPr="00A21FC1">
              <w:rPr>
                <w:rFonts w:ascii="Calibri Light" w:hAnsi="Calibri Light"/>
                <w:b/>
              </w:rPr>
              <w:t>Quarantine surveillance following post-arrival quarantine for specified horses after importation to Australia</w:t>
            </w:r>
          </w:p>
        </w:tc>
        <w:tc>
          <w:tcPr>
            <w:tcW w:w="1843" w:type="dxa"/>
            <w:vAlign w:val="center"/>
          </w:tcPr>
          <w:p w:rsidR="00A3356C" w:rsidRPr="00A21FC1" w:rsidRDefault="00A3356C" w:rsidP="003E7DE9">
            <w:pPr>
              <w:spacing w:before="120" w:after="120"/>
              <w:rPr>
                <w:rFonts w:ascii="Calibri Light" w:hAnsi="Calibri Light"/>
                <w:b/>
              </w:rPr>
            </w:pPr>
            <w:r w:rsidRPr="00A21FC1">
              <w:rPr>
                <w:rFonts w:ascii="Calibri Light" w:hAnsi="Calibri Light"/>
                <w:b/>
              </w:rPr>
              <w:t>27 May 2011</w:t>
            </w:r>
          </w:p>
        </w:tc>
      </w:tr>
      <w:tr w:rsidR="004979E9" w:rsidRPr="00A21FC1" w:rsidTr="003E7DE9">
        <w:tc>
          <w:tcPr>
            <w:tcW w:w="10207" w:type="dxa"/>
            <w:gridSpan w:val="3"/>
            <w:shd w:val="clear" w:color="auto" w:fill="C6D9F1"/>
            <w:vAlign w:val="center"/>
          </w:tcPr>
          <w:p w:rsidR="004979E9" w:rsidRPr="00A21FC1" w:rsidRDefault="004979E9" w:rsidP="003E7DE9">
            <w:pPr>
              <w:spacing w:before="120" w:after="120"/>
              <w:rPr>
                <w:rFonts w:ascii="Calibri Light" w:hAnsi="Calibri Light"/>
                <w:b/>
              </w:rPr>
            </w:pPr>
            <w:r w:rsidRPr="00A21FC1">
              <w:rPr>
                <w:rFonts w:ascii="Calibri Light" w:hAnsi="Calibri Light"/>
                <w:b/>
              </w:rPr>
              <w:t>Recommendation</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1</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It is recommended that a follow-up audit of the quarantine surveillance procedures for imported horses be carried out in South East region during 2010 by the Interim Inspector General of Biosecurity or under other agreed arrangements. The audit should be conducted when the officer responsible for administration and oversight of the database and paper files in the region is available.</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2</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It is recommended that the Biosecurity Services Group (BSG) formally require the owner of the horse ‘Horse A’ to specify the premises where the horse is to be kept and to advise BSG of any relocation of the horse during quarantine surveillance. [Refer to recommendation 9 for conditions to be met on the death of this horse.]</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3</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It is recommended that greater attention should be applied to the completion of records of equine quarantine surveillance information in the South East Regional office.</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4</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To assist in a nationally coordinated approach in quarantine surveillance recordkeeping, a standard format database should be developed for use by all regions to record all requirements of the relevant work instructions.</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5</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To ensure a seamless transition into quarantine surveillance, the Biosecurity Services Group should ensure that any uniquely developed quarantine surveillance requirements are communicated to the appropriate regional office prior to the release of the horse from the post-arrival quarantine station.</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6</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To remove a current practical anomaly it is recommended that the Biosecurity Services Group clarify the work instruction regarding responsibility for relevant notification to another region of an impending quarantine surveillance arrangement.</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7</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It is recommended that the Biosecurity Services Group clarify the procedures for provision by the horse owner of a horse transport plan from the post-arrival quarantine facility to the approved premises for quarantine surveillance. In particular, this should specify the submission pathway for the importer to provide the transport plan.</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lastRenderedPageBreak/>
              <w:t>8</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It is recommended that the Biosecurity Services Group (BSG) tighten compliance in relation to the provision of a horse transport plan from the post-arrival quarantine facility to the BSG region in which quarantine surveillance is to occur.</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9</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It is recommended that where a horse is required to remain under quarantine surveillance for life, a detailed disposal plan for the horse’s carcass be developed and agreed to between the Biosecurity Services Group, the attending private veterinarian and the owner. The disposal plan is to be kept at the appropriate regional office and should be maintained as a live document until the disposal conditions have been met.</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10</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It is recommended that the Biosecurity Services Group carry out inspections of the horse ‘Horse A’ on a set schedule rather than the current ad hoc arrangements.</w:t>
            </w:r>
          </w:p>
        </w:tc>
      </w:tr>
    </w:tbl>
    <w:p w:rsidR="00700A4B" w:rsidRPr="00A21FC1" w:rsidRDefault="00700A4B" w:rsidP="00E21B62">
      <w:pPr>
        <w:rPr>
          <w:rFonts w:ascii="Calibri Light" w:hAnsi="Calibri Light"/>
        </w:rPr>
      </w:pPr>
    </w:p>
    <w:p w:rsidR="00FB565E" w:rsidRPr="00A21FC1" w:rsidRDefault="00FB565E" w:rsidP="00E21B62">
      <w:pPr>
        <w:rPr>
          <w:rFonts w:ascii="Calibri Light" w:hAnsi="Calibri Light"/>
        </w:rPr>
      </w:pPr>
    </w:p>
    <w:p w:rsidR="00FB565E" w:rsidRPr="00A21FC1" w:rsidRDefault="00FB565E" w:rsidP="00E21B62">
      <w:pPr>
        <w:rPr>
          <w:rFonts w:ascii="Calibri Light" w:hAnsi="Calibri Light"/>
        </w:rPr>
      </w:pPr>
    </w:p>
    <w:p w:rsidR="00FB565E" w:rsidRPr="00A21FC1" w:rsidRDefault="00FB565E" w:rsidP="00E21B62">
      <w:pPr>
        <w:rPr>
          <w:rFonts w:ascii="Calibri Light" w:hAnsi="Calibri Light"/>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7797"/>
        <w:gridCol w:w="1843"/>
      </w:tblGrid>
      <w:tr w:rsidR="00A97491" w:rsidRPr="00A21FC1" w:rsidTr="003E7DE9">
        <w:tc>
          <w:tcPr>
            <w:tcW w:w="8364" w:type="dxa"/>
            <w:gridSpan w:val="2"/>
            <w:shd w:val="clear" w:color="auto" w:fill="548DD4"/>
            <w:vAlign w:val="center"/>
          </w:tcPr>
          <w:p w:rsidR="00A97491" w:rsidRPr="00A21FC1" w:rsidRDefault="00A97491" w:rsidP="003E7DE9">
            <w:pPr>
              <w:spacing w:before="120" w:after="120"/>
              <w:rPr>
                <w:rFonts w:ascii="Calibri Light" w:hAnsi="Calibri Light"/>
                <w:b/>
              </w:rPr>
            </w:pPr>
            <w:r w:rsidRPr="00A21FC1">
              <w:rPr>
                <w:rFonts w:ascii="Calibri Light" w:hAnsi="Calibri Light"/>
                <w:b/>
              </w:rPr>
              <w:t>Title</w:t>
            </w:r>
          </w:p>
        </w:tc>
        <w:tc>
          <w:tcPr>
            <w:tcW w:w="1843" w:type="dxa"/>
            <w:shd w:val="clear" w:color="auto" w:fill="548DD4"/>
            <w:vAlign w:val="center"/>
          </w:tcPr>
          <w:p w:rsidR="00A97491" w:rsidRPr="00A21FC1" w:rsidRDefault="00A97491" w:rsidP="003E7DE9">
            <w:pPr>
              <w:spacing w:before="120" w:after="120"/>
              <w:rPr>
                <w:rFonts w:ascii="Calibri Light" w:hAnsi="Calibri Light"/>
                <w:b/>
              </w:rPr>
            </w:pPr>
            <w:r w:rsidRPr="00A21FC1">
              <w:rPr>
                <w:rFonts w:ascii="Calibri Light" w:hAnsi="Calibri Light"/>
                <w:b/>
              </w:rPr>
              <w:t>Publicly released</w:t>
            </w:r>
          </w:p>
        </w:tc>
      </w:tr>
      <w:tr w:rsidR="00A97491" w:rsidRPr="00A21FC1" w:rsidTr="003E7DE9">
        <w:tc>
          <w:tcPr>
            <w:tcW w:w="8364" w:type="dxa"/>
            <w:gridSpan w:val="2"/>
            <w:vAlign w:val="center"/>
          </w:tcPr>
          <w:p w:rsidR="00A97491" w:rsidRPr="00A21FC1" w:rsidRDefault="00A97491" w:rsidP="003E7DE9">
            <w:pPr>
              <w:spacing w:before="120" w:after="120"/>
              <w:rPr>
                <w:rFonts w:ascii="Calibri Light" w:hAnsi="Calibri Light"/>
                <w:b/>
              </w:rPr>
            </w:pPr>
            <w:r w:rsidRPr="00A21FC1">
              <w:rPr>
                <w:rFonts w:ascii="Calibri Light" w:hAnsi="Calibri Light"/>
                <w:b/>
              </w:rPr>
              <w:t>Management of quarantine waste from international vessels at Australian seaports</w:t>
            </w:r>
          </w:p>
        </w:tc>
        <w:tc>
          <w:tcPr>
            <w:tcW w:w="1843" w:type="dxa"/>
            <w:vAlign w:val="center"/>
          </w:tcPr>
          <w:p w:rsidR="00A97491" w:rsidRPr="00A21FC1" w:rsidRDefault="00A97491" w:rsidP="003E7DE9">
            <w:pPr>
              <w:spacing w:before="120" w:after="120"/>
              <w:rPr>
                <w:rFonts w:ascii="Calibri Light" w:hAnsi="Calibri Light"/>
                <w:b/>
              </w:rPr>
            </w:pPr>
            <w:r w:rsidRPr="00A21FC1">
              <w:rPr>
                <w:rFonts w:ascii="Calibri Light" w:hAnsi="Calibri Light"/>
                <w:b/>
              </w:rPr>
              <w:t>22 July 2011</w:t>
            </w:r>
          </w:p>
        </w:tc>
      </w:tr>
      <w:tr w:rsidR="004979E9" w:rsidRPr="00A21FC1" w:rsidTr="003E7DE9">
        <w:tc>
          <w:tcPr>
            <w:tcW w:w="10207" w:type="dxa"/>
            <w:gridSpan w:val="3"/>
            <w:shd w:val="clear" w:color="auto" w:fill="C6D9F1"/>
            <w:vAlign w:val="center"/>
          </w:tcPr>
          <w:p w:rsidR="004979E9" w:rsidRPr="00A21FC1" w:rsidRDefault="004979E9" w:rsidP="003E7DE9">
            <w:pPr>
              <w:spacing w:before="120" w:after="120"/>
              <w:rPr>
                <w:rFonts w:ascii="Calibri Light" w:hAnsi="Calibri Light"/>
                <w:b/>
              </w:rPr>
            </w:pPr>
            <w:r w:rsidRPr="00A21FC1">
              <w:rPr>
                <w:rFonts w:ascii="Calibri Light" w:hAnsi="Calibri Light"/>
                <w:b/>
              </w:rPr>
              <w:t>Recommendation</w:t>
            </w:r>
          </w:p>
        </w:tc>
      </w:tr>
      <w:tr w:rsidR="004979E9" w:rsidRPr="00A21FC1" w:rsidTr="003E7DE9">
        <w:tc>
          <w:tcPr>
            <w:tcW w:w="567" w:type="dxa"/>
            <w:shd w:val="clear" w:color="auto" w:fill="FFFFFF"/>
            <w:vAlign w:val="center"/>
          </w:tcPr>
          <w:p w:rsidR="004979E9" w:rsidRPr="00A21FC1" w:rsidRDefault="004979E9" w:rsidP="003E7DE9">
            <w:pPr>
              <w:spacing w:before="120" w:after="120"/>
              <w:rPr>
                <w:rFonts w:ascii="Calibri Light" w:hAnsi="Calibri Light"/>
              </w:rPr>
            </w:pPr>
            <w:r w:rsidRPr="00A21FC1">
              <w:rPr>
                <w:rFonts w:ascii="Calibri Light" w:hAnsi="Calibri Light"/>
              </w:rPr>
              <w:t>1</w:t>
            </w:r>
          </w:p>
        </w:tc>
        <w:tc>
          <w:tcPr>
            <w:tcW w:w="9640" w:type="dxa"/>
            <w:gridSpan w:val="2"/>
            <w:shd w:val="clear" w:color="auto" w:fill="FFFFFF"/>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The Biosecurity Services Group should verify by means of official on</w:t>
            </w:r>
            <w:r w:rsidRPr="00A21FC1">
              <w:rPr>
                <w:rFonts w:ascii="Calibri Light" w:eastAsia="Times New Roman" w:hAnsi="Calibri Light" w:cs="TimesNewRoman"/>
                <w:color w:val="010101"/>
                <w:sz w:val="20"/>
                <w:szCs w:val="20"/>
              </w:rPr>
              <w:noBreakHyphen/>
              <w:t>site inspection that the operations of approved deep burial facilities include the immediate covering of all unloaded quarantine waste as described in the AQIS Compliance Agreement Process Management System for the Burial of Quarantine Waste.</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2</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The Biosecurity Services Group should undertake a technical assessment of the adequacy of current requirements (May 2010) to manage biosecurity risks associated with the deep burial of quarantine waste. In particular, this should address the adequacy of prevention, surveillance and response activities for intrusion of foraging animals (particularly birds) onto a site where deep burial operations occur. Operational procedures, compliance agreements and other relevant documentation should then be updated accordingly.</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3</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Quarantine food-waste from international vessels (including sea and aircraft) should be treated, where practicable, by autoclaving or incineration in preference to deep burial. The Biosecurity Services Group should review its procedures for quarantine waste to determine if food waste can be practically isolated from other quarantine waste material collected and transported for treatment.</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4</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To ensure contemporary scientific risk management underpins relevant policies and procedures, the Biosecurity Services Group should undertake periodic technical assessment (including on-site examinations) of the risk management procedures that apply to quarantine waste.</w:t>
            </w:r>
          </w:p>
        </w:tc>
      </w:tr>
    </w:tbl>
    <w:p w:rsidR="00965C2F" w:rsidRPr="00A21FC1" w:rsidRDefault="00965C2F" w:rsidP="00E21B62">
      <w:pPr>
        <w:rPr>
          <w:rFonts w:ascii="Calibri Light" w:hAnsi="Calibri Light"/>
        </w:rPr>
      </w:pPr>
    </w:p>
    <w:p w:rsidR="00FB565E" w:rsidRPr="00A21FC1" w:rsidRDefault="00FB565E" w:rsidP="00E21B62">
      <w:pPr>
        <w:rPr>
          <w:rFonts w:ascii="Calibri Light" w:hAnsi="Calibri Light"/>
        </w:rPr>
      </w:pPr>
    </w:p>
    <w:p w:rsidR="00FB565E" w:rsidRPr="00A21FC1" w:rsidRDefault="00FB565E" w:rsidP="00E21B62">
      <w:pPr>
        <w:rPr>
          <w:rFonts w:ascii="Calibri Light" w:hAnsi="Calibri Light"/>
        </w:rPr>
      </w:pPr>
    </w:p>
    <w:p w:rsidR="00FB565E" w:rsidRPr="00A21FC1" w:rsidRDefault="00FB565E" w:rsidP="00E21B62">
      <w:pPr>
        <w:rPr>
          <w:rFonts w:ascii="Calibri Light" w:hAnsi="Calibri Light"/>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4"/>
        <w:gridCol w:w="1843"/>
      </w:tblGrid>
      <w:tr w:rsidR="000219B4" w:rsidRPr="00A21FC1" w:rsidTr="003E7DE9">
        <w:tc>
          <w:tcPr>
            <w:tcW w:w="8364" w:type="dxa"/>
            <w:shd w:val="clear" w:color="auto" w:fill="548DD4"/>
            <w:vAlign w:val="center"/>
          </w:tcPr>
          <w:p w:rsidR="000219B4" w:rsidRPr="00A21FC1" w:rsidRDefault="000219B4" w:rsidP="003E7DE9">
            <w:pPr>
              <w:spacing w:before="120" w:after="120"/>
              <w:rPr>
                <w:rFonts w:ascii="Calibri Light" w:hAnsi="Calibri Light"/>
                <w:b/>
              </w:rPr>
            </w:pPr>
            <w:r w:rsidRPr="00A21FC1">
              <w:rPr>
                <w:rFonts w:ascii="Calibri Light" w:hAnsi="Calibri Light"/>
                <w:b/>
              </w:rPr>
              <w:t>Title</w:t>
            </w:r>
          </w:p>
        </w:tc>
        <w:tc>
          <w:tcPr>
            <w:tcW w:w="1843" w:type="dxa"/>
            <w:shd w:val="clear" w:color="auto" w:fill="548DD4"/>
            <w:vAlign w:val="center"/>
          </w:tcPr>
          <w:p w:rsidR="000219B4" w:rsidRPr="00A21FC1" w:rsidRDefault="000219B4" w:rsidP="003E7DE9">
            <w:pPr>
              <w:spacing w:before="120" w:after="120"/>
              <w:rPr>
                <w:rFonts w:ascii="Calibri Light" w:hAnsi="Calibri Light"/>
                <w:b/>
              </w:rPr>
            </w:pPr>
            <w:r w:rsidRPr="00A21FC1">
              <w:rPr>
                <w:rFonts w:ascii="Calibri Light" w:hAnsi="Calibri Light"/>
                <w:b/>
              </w:rPr>
              <w:t>Publicly released</w:t>
            </w:r>
          </w:p>
        </w:tc>
      </w:tr>
      <w:tr w:rsidR="000219B4" w:rsidRPr="00A21FC1" w:rsidTr="003E7DE9">
        <w:tc>
          <w:tcPr>
            <w:tcW w:w="8364" w:type="dxa"/>
            <w:vAlign w:val="center"/>
          </w:tcPr>
          <w:p w:rsidR="000219B4" w:rsidRPr="00A21FC1" w:rsidRDefault="000219B4" w:rsidP="003E7DE9">
            <w:pPr>
              <w:spacing w:before="120" w:after="120"/>
              <w:rPr>
                <w:rFonts w:ascii="Calibri Light" w:hAnsi="Calibri Light"/>
                <w:b/>
              </w:rPr>
            </w:pPr>
            <w:r w:rsidRPr="00A21FC1">
              <w:rPr>
                <w:rFonts w:ascii="Calibri Light" w:hAnsi="Calibri Light"/>
                <w:b/>
              </w:rPr>
              <w:t>Australian Veterinary Emergency Plan (AUSVETPLAN)</w:t>
            </w:r>
          </w:p>
        </w:tc>
        <w:tc>
          <w:tcPr>
            <w:tcW w:w="1843" w:type="dxa"/>
            <w:vAlign w:val="center"/>
          </w:tcPr>
          <w:p w:rsidR="000219B4" w:rsidRPr="00A21FC1" w:rsidRDefault="000219B4" w:rsidP="003E7DE9">
            <w:pPr>
              <w:spacing w:before="120" w:after="120"/>
              <w:rPr>
                <w:rFonts w:ascii="Calibri Light" w:hAnsi="Calibri Light"/>
                <w:b/>
              </w:rPr>
            </w:pPr>
            <w:r w:rsidRPr="00A21FC1">
              <w:rPr>
                <w:rFonts w:ascii="Calibri Light" w:hAnsi="Calibri Light"/>
                <w:b/>
              </w:rPr>
              <w:t>22 July 2011</w:t>
            </w:r>
          </w:p>
        </w:tc>
      </w:tr>
      <w:tr w:rsidR="000219B4" w:rsidRPr="00A21FC1" w:rsidTr="003E7DE9">
        <w:tc>
          <w:tcPr>
            <w:tcW w:w="10207" w:type="dxa"/>
            <w:gridSpan w:val="2"/>
            <w:shd w:val="clear" w:color="auto" w:fill="C6D9F1"/>
            <w:vAlign w:val="center"/>
          </w:tcPr>
          <w:p w:rsidR="000219B4" w:rsidRPr="00A21FC1" w:rsidRDefault="000219B4" w:rsidP="003E7DE9">
            <w:pPr>
              <w:spacing w:before="120" w:after="120"/>
              <w:rPr>
                <w:rFonts w:ascii="Calibri Light" w:hAnsi="Calibri Light"/>
                <w:b/>
              </w:rPr>
            </w:pPr>
            <w:r w:rsidRPr="00A21FC1">
              <w:rPr>
                <w:rFonts w:ascii="Calibri Light" w:hAnsi="Calibri Light"/>
                <w:b/>
              </w:rPr>
              <w:t>No recommendations</w:t>
            </w:r>
          </w:p>
        </w:tc>
      </w:tr>
    </w:tbl>
    <w:p w:rsidR="00E8529D" w:rsidRPr="00A21FC1" w:rsidRDefault="00E8529D" w:rsidP="00E21B62">
      <w:pPr>
        <w:rPr>
          <w:rFonts w:ascii="Calibri Light" w:hAnsi="Calibri Light"/>
        </w:rPr>
      </w:pPr>
    </w:p>
    <w:p w:rsidR="00FB565E" w:rsidRPr="00A21FC1" w:rsidRDefault="00FB565E" w:rsidP="00E21B62">
      <w:pPr>
        <w:rPr>
          <w:rFonts w:ascii="Calibri Light" w:hAnsi="Calibri Light"/>
        </w:rPr>
      </w:pPr>
    </w:p>
    <w:p w:rsidR="00FB565E" w:rsidRPr="00A21FC1" w:rsidRDefault="00FB565E" w:rsidP="00E21B62">
      <w:pPr>
        <w:rPr>
          <w:rFonts w:ascii="Calibri Light" w:hAnsi="Calibri Light"/>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4"/>
        <w:gridCol w:w="1843"/>
      </w:tblGrid>
      <w:tr w:rsidR="000219B4" w:rsidRPr="00A21FC1" w:rsidTr="003E7DE9">
        <w:tc>
          <w:tcPr>
            <w:tcW w:w="8364" w:type="dxa"/>
            <w:shd w:val="clear" w:color="auto" w:fill="548DD4"/>
            <w:vAlign w:val="center"/>
          </w:tcPr>
          <w:p w:rsidR="000219B4" w:rsidRPr="00A21FC1" w:rsidRDefault="000219B4" w:rsidP="003E7DE9">
            <w:pPr>
              <w:spacing w:before="120" w:after="120"/>
              <w:rPr>
                <w:rFonts w:ascii="Calibri Light" w:hAnsi="Calibri Light"/>
                <w:b/>
              </w:rPr>
            </w:pPr>
            <w:r w:rsidRPr="00A21FC1">
              <w:rPr>
                <w:rFonts w:ascii="Calibri Light" w:hAnsi="Calibri Light"/>
                <w:b/>
              </w:rPr>
              <w:lastRenderedPageBreak/>
              <w:t>Title</w:t>
            </w:r>
          </w:p>
        </w:tc>
        <w:tc>
          <w:tcPr>
            <w:tcW w:w="1843" w:type="dxa"/>
            <w:shd w:val="clear" w:color="auto" w:fill="548DD4"/>
            <w:vAlign w:val="center"/>
          </w:tcPr>
          <w:p w:rsidR="000219B4" w:rsidRPr="00A21FC1" w:rsidRDefault="000219B4" w:rsidP="003E7DE9">
            <w:pPr>
              <w:spacing w:before="120" w:after="120"/>
              <w:rPr>
                <w:rFonts w:ascii="Calibri Light" w:hAnsi="Calibri Light"/>
                <w:b/>
              </w:rPr>
            </w:pPr>
            <w:r w:rsidRPr="00A21FC1">
              <w:rPr>
                <w:rFonts w:ascii="Calibri Light" w:hAnsi="Calibri Light"/>
                <w:b/>
              </w:rPr>
              <w:t>Publicly released</w:t>
            </w:r>
          </w:p>
        </w:tc>
      </w:tr>
      <w:tr w:rsidR="000219B4" w:rsidRPr="00A21FC1" w:rsidTr="003E7DE9">
        <w:tc>
          <w:tcPr>
            <w:tcW w:w="8364" w:type="dxa"/>
            <w:vAlign w:val="center"/>
          </w:tcPr>
          <w:p w:rsidR="000219B4" w:rsidRPr="00A21FC1" w:rsidRDefault="000219B4" w:rsidP="003E7DE9">
            <w:pPr>
              <w:spacing w:before="120" w:after="120"/>
              <w:rPr>
                <w:rFonts w:ascii="Calibri Light" w:hAnsi="Calibri Light"/>
                <w:b/>
              </w:rPr>
            </w:pPr>
            <w:r w:rsidRPr="00A21FC1">
              <w:rPr>
                <w:rFonts w:ascii="Calibri Light" w:hAnsi="Calibri Light"/>
                <w:b/>
              </w:rPr>
              <w:t xml:space="preserve">Horse pre-export operations and procedures </w:t>
            </w:r>
            <w:r w:rsidR="00083D60" w:rsidRPr="00A21FC1">
              <w:rPr>
                <w:rFonts w:ascii="Calibri Light" w:hAnsi="Calibri Light"/>
                <w:b/>
              </w:rPr>
              <w:t>from</w:t>
            </w:r>
            <w:r w:rsidRPr="00A21FC1">
              <w:rPr>
                <w:rFonts w:ascii="Calibri Light" w:hAnsi="Calibri Light"/>
                <w:b/>
              </w:rPr>
              <w:t xml:space="preserve"> Japan </w:t>
            </w:r>
            <w:r w:rsidR="00083D60" w:rsidRPr="00A21FC1">
              <w:rPr>
                <w:rFonts w:ascii="Calibri Light" w:hAnsi="Calibri Light"/>
                <w:b/>
              </w:rPr>
              <w:t xml:space="preserve">- </w:t>
            </w:r>
            <w:r w:rsidRPr="00A21FC1">
              <w:rPr>
                <w:rFonts w:ascii="Calibri Light" w:hAnsi="Calibri Light"/>
                <w:b/>
              </w:rPr>
              <w:t>desktop review</w:t>
            </w:r>
          </w:p>
        </w:tc>
        <w:tc>
          <w:tcPr>
            <w:tcW w:w="1843" w:type="dxa"/>
            <w:vAlign w:val="center"/>
          </w:tcPr>
          <w:p w:rsidR="000219B4" w:rsidRPr="00A21FC1" w:rsidRDefault="000219B4" w:rsidP="003E7DE9">
            <w:pPr>
              <w:spacing w:before="120" w:after="120"/>
              <w:rPr>
                <w:rFonts w:ascii="Calibri Light" w:hAnsi="Calibri Light"/>
                <w:b/>
              </w:rPr>
            </w:pPr>
            <w:r w:rsidRPr="00A21FC1">
              <w:rPr>
                <w:rFonts w:ascii="Calibri Light" w:hAnsi="Calibri Light"/>
                <w:b/>
              </w:rPr>
              <w:t>22 August 2011</w:t>
            </w:r>
          </w:p>
        </w:tc>
      </w:tr>
      <w:tr w:rsidR="000219B4" w:rsidRPr="00A21FC1" w:rsidTr="003E7DE9">
        <w:tc>
          <w:tcPr>
            <w:tcW w:w="10207" w:type="dxa"/>
            <w:gridSpan w:val="2"/>
            <w:shd w:val="clear" w:color="auto" w:fill="C6D9F1"/>
            <w:vAlign w:val="center"/>
          </w:tcPr>
          <w:p w:rsidR="000219B4" w:rsidRPr="00A21FC1" w:rsidRDefault="000219B4" w:rsidP="003E7DE9">
            <w:pPr>
              <w:spacing w:before="120" w:after="120"/>
              <w:rPr>
                <w:rFonts w:ascii="Calibri Light" w:hAnsi="Calibri Light"/>
                <w:b/>
              </w:rPr>
            </w:pPr>
            <w:r w:rsidRPr="00A21FC1">
              <w:rPr>
                <w:rFonts w:ascii="Calibri Light" w:hAnsi="Calibri Light"/>
                <w:b/>
              </w:rPr>
              <w:t>No recommendations</w:t>
            </w:r>
          </w:p>
        </w:tc>
      </w:tr>
    </w:tbl>
    <w:p w:rsidR="000219B4" w:rsidRPr="00A21FC1" w:rsidRDefault="000219B4" w:rsidP="00E21B62">
      <w:pPr>
        <w:rPr>
          <w:rFonts w:ascii="Calibri Light" w:hAnsi="Calibri Light"/>
        </w:rPr>
      </w:pPr>
    </w:p>
    <w:p w:rsidR="00FB565E" w:rsidRPr="00A21FC1" w:rsidRDefault="00FB565E" w:rsidP="00E21B62">
      <w:pPr>
        <w:rPr>
          <w:rFonts w:ascii="Calibri Light" w:hAnsi="Calibri Light"/>
        </w:rPr>
      </w:pPr>
    </w:p>
    <w:p w:rsidR="00FB565E" w:rsidRPr="00A21FC1" w:rsidRDefault="00FB565E" w:rsidP="00E21B62">
      <w:pPr>
        <w:rPr>
          <w:rFonts w:ascii="Calibri Light" w:hAnsi="Calibri Light"/>
        </w:rPr>
      </w:pPr>
    </w:p>
    <w:p w:rsidR="00091F76" w:rsidRPr="00A21FC1" w:rsidRDefault="00091F76">
      <w:pPr>
        <w:rPr>
          <w:rFonts w:ascii="Calibri Light" w:hAnsi="Calibri Light"/>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097"/>
        <w:gridCol w:w="4700"/>
        <w:gridCol w:w="1843"/>
      </w:tblGrid>
      <w:tr w:rsidR="000219B4" w:rsidRPr="00A21FC1" w:rsidTr="003E7DE9">
        <w:tc>
          <w:tcPr>
            <w:tcW w:w="8364" w:type="dxa"/>
            <w:gridSpan w:val="3"/>
            <w:shd w:val="clear" w:color="auto" w:fill="548DD4"/>
            <w:vAlign w:val="center"/>
          </w:tcPr>
          <w:p w:rsidR="000219B4" w:rsidRPr="00A21FC1" w:rsidRDefault="000219B4" w:rsidP="003E7DE9">
            <w:pPr>
              <w:spacing w:before="120" w:after="120"/>
              <w:rPr>
                <w:rFonts w:ascii="Calibri Light" w:hAnsi="Calibri Light"/>
                <w:b/>
              </w:rPr>
            </w:pPr>
            <w:r w:rsidRPr="00A21FC1">
              <w:rPr>
                <w:rFonts w:ascii="Calibri Light" w:hAnsi="Calibri Light"/>
                <w:b/>
              </w:rPr>
              <w:t>Title</w:t>
            </w:r>
          </w:p>
        </w:tc>
        <w:tc>
          <w:tcPr>
            <w:tcW w:w="1843" w:type="dxa"/>
            <w:shd w:val="clear" w:color="auto" w:fill="548DD4"/>
            <w:vAlign w:val="center"/>
          </w:tcPr>
          <w:p w:rsidR="000219B4" w:rsidRPr="00A21FC1" w:rsidRDefault="000219B4" w:rsidP="003E7DE9">
            <w:pPr>
              <w:spacing w:before="120" w:after="120"/>
              <w:rPr>
                <w:rFonts w:ascii="Calibri Light" w:hAnsi="Calibri Light"/>
                <w:b/>
              </w:rPr>
            </w:pPr>
            <w:r w:rsidRPr="00A21FC1">
              <w:rPr>
                <w:rFonts w:ascii="Calibri Light" w:hAnsi="Calibri Light"/>
                <w:b/>
              </w:rPr>
              <w:t>Publicly released</w:t>
            </w:r>
          </w:p>
        </w:tc>
      </w:tr>
      <w:tr w:rsidR="000219B4" w:rsidRPr="00A21FC1" w:rsidTr="003E7DE9">
        <w:tc>
          <w:tcPr>
            <w:tcW w:w="8364" w:type="dxa"/>
            <w:gridSpan w:val="3"/>
            <w:vAlign w:val="center"/>
          </w:tcPr>
          <w:p w:rsidR="000219B4" w:rsidRPr="00A21FC1" w:rsidRDefault="000219B4" w:rsidP="003E7DE9">
            <w:pPr>
              <w:spacing w:before="120" w:after="120"/>
              <w:rPr>
                <w:rFonts w:ascii="Calibri Light" w:hAnsi="Calibri Light"/>
                <w:b/>
              </w:rPr>
            </w:pPr>
            <w:r w:rsidRPr="00A21FC1">
              <w:rPr>
                <w:rFonts w:ascii="Calibri Light" w:hAnsi="Calibri Light"/>
                <w:b/>
              </w:rPr>
              <w:t>Quarantine operations risk management (pathways) audit – citrus canker</w:t>
            </w:r>
          </w:p>
        </w:tc>
        <w:tc>
          <w:tcPr>
            <w:tcW w:w="1843" w:type="dxa"/>
            <w:vAlign w:val="center"/>
          </w:tcPr>
          <w:p w:rsidR="000219B4" w:rsidRPr="00A21FC1" w:rsidRDefault="000219B4" w:rsidP="003E7DE9">
            <w:pPr>
              <w:spacing w:before="120" w:after="120"/>
              <w:rPr>
                <w:rFonts w:ascii="Calibri Light" w:hAnsi="Calibri Light"/>
                <w:b/>
              </w:rPr>
            </w:pPr>
            <w:r w:rsidRPr="00A21FC1">
              <w:rPr>
                <w:rFonts w:ascii="Calibri Light" w:hAnsi="Calibri Light"/>
                <w:b/>
              </w:rPr>
              <w:t>22 August 2011</w:t>
            </w:r>
          </w:p>
        </w:tc>
      </w:tr>
      <w:tr w:rsidR="000219B4" w:rsidRPr="00A21FC1" w:rsidTr="003E7DE9">
        <w:tc>
          <w:tcPr>
            <w:tcW w:w="3664" w:type="dxa"/>
            <w:gridSpan w:val="2"/>
            <w:shd w:val="clear" w:color="auto" w:fill="C6D9F1"/>
            <w:vAlign w:val="center"/>
          </w:tcPr>
          <w:p w:rsidR="000219B4" w:rsidRPr="00A21FC1" w:rsidRDefault="000219B4" w:rsidP="003E7DE9">
            <w:pPr>
              <w:spacing w:before="120" w:after="120"/>
              <w:rPr>
                <w:rFonts w:ascii="Calibri Light" w:hAnsi="Calibri Light"/>
                <w:b/>
              </w:rPr>
            </w:pPr>
            <w:r w:rsidRPr="00A21FC1">
              <w:rPr>
                <w:rFonts w:ascii="Calibri Light" w:hAnsi="Calibri Light"/>
                <w:b/>
              </w:rPr>
              <w:t>Recommendation</w:t>
            </w:r>
          </w:p>
        </w:tc>
        <w:tc>
          <w:tcPr>
            <w:tcW w:w="4700" w:type="dxa"/>
            <w:shd w:val="clear" w:color="auto" w:fill="C6D9F1"/>
            <w:vAlign w:val="center"/>
          </w:tcPr>
          <w:p w:rsidR="000219B4" w:rsidRPr="00A21FC1" w:rsidRDefault="000219B4" w:rsidP="003E7DE9">
            <w:pPr>
              <w:spacing w:before="120" w:after="120"/>
              <w:rPr>
                <w:rFonts w:ascii="Calibri Light" w:hAnsi="Calibri Light"/>
                <w:b/>
              </w:rPr>
            </w:pPr>
          </w:p>
        </w:tc>
        <w:tc>
          <w:tcPr>
            <w:tcW w:w="1843" w:type="dxa"/>
            <w:shd w:val="clear" w:color="auto" w:fill="C6D9F1"/>
            <w:vAlign w:val="center"/>
          </w:tcPr>
          <w:p w:rsidR="000219B4" w:rsidRPr="00A21FC1" w:rsidRDefault="000219B4" w:rsidP="003E7DE9">
            <w:pPr>
              <w:spacing w:before="120" w:after="120"/>
              <w:rPr>
                <w:rFonts w:ascii="Calibri Light" w:hAnsi="Calibri Light"/>
                <w:b/>
              </w:rPr>
            </w:pP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3</w:t>
            </w:r>
          </w:p>
        </w:tc>
        <w:tc>
          <w:tcPr>
            <w:tcW w:w="9640" w:type="dxa"/>
            <w:gridSpan w:val="3"/>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considers undertaking periodic laboratory analysis for pests and diseases on citrus fruit and related items seized through leakage surveys.</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4</w:t>
            </w:r>
          </w:p>
        </w:tc>
        <w:tc>
          <w:tcPr>
            <w:tcW w:w="9640" w:type="dxa"/>
            <w:gridSpan w:val="3"/>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ensures that the implementation of the risk return model, as it relates to passenger screening, is monitored and reviewed.</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5</w:t>
            </w:r>
          </w:p>
        </w:tc>
        <w:tc>
          <w:tcPr>
            <w:tcW w:w="9640" w:type="dxa"/>
            <w:gridSpan w:val="3"/>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gives consideration to how any future changes to communication activities (e.g. corporate branding) for DAFF might impact on the NAQS program.</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6</w:t>
            </w:r>
          </w:p>
        </w:tc>
        <w:tc>
          <w:tcPr>
            <w:tcW w:w="9640" w:type="dxa"/>
            <w:gridSpan w:val="3"/>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considers working with other agencies operating in Australia’s northern region on an appropriate (or amended) information and data sharing protocol.</w:t>
            </w:r>
          </w:p>
        </w:tc>
      </w:tr>
    </w:tbl>
    <w:p w:rsidR="00E8529D" w:rsidRPr="00A21FC1" w:rsidRDefault="00E8529D" w:rsidP="00E21B62">
      <w:pPr>
        <w:rPr>
          <w:rFonts w:ascii="Calibri Light" w:hAnsi="Calibri Light"/>
        </w:rPr>
      </w:pPr>
    </w:p>
    <w:p w:rsidR="00FB565E" w:rsidRPr="00A21FC1" w:rsidRDefault="00FB565E" w:rsidP="00E21B62">
      <w:pPr>
        <w:rPr>
          <w:rFonts w:ascii="Calibri Light" w:hAnsi="Calibri Light"/>
        </w:rPr>
      </w:pPr>
    </w:p>
    <w:p w:rsidR="00FB565E" w:rsidRPr="00A21FC1" w:rsidRDefault="00FB565E" w:rsidP="00E21B62">
      <w:pPr>
        <w:rPr>
          <w:rFonts w:ascii="Calibri Light" w:hAnsi="Calibri Light"/>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097"/>
        <w:gridCol w:w="4700"/>
        <w:gridCol w:w="1843"/>
      </w:tblGrid>
      <w:tr w:rsidR="00D561CC" w:rsidRPr="00A21FC1" w:rsidTr="003E7DE9">
        <w:tc>
          <w:tcPr>
            <w:tcW w:w="8364" w:type="dxa"/>
            <w:gridSpan w:val="3"/>
            <w:shd w:val="clear" w:color="auto" w:fill="548DD4"/>
            <w:vAlign w:val="center"/>
          </w:tcPr>
          <w:p w:rsidR="00D561CC" w:rsidRPr="00A21FC1" w:rsidRDefault="00D561CC" w:rsidP="003E7DE9">
            <w:pPr>
              <w:spacing w:before="120" w:after="120"/>
              <w:rPr>
                <w:rFonts w:ascii="Calibri Light" w:hAnsi="Calibri Light"/>
                <w:b/>
              </w:rPr>
            </w:pPr>
            <w:r w:rsidRPr="00A21FC1">
              <w:rPr>
                <w:rFonts w:ascii="Calibri Light" w:hAnsi="Calibri Light"/>
                <w:b/>
              </w:rPr>
              <w:t>Title</w:t>
            </w:r>
          </w:p>
        </w:tc>
        <w:tc>
          <w:tcPr>
            <w:tcW w:w="1843" w:type="dxa"/>
            <w:shd w:val="clear" w:color="auto" w:fill="548DD4"/>
            <w:vAlign w:val="center"/>
          </w:tcPr>
          <w:p w:rsidR="00D561CC" w:rsidRPr="00A21FC1" w:rsidRDefault="00D561CC" w:rsidP="003E7DE9">
            <w:pPr>
              <w:spacing w:before="120" w:after="120"/>
              <w:rPr>
                <w:rFonts w:ascii="Calibri Light" w:hAnsi="Calibri Light"/>
                <w:b/>
              </w:rPr>
            </w:pPr>
            <w:r w:rsidRPr="00A21FC1">
              <w:rPr>
                <w:rFonts w:ascii="Calibri Light" w:hAnsi="Calibri Light"/>
                <w:b/>
              </w:rPr>
              <w:t>Publicly released</w:t>
            </w:r>
          </w:p>
        </w:tc>
      </w:tr>
      <w:tr w:rsidR="00D561CC" w:rsidRPr="00A21FC1" w:rsidTr="003E7DE9">
        <w:tc>
          <w:tcPr>
            <w:tcW w:w="8364" w:type="dxa"/>
            <w:gridSpan w:val="3"/>
            <w:vAlign w:val="center"/>
          </w:tcPr>
          <w:p w:rsidR="00D561CC" w:rsidRPr="00A21FC1" w:rsidRDefault="00083D60" w:rsidP="003E7DE9">
            <w:pPr>
              <w:spacing w:before="120" w:after="120"/>
              <w:rPr>
                <w:rFonts w:ascii="Calibri Light" w:hAnsi="Calibri Light"/>
                <w:b/>
              </w:rPr>
            </w:pPr>
            <w:r w:rsidRPr="00A21FC1">
              <w:rPr>
                <w:rFonts w:ascii="Calibri Light" w:hAnsi="Calibri Light"/>
                <w:b/>
              </w:rPr>
              <w:t>I</w:t>
            </w:r>
            <w:r w:rsidR="00D561CC" w:rsidRPr="00A21FC1">
              <w:rPr>
                <w:rFonts w:ascii="Calibri Light" w:hAnsi="Calibri Light"/>
                <w:b/>
              </w:rPr>
              <w:t>mportation of nursery stock</w:t>
            </w:r>
            <w:r w:rsidRPr="00A21FC1">
              <w:rPr>
                <w:rFonts w:ascii="Calibri Light" w:hAnsi="Calibri Light"/>
                <w:b/>
              </w:rPr>
              <w:t xml:space="preserve"> – offshore operations audit</w:t>
            </w:r>
          </w:p>
        </w:tc>
        <w:tc>
          <w:tcPr>
            <w:tcW w:w="1843" w:type="dxa"/>
            <w:vAlign w:val="center"/>
          </w:tcPr>
          <w:p w:rsidR="00D561CC" w:rsidRPr="00A21FC1" w:rsidRDefault="00D561CC" w:rsidP="003E7DE9">
            <w:pPr>
              <w:spacing w:before="120" w:after="120"/>
              <w:rPr>
                <w:rFonts w:ascii="Calibri Light" w:hAnsi="Calibri Light"/>
                <w:b/>
              </w:rPr>
            </w:pPr>
            <w:r w:rsidRPr="00A21FC1">
              <w:rPr>
                <w:rFonts w:ascii="Calibri Light" w:hAnsi="Calibri Light"/>
                <w:b/>
              </w:rPr>
              <w:t>22 August 2011</w:t>
            </w:r>
          </w:p>
        </w:tc>
      </w:tr>
      <w:tr w:rsidR="00D561CC" w:rsidRPr="00A21FC1" w:rsidTr="003E7DE9">
        <w:tc>
          <w:tcPr>
            <w:tcW w:w="3664" w:type="dxa"/>
            <w:gridSpan w:val="2"/>
            <w:shd w:val="clear" w:color="auto" w:fill="C6D9F1"/>
            <w:vAlign w:val="center"/>
          </w:tcPr>
          <w:p w:rsidR="00D561CC" w:rsidRPr="00A21FC1" w:rsidRDefault="00D561CC" w:rsidP="003E7DE9">
            <w:pPr>
              <w:spacing w:before="120" w:after="120"/>
              <w:rPr>
                <w:rFonts w:ascii="Calibri Light" w:hAnsi="Calibri Light"/>
                <w:b/>
              </w:rPr>
            </w:pPr>
            <w:r w:rsidRPr="00A21FC1">
              <w:rPr>
                <w:rFonts w:ascii="Calibri Light" w:hAnsi="Calibri Light"/>
                <w:b/>
              </w:rPr>
              <w:t>Recommendation</w:t>
            </w:r>
          </w:p>
        </w:tc>
        <w:tc>
          <w:tcPr>
            <w:tcW w:w="4700" w:type="dxa"/>
            <w:shd w:val="clear" w:color="auto" w:fill="C6D9F1"/>
            <w:vAlign w:val="center"/>
          </w:tcPr>
          <w:p w:rsidR="00D561CC" w:rsidRPr="00A21FC1" w:rsidRDefault="00D561CC" w:rsidP="003E7DE9">
            <w:pPr>
              <w:spacing w:before="120" w:after="120"/>
              <w:rPr>
                <w:rFonts w:ascii="Calibri Light" w:hAnsi="Calibri Light"/>
                <w:b/>
              </w:rPr>
            </w:pPr>
          </w:p>
        </w:tc>
        <w:tc>
          <w:tcPr>
            <w:tcW w:w="1843" w:type="dxa"/>
            <w:shd w:val="clear" w:color="auto" w:fill="C6D9F1"/>
            <w:vAlign w:val="center"/>
          </w:tcPr>
          <w:p w:rsidR="00D561CC" w:rsidRPr="00A21FC1" w:rsidRDefault="00D561CC" w:rsidP="003E7DE9">
            <w:pPr>
              <w:spacing w:before="120" w:after="120"/>
              <w:rPr>
                <w:rFonts w:ascii="Calibri Light" w:hAnsi="Calibri Light"/>
                <w:b/>
              </w:rPr>
            </w:pP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1</w:t>
            </w:r>
          </w:p>
        </w:tc>
        <w:tc>
          <w:tcPr>
            <w:tcW w:w="9640" w:type="dxa"/>
            <w:gridSpan w:val="3"/>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establish an information gathering and assessment group (or other appropriate mechanism), as recommended in the Beale review, to consolidate the monitoring, gathering and assessment of international plant pest and disease status.</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2</w:t>
            </w:r>
          </w:p>
        </w:tc>
        <w:tc>
          <w:tcPr>
            <w:tcW w:w="9640" w:type="dxa"/>
            <w:gridSpan w:val="3"/>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considers undertaking periodic laboratory identification of any microbial contamination detected on tissue culture during the arrival inspection process to confirm the absence of biosecurity risks.</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3</w:t>
            </w:r>
          </w:p>
        </w:tc>
        <w:tc>
          <w:tcPr>
            <w:tcW w:w="9640" w:type="dxa"/>
            <w:gridSpan w:val="3"/>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reviews the approval process for sources free of media to ensure that it records the physical location of the approved sources facility and identifies the persons responsible for its operational management and ownership and includes relevant conditions of approval.</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4</w:t>
            </w:r>
          </w:p>
        </w:tc>
        <w:tc>
          <w:tcPr>
            <w:tcW w:w="9640" w:type="dxa"/>
            <w:gridSpan w:val="3"/>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following review of the approval process, finalise and implement the draft work instruction for the approval of sources free of media – Work Instruction for the tissue cultures free of media.</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5</w:t>
            </w:r>
          </w:p>
        </w:tc>
        <w:tc>
          <w:tcPr>
            <w:tcW w:w="9640" w:type="dxa"/>
            <w:gridSpan w:val="3"/>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reviews the documentation that guides quarantine officers and Operational Science Program officers on the processes to follow when disease symptoms are detected at the border on tissue culture plantlets to ensure consistency across all regions.</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lastRenderedPageBreak/>
              <w:t>6</w:t>
            </w:r>
          </w:p>
        </w:tc>
        <w:tc>
          <w:tcPr>
            <w:tcW w:w="9640" w:type="dxa"/>
            <w:gridSpan w:val="3"/>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implements better communication on Australian import conditions to offshore approved sources.</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9</w:t>
            </w:r>
          </w:p>
        </w:tc>
        <w:tc>
          <w:tcPr>
            <w:tcW w:w="9640" w:type="dxa"/>
            <w:gridSpan w:val="3"/>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implements an audit framework with a forward-looking audit schedule that is supported by appropriate audit tools.</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10</w:t>
            </w:r>
          </w:p>
        </w:tc>
        <w:tc>
          <w:tcPr>
            <w:tcW w:w="9640" w:type="dxa"/>
            <w:gridSpan w:val="3"/>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implements monitoring and feedback arrangements at the border inspection stage to measure the effectiveness of the alternative risk management measures implemented by Taiwan.</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11</w:t>
            </w:r>
          </w:p>
        </w:tc>
        <w:tc>
          <w:tcPr>
            <w:tcW w:w="9640" w:type="dxa"/>
            <w:gridSpan w:val="3"/>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considers the broader application of recommendations 9 and 10, should alternative arrangements be introduced in other countries and/or for other commodities.</w:t>
            </w:r>
          </w:p>
        </w:tc>
      </w:tr>
    </w:tbl>
    <w:p w:rsidR="00FB565E" w:rsidRPr="00A21FC1" w:rsidRDefault="00FB565E" w:rsidP="00E21B62">
      <w:pPr>
        <w:rPr>
          <w:rFonts w:ascii="Calibri Light" w:hAnsi="Calibri Light"/>
        </w:rPr>
      </w:pPr>
    </w:p>
    <w:p w:rsidR="00FB565E" w:rsidRPr="00A21FC1" w:rsidRDefault="00FB565E" w:rsidP="00E21B62">
      <w:pPr>
        <w:rPr>
          <w:rFonts w:ascii="Calibri Light" w:hAnsi="Calibri Light"/>
        </w:rPr>
      </w:pPr>
    </w:p>
    <w:p w:rsidR="00FB565E" w:rsidRPr="00A21FC1" w:rsidRDefault="00FB565E" w:rsidP="00E21B62">
      <w:pPr>
        <w:rPr>
          <w:rFonts w:ascii="Calibri Light" w:hAnsi="Calibri Light"/>
        </w:rPr>
      </w:pPr>
    </w:p>
    <w:p w:rsidR="00FB565E" w:rsidRPr="00A21FC1" w:rsidRDefault="00FB565E" w:rsidP="00E21B62">
      <w:pPr>
        <w:rPr>
          <w:rFonts w:ascii="Calibri Light" w:hAnsi="Calibri Light"/>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7797"/>
        <w:gridCol w:w="1843"/>
      </w:tblGrid>
      <w:tr w:rsidR="005F246A" w:rsidRPr="00A21FC1" w:rsidTr="003E7DE9">
        <w:tc>
          <w:tcPr>
            <w:tcW w:w="8364" w:type="dxa"/>
            <w:gridSpan w:val="2"/>
            <w:shd w:val="clear" w:color="auto" w:fill="548DD4"/>
            <w:vAlign w:val="center"/>
          </w:tcPr>
          <w:p w:rsidR="005F246A" w:rsidRPr="00A21FC1" w:rsidRDefault="005F246A" w:rsidP="003E7DE9">
            <w:pPr>
              <w:spacing w:before="120" w:after="120"/>
              <w:rPr>
                <w:rFonts w:ascii="Calibri Light" w:hAnsi="Calibri Light"/>
                <w:b/>
              </w:rPr>
            </w:pPr>
            <w:r w:rsidRPr="00A21FC1">
              <w:rPr>
                <w:rFonts w:ascii="Calibri Light" w:hAnsi="Calibri Light"/>
                <w:b/>
              </w:rPr>
              <w:t>Title</w:t>
            </w:r>
          </w:p>
        </w:tc>
        <w:tc>
          <w:tcPr>
            <w:tcW w:w="1843" w:type="dxa"/>
            <w:shd w:val="clear" w:color="auto" w:fill="548DD4"/>
            <w:vAlign w:val="center"/>
          </w:tcPr>
          <w:p w:rsidR="005F246A" w:rsidRPr="00A21FC1" w:rsidRDefault="005F246A" w:rsidP="003E7DE9">
            <w:pPr>
              <w:spacing w:before="120" w:after="120"/>
              <w:rPr>
                <w:rFonts w:ascii="Calibri Light" w:hAnsi="Calibri Light"/>
                <w:b/>
              </w:rPr>
            </w:pPr>
            <w:r w:rsidRPr="00A21FC1">
              <w:rPr>
                <w:rFonts w:ascii="Calibri Light" w:hAnsi="Calibri Light"/>
                <w:b/>
              </w:rPr>
              <w:t>Publicly released</w:t>
            </w:r>
          </w:p>
        </w:tc>
      </w:tr>
      <w:tr w:rsidR="005F246A" w:rsidRPr="00A21FC1" w:rsidTr="003E7DE9">
        <w:tc>
          <w:tcPr>
            <w:tcW w:w="8364" w:type="dxa"/>
            <w:gridSpan w:val="2"/>
            <w:vAlign w:val="center"/>
          </w:tcPr>
          <w:p w:rsidR="005F246A" w:rsidRPr="00A21FC1" w:rsidRDefault="005F246A" w:rsidP="003E7DE9">
            <w:pPr>
              <w:spacing w:before="120" w:after="120"/>
              <w:rPr>
                <w:rFonts w:ascii="Calibri Light" w:hAnsi="Calibri Light"/>
                <w:b/>
              </w:rPr>
            </w:pPr>
            <w:r w:rsidRPr="00A21FC1">
              <w:rPr>
                <w:rFonts w:ascii="Calibri Light" w:hAnsi="Calibri Light"/>
                <w:b/>
              </w:rPr>
              <w:t>An examination of factors that led to release into Australia of a consignment of soil (declared as fertiliser) and interception at the border of another consignment of soil (declared as fertiliser)</w:t>
            </w:r>
          </w:p>
        </w:tc>
        <w:tc>
          <w:tcPr>
            <w:tcW w:w="1843" w:type="dxa"/>
            <w:vAlign w:val="center"/>
          </w:tcPr>
          <w:p w:rsidR="005F246A" w:rsidRPr="00A21FC1" w:rsidRDefault="005F246A" w:rsidP="003E7DE9">
            <w:pPr>
              <w:spacing w:before="120" w:after="120"/>
              <w:rPr>
                <w:rFonts w:ascii="Calibri Light" w:hAnsi="Calibri Light"/>
                <w:b/>
              </w:rPr>
            </w:pPr>
            <w:r w:rsidRPr="00A21FC1">
              <w:rPr>
                <w:rFonts w:ascii="Calibri Light" w:hAnsi="Calibri Light"/>
                <w:b/>
              </w:rPr>
              <w:t>18 June 2012</w:t>
            </w:r>
          </w:p>
        </w:tc>
      </w:tr>
      <w:tr w:rsidR="004979E9" w:rsidRPr="00A21FC1" w:rsidTr="003E7DE9">
        <w:tc>
          <w:tcPr>
            <w:tcW w:w="10207" w:type="dxa"/>
            <w:gridSpan w:val="3"/>
            <w:shd w:val="clear" w:color="auto" w:fill="C6D9F1"/>
            <w:vAlign w:val="center"/>
          </w:tcPr>
          <w:p w:rsidR="004979E9" w:rsidRPr="00A21FC1" w:rsidRDefault="004979E9" w:rsidP="003E7DE9">
            <w:pPr>
              <w:spacing w:before="120" w:after="120"/>
              <w:rPr>
                <w:rFonts w:ascii="Calibri Light" w:hAnsi="Calibri Light"/>
                <w:b/>
              </w:rPr>
            </w:pPr>
            <w:r w:rsidRPr="00A21FC1">
              <w:rPr>
                <w:rFonts w:ascii="Calibri Light" w:hAnsi="Calibri Light"/>
                <w:b/>
              </w:rPr>
              <w:t>Recommendation</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1</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considers risk-based intensification of inspection regimes for individual large fertiliser tonnage with particular emphasis on first-time importers.</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2</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reviews its procedures for follow-up responses involving imported goods that have been released from quarantine to ensure attending field officer(s) complete an adequately detailed report, proportional to the scale of potential biosecurity risk, within a reasonable timeframe.</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3</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communicates with the relevant state and territory department (for example, agriculture, primary industries) where biosecurity risks have been identified in imported goods that have been previously released and are located in rural areas.</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4</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arranges a follow-up surveillance visit to the Parkes farm by a weed scientist, plant pathologist and entomologist to confirm that no unusual pest or disease has established since the soil consignment was stored at the farm.</w:t>
            </w:r>
          </w:p>
        </w:tc>
      </w:tr>
    </w:tbl>
    <w:p w:rsidR="004979E9" w:rsidRPr="00A21FC1" w:rsidRDefault="004979E9" w:rsidP="007548E0">
      <w:pPr>
        <w:tabs>
          <w:tab w:val="left" w:pos="7621"/>
        </w:tabs>
        <w:ind w:left="-743"/>
        <w:rPr>
          <w:rFonts w:ascii="Calibri Light" w:hAnsi="Calibri Light"/>
        </w:rPr>
      </w:pPr>
    </w:p>
    <w:p w:rsidR="004979E9" w:rsidRDefault="004979E9" w:rsidP="007548E0">
      <w:pPr>
        <w:tabs>
          <w:tab w:val="left" w:pos="7621"/>
        </w:tabs>
        <w:ind w:left="-743"/>
        <w:rPr>
          <w:rFonts w:ascii="Calibri Light" w:hAnsi="Calibri Light"/>
        </w:rPr>
      </w:pPr>
    </w:p>
    <w:p w:rsidR="00753233" w:rsidRPr="00A21FC1" w:rsidRDefault="00753233" w:rsidP="007548E0">
      <w:pPr>
        <w:tabs>
          <w:tab w:val="left" w:pos="7621"/>
        </w:tabs>
        <w:ind w:left="-743"/>
        <w:rPr>
          <w:rFonts w:ascii="Calibri Light" w:hAnsi="Calibri Light"/>
        </w:rPr>
      </w:pPr>
    </w:p>
    <w:p w:rsidR="004979E9" w:rsidRPr="00A21FC1" w:rsidRDefault="004979E9" w:rsidP="007548E0">
      <w:pPr>
        <w:tabs>
          <w:tab w:val="left" w:pos="7621"/>
        </w:tabs>
        <w:ind w:left="-743"/>
        <w:rPr>
          <w:rFonts w:ascii="Calibri Light" w:hAnsi="Calibri Light"/>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4"/>
        <w:gridCol w:w="1843"/>
      </w:tblGrid>
      <w:tr w:rsidR="00FA2925" w:rsidRPr="00A21FC1" w:rsidTr="003E7DE9">
        <w:tc>
          <w:tcPr>
            <w:tcW w:w="8364" w:type="dxa"/>
            <w:shd w:val="clear" w:color="auto" w:fill="548DD4"/>
            <w:vAlign w:val="center"/>
          </w:tcPr>
          <w:p w:rsidR="00FA2925" w:rsidRPr="00A21FC1" w:rsidRDefault="00FA2925" w:rsidP="003E7DE9">
            <w:pPr>
              <w:spacing w:before="120" w:after="120"/>
              <w:rPr>
                <w:rFonts w:ascii="Calibri Light" w:hAnsi="Calibri Light"/>
                <w:b/>
              </w:rPr>
            </w:pPr>
            <w:r w:rsidRPr="00A21FC1">
              <w:rPr>
                <w:rFonts w:ascii="Calibri Light" w:hAnsi="Calibri Light"/>
                <w:b/>
              </w:rPr>
              <w:t>Title</w:t>
            </w:r>
          </w:p>
        </w:tc>
        <w:tc>
          <w:tcPr>
            <w:tcW w:w="1843" w:type="dxa"/>
            <w:shd w:val="clear" w:color="auto" w:fill="548DD4"/>
            <w:vAlign w:val="center"/>
          </w:tcPr>
          <w:p w:rsidR="00FA2925" w:rsidRPr="00A21FC1" w:rsidRDefault="00FA2925" w:rsidP="003E7DE9">
            <w:pPr>
              <w:spacing w:before="120" w:after="120"/>
              <w:rPr>
                <w:rFonts w:ascii="Calibri Light" w:hAnsi="Calibri Light"/>
                <w:b/>
              </w:rPr>
            </w:pPr>
            <w:r w:rsidRPr="00A21FC1">
              <w:rPr>
                <w:rFonts w:ascii="Calibri Light" w:hAnsi="Calibri Light"/>
                <w:b/>
              </w:rPr>
              <w:t>Publicly released</w:t>
            </w:r>
          </w:p>
        </w:tc>
      </w:tr>
      <w:tr w:rsidR="00FA2925" w:rsidRPr="00A21FC1" w:rsidTr="003E7DE9">
        <w:tc>
          <w:tcPr>
            <w:tcW w:w="8364" w:type="dxa"/>
            <w:vAlign w:val="center"/>
          </w:tcPr>
          <w:p w:rsidR="00FA2925" w:rsidRPr="00A21FC1" w:rsidRDefault="00FA2925" w:rsidP="003E7DE9">
            <w:pPr>
              <w:spacing w:before="120" w:after="120"/>
              <w:rPr>
                <w:rFonts w:ascii="Calibri Light" w:hAnsi="Calibri Light"/>
                <w:b/>
              </w:rPr>
            </w:pPr>
            <w:r w:rsidRPr="00A21FC1">
              <w:rPr>
                <w:rFonts w:ascii="Calibri Light" w:hAnsi="Calibri Light"/>
                <w:b/>
              </w:rPr>
              <w:t>Desktop review – the approval of offshore pre–export quarantine facilities for importing horses to Australia</w:t>
            </w:r>
            <w:r w:rsidR="00F5190A" w:rsidRPr="00A21FC1">
              <w:rPr>
                <w:rFonts w:ascii="Calibri Light" w:hAnsi="Calibri Light"/>
                <w:b/>
              </w:rPr>
              <w:t xml:space="preserve"> – December 2012</w:t>
            </w:r>
          </w:p>
        </w:tc>
        <w:tc>
          <w:tcPr>
            <w:tcW w:w="1843" w:type="dxa"/>
            <w:vAlign w:val="center"/>
          </w:tcPr>
          <w:p w:rsidR="00FA2925" w:rsidRPr="00A21FC1" w:rsidRDefault="00FA2925" w:rsidP="003E7DE9">
            <w:pPr>
              <w:spacing w:before="120" w:after="120"/>
              <w:rPr>
                <w:rFonts w:ascii="Calibri Light" w:hAnsi="Calibri Light"/>
                <w:b/>
              </w:rPr>
            </w:pPr>
            <w:r w:rsidRPr="00A21FC1">
              <w:rPr>
                <w:rFonts w:ascii="Calibri Light" w:hAnsi="Calibri Light"/>
                <w:b/>
              </w:rPr>
              <w:t>8 April 2013</w:t>
            </w:r>
          </w:p>
        </w:tc>
      </w:tr>
      <w:tr w:rsidR="00FA2925" w:rsidRPr="00A21FC1" w:rsidTr="003E7DE9">
        <w:tc>
          <w:tcPr>
            <w:tcW w:w="10207" w:type="dxa"/>
            <w:gridSpan w:val="2"/>
            <w:shd w:val="clear" w:color="auto" w:fill="C6D9F1"/>
            <w:vAlign w:val="center"/>
          </w:tcPr>
          <w:p w:rsidR="00FA2925" w:rsidRPr="00A21FC1" w:rsidRDefault="00FA2925" w:rsidP="003E7DE9">
            <w:pPr>
              <w:spacing w:before="120" w:after="120"/>
              <w:rPr>
                <w:rFonts w:ascii="Calibri Light" w:hAnsi="Calibri Light"/>
                <w:b/>
              </w:rPr>
            </w:pPr>
            <w:r w:rsidRPr="00A21FC1">
              <w:rPr>
                <w:rFonts w:ascii="Calibri Light" w:hAnsi="Calibri Light"/>
                <w:b/>
              </w:rPr>
              <w:t>No recommendations</w:t>
            </w:r>
          </w:p>
        </w:tc>
      </w:tr>
    </w:tbl>
    <w:p w:rsidR="00753233" w:rsidRDefault="00753233"/>
    <w:p w:rsidR="00753233" w:rsidRDefault="00753233"/>
    <w:p w:rsidR="00753233" w:rsidRDefault="00753233"/>
    <w:p w:rsidR="00753233" w:rsidRDefault="00753233"/>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7797"/>
        <w:gridCol w:w="1843"/>
      </w:tblGrid>
      <w:tr w:rsidR="000D6007" w:rsidRPr="00A21FC1" w:rsidTr="003E7DE9">
        <w:tc>
          <w:tcPr>
            <w:tcW w:w="8364" w:type="dxa"/>
            <w:gridSpan w:val="2"/>
            <w:shd w:val="clear" w:color="auto" w:fill="548DD4"/>
            <w:vAlign w:val="center"/>
          </w:tcPr>
          <w:p w:rsidR="000D6007" w:rsidRPr="00A21FC1" w:rsidRDefault="000D6007" w:rsidP="003E7DE9">
            <w:pPr>
              <w:spacing w:before="120" w:after="120"/>
              <w:rPr>
                <w:rFonts w:ascii="Calibri Light" w:hAnsi="Calibri Light"/>
                <w:b/>
              </w:rPr>
            </w:pPr>
            <w:r w:rsidRPr="00A21FC1">
              <w:rPr>
                <w:rFonts w:ascii="Calibri Light" w:hAnsi="Calibri Light"/>
                <w:b/>
              </w:rPr>
              <w:lastRenderedPageBreak/>
              <w:t>Title</w:t>
            </w:r>
          </w:p>
        </w:tc>
        <w:tc>
          <w:tcPr>
            <w:tcW w:w="1843" w:type="dxa"/>
            <w:shd w:val="clear" w:color="auto" w:fill="548DD4"/>
            <w:vAlign w:val="center"/>
          </w:tcPr>
          <w:p w:rsidR="000D6007" w:rsidRPr="00A21FC1" w:rsidRDefault="000D6007" w:rsidP="003E7DE9">
            <w:pPr>
              <w:spacing w:before="120" w:after="120"/>
              <w:rPr>
                <w:rFonts w:ascii="Calibri Light" w:hAnsi="Calibri Light"/>
                <w:b/>
              </w:rPr>
            </w:pPr>
            <w:r w:rsidRPr="00A21FC1">
              <w:rPr>
                <w:rFonts w:ascii="Calibri Light" w:hAnsi="Calibri Light"/>
                <w:b/>
              </w:rPr>
              <w:t>Publicly released</w:t>
            </w:r>
          </w:p>
        </w:tc>
      </w:tr>
      <w:tr w:rsidR="000D6007" w:rsidRPr="00A21FC1" w:rsidTr="003E7DE9">
        <w:tc>
          <w:tcPr>
            <w:tcW w:w="8364" w:type="dxa"/>
            <w:gridSpan w:val="2"/>
            <w:vAlign w:val="center"/>
          </w:tcPr>
          <w:p w:rsidR="000D6007" w:rsidRPr="00A21FC1" w:rsidRDefault="000D6007" w:rsidP="003E7DE9">
            <w:pPr>
              <w:spacing w:before="120" w:after="120"/>
              <w:rPr>
                <w:rFonts w:ascii="Calibri Light" w:hAnsi="Calibri Light"/>
                <w:b/>
              </w:rPr>
            </w:pPr>
            <w:r w:rsidRPr="00A21FC1">
              <w:rPr>
                <w:rFonts w:ascii="Calibri Light" w:hAnsi="Calibri Light"/>
                <w:b/>
              </w:rPr>
              <w:t>Desktop review – the approval of offshore pre–export quarantine facilities for importing horses to Australia – June 2013</w:t>
            </w:r>
          </w:p>
        </w:tc>
        <w:tc>
          <w:tcPr>
            <w:tcW w:w="1843" w:type="dxa"/>
            <w:vAlign w:val="center"/>
          </w:tcPr>
          <w:p w:rsidR="000D6007" w:rsidRPr="00A21FC1" w:rsidRDefault="000D6007" w:rsidP="003E7DE9">
            <w:pPr>
              <w:spacing w:before="120" w:after="120"/>
              <w:rPr>
                <w:rFonts w:ascii="Calibri Light" w:hAnsi="Calibri Light"/>
                <w:b/>
              </w:rPr>
            </w:pPr>
            <w:r w:rsidRPr="00A21FC1">
              <w:rPr>
                <w:rFonts w:ascii="Calibri Light" w:hAnsi="Calibri Light"/>
                <w:b/>
              </w:rPr>
              <w:t>16 December 2013</w:t>
            </w:r>
          </w:p>
        </w:tc>
      </w:tr>
      <w:tr w:rsidR="004979E9" w:rsidRPr="00A21FC1" w:rsidTr="003E7DE9">
        <w:tc>
          <w:tcPr>
            <w:tcW w:w="10207" w:type="dxa"/>
            <w:gridSpan w:val="3"/>
            <w:shd w:val="clear" w:color="auto" w:fill="C6D9F1"/>
            <w:vAlign w:val="center"/>
          </w:tcPr>
          <w:p w:rsidR="004979E9" w:rsidRPr="00A21FC1" w:rsidRDefault="004979E9" w:rsidP="003E7DE9">
            <w:pPr>
              <w:spacing w:before="120" w:after="120"/>
              <w:rPr>
                <w:rFonts w:ascii="Calibri Light" w:hAnsi="Calibri Light"/>
                <w:b/>
              </w:rPr>
            </w:pPr>
            <w:r w:rsidRPr="00A21FC1">
              <w:rPr>
                <w:rFonts w:ascii="Calibri Light" w:hAnsi="Calibri Light"/>
                <w:b/>
              </w:rPr>
              <w:t>Recommendation</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1</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 xml:space="preserve">DAFF should clarify the wording of the Certification at Port of Export, requiring the competent authority’s authorised official at the airport/port to attest that the horse(s) have had no contact with </w:t>
            </w:r>
            <w:proofErr w:type="spellStart"/>
            <w:r w:rsidRPr="00A21FC1">
              <w:rPr>
                <w:rFonts w:ascii="Calibri Light" w:eastAsia="Times New Roman" w:hAnsi="Calibri Light" w:cs="TimesNewRoman"/>
                <w:color w:val="010101"/>
                <w:sz w:val="20"/>
                <w:szCs w:val="20"/>
              </w:rPr>
              <w:t>equids</w:t>
            </w:r>
            <w:proofErr w:type="spellEnd"/>
            <w:r w:rsidRPr="00A21FC1">
              <w:rPr>
                <w:rFonts w:ascii="Calibri Light" w:eastAsia="Times New Roman" w:hAnsi="Calibri Light" w:cs="TimesNewRoman"/>
                <w:color w:val="010101"/>
                <w:sz w:val="20"/>
                <w:szCs w:val="20"/>
              </w:rPr>
              <w:t xml:space="preserve"> not of equivalent health status by specifying a linear distance of separation that is in keeping with the standards of the Australian Import Risk Analysis for equines.</w:t>
            </w:r>
          </w:p>
        </w:tc>
      </w:tr>
    </w:tbl>
    <w:p w:rsidR="00091F76" w:rsidRPr="00A21FC1" w:rsidRDefault="00091F76" w:rsidP="00E21B62">
      <w:pPr>
        <w:rPr>
          <w:rFonts w:ascii="Calibri Light" w:hAnsi="Calibri Light"/>
        </w:rPr>
      </w:pPr>
    </w:p>
    <w:p w:rsidR="004979E9" w:rsidRPr="00A21FC1" w:rsidRDefault="004979E9">
      <w:pPr>
        <w:rPr>
          <w:rFonts w:ascii="Calibri Light" w:hAnsi="Calibri Light"/>
        </w:rPr>
      </w:pPr>
    </w:p>
    <w:p w:rsidR="004979E9" w:rsidRPr="00A21FC1" w:rsidRDefault="004979E9">
      <w:pPr>
        <w:rPr>
          <w:rFonts w:ascii="Calibri Light" w:hAnsi="Calibri Light"/>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7797"/>
        <w:gridCol w:w="1843"/>
      </w:tblGrid>
      <w:tr w:rsidR="003C0D63" w:rsidRPr="00A21FC1" w:rsidTr="003E7DE9">
        <w:tc>
          <w:tcPr>
            <w:tcW w:w="8364" w:type="dxa"/>
            <w:gridSpan w:val="2"/>
            <w:shd w:val="clear" w:color="auto" w:fill="548DD4"/>
            <w:vAlign w:val="center"/>
          </w:tcPr>
          <w:p w:rsidR="003C0D63" w:rsidRPr="00A21FC1" w:rsidRDefault="003C0D63" w:rsidP="003E7DE9">
            <w:pPr>
              <w:spacing w:before="120" w:after="120"/>
              <w:rPr>
                <w:rFonts w:ascii="Calibri Light" w:hAnsi="Calibri Light"/>
                <w:b/>
              </w:rPr>
            </w:pPr>
            <w:r w:rsidRPr="00A21FC1">
              <w:rPr>
                <w:rFonts w:ascii="Calibri Light" w:hAnsi="Calibri Light"/>
                <w:b/>
              </w:rPr>
              <w:t>Title</w:t>
            </w:r>
          </w:p>
        </w:tc>
        <w:tc>
          <w:tcPr>
            <w:tcW w:w="1843" w:type="dxa"/>
            <w:shd w:val="clear" w:color="auto" w:fill="548DD4"/>
            <w:vAlign w:val="center"/>
          </w:tcPr>
          <w:p w:rsidR="003C0D63" w:rsidRPr="00A21FC1" w:rsidRDefault="003C0D63" w:rsidP="003E7DE9">
            <w:pPr>
              <w:spacing w:before="120" w:after="120"/>
              <w:rPr>
                <w:rFonts w:ascii="Calibri Light" w:hAnsi="Calibri Light"/>
                <w:b/>
              </w:rPr>
            </w:pPr>
            <w:r w:rsidRPr="00A21FC1">
              <w:rPr>
                <w:rFonts w:ascii="Calibri Light" w:hAnsi="Calibri Light"/>
                <w:b/>
              </w:rPr>
              <w:t>Publicly released</w:t>
            </w:r>
          </w:p>
        </w:tc>
      </w:tr>
      <w:tr w:rsidR="003C0D63" w:rsidRPr="00A21FC1" w:rsidTr="003E7DE9">
        <w:tc>
          <w:tcPr>
            <w:tcW w:w="8364" w:type="dxa"/>
            <w:gridSpan w:val="2"/>
            <w:vAlign w:val="center"/>
          </w:tcPr>
          <w:p w:rsidR="003C0D63" w:rsidRPr="00A21FC1" w:rsidRDefault="003C0D63" w:rsidP="003E7DE9">
            <w:pPr>
              <w:spacing w:before="120" w:after="120"/>
              <w:rPr>
                <w:rFonts w:ascii="Calibri Light" w:hAnsi="Calibri Light"/>
                <w:b/>
              </w:rPr>
            </w:pPr>
            <w:r w:rsidRPr="00A21FC1">
              <w:rPr>
                <w:rFonts w:ascii="Calibri Light" w:hAnsi="Calibri Light"/>
                <w:b/>
              </w:rPr>
              <w:t>An examination of the effectiveness of Department of Agriculture, Fisheries and Forestry controls to manage biosecurity risks in the importation of freshwater and marine ornamental fish</w:t>
            </w:r>
          </w:p>
        </w:tc>
        <w:tc>
          <w:tcPr>
            <w:tcW w:w="1843" w:type="dxa"/>
            <w:vAlign w:val="center"/>
          </w:tcPr>
          <w:p w:rsidR="003C0D63" w:rsidRPr="00A21FC1" w:rsidRDefault="003C0D63" w:rsidP="003E7DE9">
            <w:pPr>
              <w:spacing w:before="120" w:after="120"/>
              <w:rPr>
                <w:rFonts w:ascii="Calibri Light" w:hAnsi="Calibri Light"/>
                <w:b/>
              </w:rPr>
            </w:pPr>
            <w:r w:rsidRPr="00A21FC1">
              <w:rPr>
                <w:rFonts w:ascii="Calibri Light" w:hAnsi="Calibri Light"/>
                <w:b/>
              </w:rPr>
              <w:t>17 December 2013</w:t>
            </w:r>
          </w:p>
        </w:tc>
      </w:tr>
      <w:tr w:rsidR="004979E9" w:rsidRPr="00A21FC1" w:rsidTr="003E7DE9">
        <w:tc>
          <w:tcPr>
            <w:tcW w:w="10207" w:type="dxa"/>
            <w:gridSpan w:val="3"/>
            <w:shd w:val="clear" w:color="auto" w:fill="C6D9F1"/>
            <w:vAlign w:val="center"/>
          </w:tcPr>
          <w:p w:rsidR="004979E9" w:rsidRPr="00A21FC1" w:rsidRDefault="004979E9" w:rsidP="003E7DE9">
            <w:pPr>
              <w:spacing w:before="120" w:after="120"/>
              <w:rPr>
                <w:rFonts w:ascii="Calibri Light" w:hAnsi="Calibri Light"/>
                <w:b/>
              </w:rPr>
            </w:pPr>
            <w:r w:rsidRPr="00A21FC1">
              <w:rPr>
                <w:rFonts w:ascii="Calibri Light" w:hAnsi="Calibri Light"/>
                <w:b/>
              </w:rPr>
              <w:t>Recommendation</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3</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put in place a system for gathering and analysing data on seizure and noncompliance of live imported fish consignments to enable timely monitoring of performance of each approved country’s competent authority and exporters against Australian import requirements.</w:t>
            </w:r>
          </w:p>
        </w:tc>
      </w:tr>
      <w:tr w:rsidR="00FA55D6" w:rsidRPr="00A21FC1" w:rsidTr="003E7DE9">
        <w:tc>
          <w:tcPr>
            <w:tcW w:w="567" w:type="dxa"/>
            <w:vAlign w:val="center"/>
          </w:tcPr>
          <w:p w:rsidR="00FA55D6" w:rsidRPr="00A21FC1" w:rsidRDefault="00FA55D6" w:rsidP="003E7DE9">
            <w:pPr>
              <w:spacing w:before="120" w:after="120"/>
              <w:rPr>
                <w:rFonts w:ascii="Calibri Light" w:hAnsi="Calibri Light"/>
              </w:rPr>
            </w:pPr>
            <w:r>
              <w:rPr>
                <w:rFonts w:ascii="Calibri Light" w:hAnsi="Calibri Light"/>
              </w:rPr>
              <w:t>4</w:t>
            </w:r>
          </w:p>
        </w:tc>
        <w:tc>
          <w:tcPr>
            <w:tcW w:w="9640" w:type="dxa"/>
            <w:gridSpan w:val="2"/>
            <w:vAlign w:val="center"/>
          </w:tcPr>
          <w:p w:rsidR="00FA55D6" w:rsidRPr="00A21FC1" w:rsidRDefault="00FA55D6" w:rsidP="003E7DE9">
            <w:pPr>
              <w:spacing w:before="120" w:after="120"/>
              <w:rPr>
                <w:rFonts w:ascii="Calibri Light" w:eastAsia="Times New Roman" w:hAnsi="Calibri Light" w:cs="TimesNewRoman"/>
                <w:color w:val="010101"/>
                <w:sz w:val="20"/>
                <w:szCs w:val="20"/>
              </w:rPr>
            </w:pPr>
            <w:r>
              <w:rPr>
                <w:rFonts w:ascii="Calibri Light" w:eastAsia="Times New Roman" w:hAnsi="Calibri Light" w:cs="TimesNewRoman"/>
                <w:color w:val="010101"/>
                <w:sz w:val="20"/>
                <w:szCs w:val="20"/>
              </w:rPr>
              <w:t>T</w:t>
            </w:r>
            <w:r w:rsidRPr="00A21FC1">
              <w:rPr>
                <w:rFonts w:ascii="Calibri Light" w:eastAsia="Times New Roman" w:hAnsi="Calibri Light" w:cs="TimesNewRoman"/>
                <w:color w:val="010101"/>
                <w:sz w:val="20"/>
                <w:szCs w:val="20"/>
              </w:rPr>
              <w:t xml:space="preserve">he Director of Animal and Plant Quarantine respond as soon as possible to </w:t>
            </w:r>
            <w:r>
              <w:rPr>
                <w:rFonts w:ascii="Calibri Light" w:eastAsia="Times New Roman" w:hAnsi="Calibri Light" w:cs="TimesNewRoman"/>
                <w:color w:val="010101"/>
                <w:sz w:val="20"/>
                <w:szCs w:val="20"/>
              </w:rPr>
              <w:t>the recommendations of the July </w:t>
            </w:r>
            <w:r w:rsidRPr="00A21FC1">
              <w:rPr>
                <w:rFonts w:ascii="Calibri Light" w:eastAsia="Times New Roman" w:hAnsi="Calibri Light" w:cs="TimesNewRoman"/>
                <w:color w:val="010101"/>
                <w:sz w:val="20"/>
                <w:szCs w:val="20"/>
              </w:rPr>
              <w:t xml:space="preserve">2010 provisional final IRA with respect to biosecurity risk management for </w:t>
            </w:r>
            <w:proofErr w:type="spellStart"/>
            <w:r w:rsidRPr="00A21FC1">
              <w:rPr>
                <w:rFonts w:ascii="Calibri Light" w:eastAsia="Times New Roman" w:hAnsi="Calibri Light" w:cs="TimesNewRoman"/>
                <w:color w:val="010101"/>
                <w:sz w:val="20"/>
                <w:szCs w:val="20"/>
              </w:rPr>
              <w:t>iridoviruses</w:t>
            </w:r>
            <w:proofErr w:type="spellEnd"/>
            <w:r w:rsidRPr="00A21FC1">
              <w:rPr>
                <w:rFonts w:ascii="Calibri Light" w:eastAsia="Times New Roman" w:hAnsi="Calibri Light" w:cs="TimesNewRoman"/>
                <w:color w:val="010101"/>
                <w:sz w:val="20"/>
                <w:szCs w:val="20"/>
              </w:rPr>
              <w:t>.</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5</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develop a formal training package for fish inspectors. This should include monitoring of the ongoing competency of inspectors.</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6</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pursue development of legislative requirements that enable fit and proper person considerations in the QAP application and approval process.</w:t>
            </w:r>
          </w:p>
        </w:tc>
      </w:tr>
    </w:tbl>
    <w:p w:rsidR="00700A4B" w:rsidRPr="00A21FC1" w:rsidRDefault="00700A4B" w:rsidP="00E21B62">
      <w:pPr>
        <w:rPr>
          <w:rFonts w:ascii="Calibri Light" w:hAnsi="Calibri Light"/>
        </w:rPr>
      </w:pPr>
    </w:p>
    <w:p w:rsidR="00FB565E" w:rsidRPr="00A21FC1" w:rsidRDefault="00FB565E" w:rsidP="00E21B62">
      <w:pPr>
        <w:rPr>
          <w:rFonts w:ascii="Calibri Light" w:hAnsi="Calibri Light"/>
        </w:rPr>
      </w:pPr>
    </w:p>
    <w:p w:rsidR="00FB565E" w:rsidRPr="00A21FC1" w:rsidRDefault="00FB565E" w:rsidP="00E21B62">
      <w:pPr>
        <w:rPr>
          <w:rFonts w:ascii="Calibri Light" w:hAnsi="Calibri Light"/>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7797"/>
        <w:gridCol w:w="1843"/>
      </w:tblGrid>
      <w:tr w:rsidR="00686490" w:rsidRPr="00A21FC1" w:rsidTr="003E7DE9">
        <w:tc>
          <w:tcPr>
            <w:tcW w:w="8364" w:type="dxa"/>
            <w:gridSpan w:val="2"/>
            <w:shd w:val="clear" w:color="auto" w:fill="548DD4"/>
            <w:vAlign w:val="center"/>
          </w:tcPr>
          <w:p w:rsidR="00686490" w:rsidRPr="00A21FC1" w:rsidRDefault="00686490" w:rsidP="003E7DE9">
            <w:pPr>
              <w:spacing w:before="120" w:after="120"/>
              <w:rPr>
                <w:rFonts w:ascii="Calibri Light" w:hAnsi="Calibri Light"/>
                <w:b/>
              </w:rPr>
            </w:pPr>
            <w:r w:rsidRPr="00A21FC1">
              <w:rPr>
                <w:rFonts w:ascii="Calibri Light" w:hAnsi="Calibri Light"/>
                <w:b/>
              </w:rPr>
              <w:t>Title</w:t>
            </w:r>
          </w:p>
        </w:tc>
        <w:tc>
          <w:tcPr>
            <w:tcW w:w="1843" w:type="dxa"/>
            <w:shd w:val="clear" w:color="auto" w:fill="548DD4"/>
            <w:vAlign w:val="center"/>
          </w:tcPr>
          <w:p w:rsidR="00686490" w:rsidRPr="00A21FC1" w:rsidRDefault="00686490" w:rsidP="003E7DE9">
            <w:pPr>
              <w:spacing w:before="120" w:after="120"/>
              <w:rPr>
                <w:rFonts w:ascii="Calibri Light" w:hAnsi="Calibri Light"/>
                <w:b/>
              </w:rPr>
            </w:pPr>
            <w:r w:rsidRPr="00A21FC1">
              <w:rPr>
                <w:rFonts w:ascii="Calibri Light" w:hAnsi="Calibri Light"/>
                <w:b/>
              </w:rPr>
              <w:t>Publicly released</w:t>
            </w:r>
          </w:p>
        </w:tc>
      </w:tr>
      <w:tr w:rsidR="00686490" w:rsidRPr="00A21FC1" w:rsidTr="003E7DE9">
        <w:tc>
          <w:tcPr>
            <w:tcW w:w="8364" w:type="dxa"/>
            <w:gridSpan w:val="2"/>
            <w:vAlign w:val="center"/>
          </w:tcPr>
          <w:p w:rsidR="00686490" w:rsidRPr="00A21FC1" w:rsidRDefault="00686490" w:rsidP="003E7DE9">
            <w:pPr>
              <w:spacing w:before="120" w:after="120"/>
              <w:rPr>
                <w:rFonts w:ascii="Calibri Light" w:hAnsi="Calibri Light"/>
                <w:b/>
              </w:rPr>
            </w:pPr>
            <w:r w:rsidRPr="00A21FC1">
              <w:rPr>
                <w:rFonts w:ascii="Calibri Light" w:hAnsi="Calibri Light"/>
                <w:b/>
              </w:rPr>
              <w:t>The effectiveness of controls for imported uncooked, cooked and cured pig meat</w:t>
            </w:r>
          </w:p>
        </w:tc>
        <w:tc>
          <w:tcPr>
            <w:tcW w:w="1843" w:type="dxa"/>
            <w:vAlign w:val="center"/>
          </w:tcPr>
          <w:p w:rsidR="00686490" w:rsidRPr="00A21FC1" w:rsidRDefault="00686490" w:rsidP="003E7DE9">
            <w:pPr>
              <w:spacing w:before="120" w:after="120"/>
              <w:rPr>
                <w:rFonts w:ascii="Calibri Light" w:hAnsi="Calibri Light"/>
                <w:b/>
              </w:rPr>
            </w:pPr>
            <w:r w:rsidRPr="00A21FC1">
              <w:rPr>
                <w:rFonts w:ascii="Calibri Light" w:hAnsi="Calibri Light"/>
                <w:b/>
              </w:rPr>
              <w:t>17 December 2013</w:t>
            </w:r>
          </w:p>
        </w:tc>
      </w:tr>
      <w:tr w:rsidR="004979E9" w:rsidRPr="00A21FC1" w:rsidTr="003E7DE9">
        <w:tc>
          <w:tcPr>
            <w:tcW w:w="10207" w:type="dxa"/>
            <w:gridSpan w:val="3"/>
            <w:shd w:val="clear" w:color="auto" w:fill="C6D9F1"/>
            <w:vAlign w:val="center"/>
          </w:tcPr>
          <w:p w:rsidR="004979E9" w:rsidRPr="00A21FC1" w:rsidRDefault="004979E9" w:rsidP="003E7DE9">
            <w:pPr>
              <w:spacing w:before="120" w:after="120"/>
              <w:rPr>
                <w:rFonts w:ascii="Calibri Light" w:hAnsi="Calibri Light"/>
                <w:b/>
              </w:rPr>
            </w:pPr>
            <w:r w:rsidRPr="00A21FC1">
              <w:rPr>
                <w:rFonts w:ascii="Calibri Light" w:hAnsi="Calibri Light"/>
                <w:b/>
              </w:rPr>
              <w:t>Recommendation</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1</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DAFF should institute a formal cyclical review process for approved countries to ensure that approved exporting countries have the appropriate systems and procedures in place to meet Australia’s import requirements for pig meat.</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3</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 xml:space="preserve">DAFF should develop a random inspection regime for uncooked pig meat consignments, which has a focus on opening a sample of cartons to confirm uncooked pig meat products </w:t>
            </w:r>
            <w:proofErr w:type="gramStart"/>
            <w:r w:rsidRPr="00A21FC1">
              <w:rPr>
                <w:rFonts w:ascii="Calibri Light" w:eastAsia="Times New Roman" w:hAnsi="Calibri Light" w:cs="TimesNewRoman"/>
                <w:color w:val="010101"/>
                <w:sz w:val="20"/>
                <w:szCs w:val="20"/>
              </w:rPr>
              <w:t>received</w:t>
            </w:r>
            <w:proofErr w:type="gramEnd"/>
            <w:r w:rsidRPr="00A21FC1">
              <w:rPr>
                <w:rFonts w:ascii="Calibri Light" w:eastAsia="Times New Roman" w:hAnsi="Calibri Light" w:cs="TimesNewRoman"/>
                <w:color w:val="010101"/>
                <w:sz w:val="20"/>
                <w:szCs w:val="20"/>
              </w:rPr>
              <w:t xml:space="preserve"> are in line with DAFF biosecurity requirements.</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lastRenderedPageBreak/>
              <w:t>4</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For imported pig meat, DAFF should ensure that the minimum audit regimes for quarantine approved facilities and facilities operating under compliance agreements are adhered to.</w:t>
            </w:r>
          </w:p>
        </w:tc>
      </w:tr>
      <w:tr w:rsidR="002764EF" w:rsidRPr="00A21FC1" w:rsidTr="003E7DE9">
        <w:tc>
          <w:tcPr>
            <w:tcW w:w="8364" w:type="dxa"/>
            <w:gridSpan w:val="2"/>
            <w:shd w:val="clear" w:color="auto" w:fill="548DD4"/>
            <w:vAlign w:val="center"/>
          </w:tcPr>
          <w:p w:rsidR="002764EF" w:rsidRPr="00A21FC1" w:rsidRDefault="002764EF" w:rsidP="003E7DE9">
            <w:pPr>
              <w:spacing w:before="120" w:after="120"/>
              <w:rPr>
                <w:rFonts w:ascii="Calibri Light" w:hAnsi="Calibri Light"/>
                <w:b/>
              </w:rPr>
            </w:pPr>
            <w:r w:rsidRPr="00A21FC1">
              <w:rPr>
                <w:rFonts w:ascii="Calibri Light" w:hAnsi="Calibri Light"/>
                <w:b/>
              </w:rPr>
              <w:t>Title</w:t>
            </w:r>
          </w:p>
        </w:tc>
        <w:tc>
          <w:tcPr>
            <w:tcW w:w="1843" w:type="dxa"/>
            <w:shd w:val="clear" w:color="auto" w:fill="548DD4"/>
            <w:vAlign w:val="center"/>
          </w:tcPr>
          <w:p w:rsidR="002764EF" w:rsidRPr="00A21FC1" w:rsidRDefault="002764EF" w:rsidP="003E7DE9">
            <w:pPr>
              <w:spacing w:before="120" w:after="120"/>
              <w:rPr>
                <w:rFonts w:ascii="Calibri Light" w:hAnsi="Calibri Light"/>
                <w:b/>
              </w:rPr>
            </w:pPr>
            <w:r w:rsidRPr="00A21FC1">
              <w:rPr>
                <w:rFonts w:ascii="Calibri Light" w:hAnsi="Calibri Light"/>
                <w:b/>
              </w:rPr>
              <w:t>Publicly released</w:t>
            </w:r>
          </w:p>
        </w:tc>
      </w:tr>
      <w:tr w:rsidR="002764EF" w:rsidRPr="00A21FC1" w:rsidTr="003E7DE9">
        <w:tc>
          <w:tcPr>
            <w:tcW w:w="8364" w:type="dxa"/>
            <w:gridSpan w:val="2"/>
            <w:vAlign w:val="center"/>
          </w:tcPr>
          <w:p w:rsidR="002764EF" w:rsidRPr="00A21FC1" w:rsidRDefault="002764EF" w:rsidP="003E7DE9">
            <w:pPr>
              <w:spacing w:before="120" w:after="120"/>
              <w:rPr>
                <w:rFonts w:ascii="Calibri Light" w:hAnsi="Calibri Light"/>
                <w:b/>
              </w:rPr>
            </w:pPr>
            <w:r w:rsidRPr="00A21FC1">
              <w:rPr>
                <w:rFonts w:ascii="Calibri Light" w:hAnsi="Calibri Light"/>
                <w:b/>
              </w:rPr>
              <w:t>An examination of biosecurity controls associated with the export from Australia of live abalone to China and Hong Kong</w:t>
            </w:r>
          </w:p>
        </w:tc>
        <w:tc>
          <w:tcPr>
            <w:tcW w:w="1843" w:type="dxa"/>
            <w:vAlign w:val="center"/>
          </w:tcPr>
          <w:p w:rsidR="002764EF" w:rsidRPr="00A21FC1" w:rsidRDefault="002764EF" w:rsidP="003E7DE9">
            <w:pPr>
              <w:spacing w:before="120" w:after="120"/>
              <w:rPr>
                <w:rFonts w:ascii="Calibri Light" w:hAnsi="Calibri Light"/>
                <w:b/>
              </w:rPr>
            </w:pPr>
            <w:r w:rsidRPr="00A21FC1">
              <w:rPr>
                <w:rFonts w:ascii="Calibri Light" w:hAnsi="Calibri Light"/>
                <w:b/>
              </w:rPr>
              <w:t>30 January 2014</w:t>
            </w:r>
          </w:p>
        </w:tc>
      </w:tr>
      <w:tr w:rsidR="004979E9" w:rsidRPr="00A21FC1" w:rsidTr="003E7DE9">
        <w:tc>
          <w:tcPr>
            <w:tcW w:w="10207" w:type="dxa"/>
            <w:gridSpan w:val="3"/>
            <w:shd w:val="clear" w:color="auto" w:fill="C6D9F1"/>
            <w:vAlign w:val="center"/>
          </w:tcPr>
          <w:p w:rsidR="004979E9" w:rsidRPr="00A21FC1" w:rsidRDefault="004979E9" w:rsidP="003E7DE9">
            <w:pPr>
              <w:spacing w:before="120" w:after="120"/>
              <w:rPr>
                <w:rFonts w:ascii="Calibri Light" w:hAnsi="Calibri Light"/>
                <w:b/>
              </w:rPr>
            </w:pPr>
            <w:r w:rsidRPr="00A21FC1">
              <w:rPr>
                <w:rFonts w:ascii="Calibri Light" w:hAnsi="Calibri Light"/>
                <w:b/>
              </w:rPr>
              <w:t>Recommendation</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1</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in consultation with relevant Tasmanian stakeholders, develops a paralytic shellfish toxin (PST) risk management process map indicating control and decision points in the abalone harvesting and export processes.</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2</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 xml:space="preserve">That the minister considers communicating with the Tasmanian Abalone Council Ltd to acknowledge and further encourage the abalone </w:t>
            </w:r>
            <w:proofErr w:type="gramStart"/>
            <w:r w:rsidRPr="00A21FC1">
              <w:rPr>
                <w:rFonts w:ascii="Calibri Light" w:eastAsia="Times New Roman" w:hAnsi="Calibri Light" w:cs="TimesNewRoman"/>
                <w:color w:val="010101"/>
                <w:sz w:val="20"/>
                <w:szCs w:val="20"/>
              </w:rPr>
              <w:t>industry’s</w:t>
            </w:r>
            <w:proofErr w:type="gramEnd"/>
            <w:r w:rsidRPr="00A21FC1">
              <w:rPr>
                <w:rFonts w:ascii="Calibri Light" w:eastAsia="Times New Roman" w:hAnsi="Calibri Light" w:cs="TimesNewRoman"/>
                <w:color w:val="010101"/>
                <w:sz w:val="20"/>
                <w:szCs w:val="20"/>
              </w:rPr>
              <w:t xml:space="preserve"> continued collaboration with the Tasmanian Shellfish Quality Assurance Program (TSQAP) to develop a PST predictive capability for the implementation of risk management measures for abalone.</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4</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That DAFF considers undertaking a risk assessment for revision of the Australian Shellfish Quality Assurance Program (ASQAP) Export Standards 2004 to include abalone in the definition of shellfish.</w:t>
            </w:r>
          </w:p>
        </w:tc>
      </w:tr>
    </w:tbl>
    <w:p w:rsidR="00686490" w:rsidRPr="00A21FC1" w:rsidRDefault="00686490" w:rsidP="00E21B62">
      <w:pPr>
        <w:rPr>
          <w:rFonts w:ascii="Calibri Light" w:hAnsi="Calibri Light"/>
        </w:rPr>
      </w:pPr>
    </w:p>
    <w:p w:rsidR="00FB565E" w:rsidRPr="00A21FC1" w:rsidRDefault="00FB565E" w:rsidP="00E21B62">
      <w:pPr>
        <w:rPr>
          <w:rFonts w:ascii="Calibri Light" w:hAnsi="Calibri Light"/>
        </w:rPr>
      </w:pPr>
    </w:p>
    <w:p w:rsidR="00787348" w:rsidRPr="00A21FC1" w:rsidRDefault="00787348" w:rsidP="00E21B62">
      <w:pPr>
        <w:rPr>
          <w:rFonts w:ascii="Calibri Light" w:hAnsi="Calibri Light"/>
        </w:rPr>
      </w:pPr>
    </w:p>
    <w:p w:rsidR="00FB565E" w:rsidRPr="00A21FC1" w:rsidRDefault="00FB565E" w:rsidP="00E21B62">
      <w:pPr>
        <w:rPr>
          <w:rFonts w:ascii="Calibri Light" w:hAnsi="Calibri Light"/>
        </w:rPr>
      </w:pPr>
    </w:p>
    <w:p w:rsidR="00FB565E" w:rsidRPr="00A21FC1" w:rsidRDefault="00FB565E" w:rsidP="00E21B62">
      <w:pPr>
        <w:rPr>
          <w:rFonts w:ascii="Calibri Light" w:hAnsi="Calibri Light"/>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7797"/>
        <w:gridCol w:w="1843"/>
      </w:tblGrid>
      <w:tr w:rsidR="00A54969" w:rsidRPr="00A21FC1" w:rsidTr="003E7DE9">
        <w:tc>
          <w:tcPr>
            <w:tcW w:w="8364" w:type="dxa"/>
            <w:gridSpan w:val="2"/>
            <w:shd w:val="clear" w:color="auto" w:fill="548DD4"/>
            <w:vAlign w:val="center"/>
          </w:tcPr>
          <w:p w:rsidR="00A54969" w:rsidRPr="00A21FC1" w:rsidRDefault="00A54969" w:rsidP="003E7DE9">
            <w:pPr>
              <w:spacing w:before="120" w:after="120"/>
              <w:rPr>
                <w:rFonts w:ascii="Calibri Light" w:hAnsi="Calibri Light"/>
                <w:b/>
              </w:rPr>
            </w:pPr>
            <w:r w:rsidRPr="00A21FC1">
              <w:rPr>
                <w:rFonts w:ascii="Calibri Light" w:hAnsi="Calibri Light"/>
                <w:b/>
              </w:rPr>
              <w:t>Title</w:t>
            </w:r>
          </w:p>
        </w:tc>
        <w:tc>
          <w:tcPr>
            <w:tcW w:w="1843" w:type="dxa"/>
            <w:shd w:val="clear" w:color="auto" w:fill="548DD4"/>
            <w:vAlign w:val="center"/>
          </w:tcPr>
          <w:p w:rsidR="00A54969" w:rsidRPr="00A21FC1" w:rsidRDefault="00A54969" w:rsidP="003E7DE9">
            <w:pPr>
              <w:spacing w:before="120" w:after="120"/>
              <w:rPr>
                <w:rFonts w:ascii="Calibri Light" w:hAnsi="Calibri Light"/>
                <w:b/>
              </w:rPr>
            </w:pPr>
            <w:r w:rsidRPr="00A21FC1">
              <w:rPr>
                <w:rFonts w:ascii="Calibri Light" w:hAnsi="Calibri Light"/>
                <w:b/>
              </w:rPr>
              <w:t>Publicly released</w:t>
            </w:r>
          </w:p>
        </w:tc>
      </w:tr>
      <w:tr w:rsidR="00A54969" w:rsidRPr="00A21FC1" w:rsidTr="003E7DE9">
        <w:tc>
          <w:tcPr>
            <w:tcW w:w="8364" w:type="dxa"/>
            <w:gridSpan w:val="2"/>
            <w:vAlign w:val="center"/>
          </w:tcPr>
          <w:p w:rsidR="00A54969" w:rsidRPr="00A21FC1" w:rsidRDefault="00A54969" w:rsidP="003E7DE9">
            <w:pPr>
              <w:spacing w:before="120" w:after="120"/>
              <w:rPr>
                <w:rFonts w:ascii="Calibri Light" w:hAnsi="Calibri Light"/>
                <w:b/>
              </w:rPr>
            </w:pPr>
            <w:r w:rsidRPr="00A21FC1">
              <w:rPr>
                <w:rFonts w:ascii="Calibri Light" w:hAnsi="Calibri Light"/>
                <w:b/>
              </w:rPr>
              <w:t>The importation of untanned animal hides from Colombia in 2012-13</w:t>
            </w:r>
          </w:p>
        </w:tc>
        <w:tc>
          <w:tcPr>
            <w:tcW w:w="1843" w:type="dxa"/>
            <w:vAlign w:val="center"/>
          </w:tcPr>
          <w:p w:rsidR="00A54969" w:rsidRPr="00A21FC1" w:rsidRDefault="00A54969" w:rsidP="003E7DE9">
            <w:pPr>
              <w:spacing w:before="120" w:after="120"/>
              <w:rPr>
                <w:rFonts w:ascii="Calibri Light" w:hAnsi="Calibri Light"/>
                <w:b/>
              </w:rPr>
            </w:pPr>
            <w:r w:rsidRPr="00A21FC1">
              <w:rPr>
                <w:rFonts w:ascii="Calibri Light" w:hAnsi="Calibri Light"/>
                <w:b/>
              </w:rPr>
              <w:t>24 February 2014</w:t>
            </w:r>
          </w:p>
        </w:tc>
      </w:tr>
      <w:tr w:rsidR="004979E9" w:rsidRPr="00A21FC1" w:rsidTr="003E7DE9">
        <w:tc>
          <w:tcPr>
            <w:tcW w:w="10207" w:type="dxa"/>
            <w:gridSpan w:val="3"/>
            <w:shd w:val="clear" w:color="auto" w:fill="C6D9F1"/>
            <w:vAlign w:val="center"/>
          </w:tcPr>
          <w:p w:rsidR="004979E9" w:rsidRPr="00A21FC1" w:rsidRDefault="004979E9" w:rsidP="003E7DE9">
            <w:pPr>
              <w:spacing w:before="120" w:after="120"/>
              <w:rPr>
                <w:rFonts w:ascii="Calibri Light" w:hAnsi="Calibri Light"/>
                <w:b/>
              </w:rPr>
            </w:pPr>
            <w:r w:rsidRPr="00A21FC1">
              <w:rPr>
                <w:rFonts w:ascii="Calibri Light" w:hAnsi="Calibri Light"/>
                <w:b/>
              </w:rPr>
              <w:t>Recommendation</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1</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The department should finalise its review and release to the public (as soon as practicable) the import requirements for hides and skins.</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2</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New or revised departmental guidelines, standard operating procedures and work instructions should be communicated, published and available to staff in a timely manner.</w:t>
            </w:r>
          </w:p>
        </w:tc>
      </w:tr>
      <w:tr w:rsidR="00592BA1" w:rsidRPr="00A21FC1" w:rsidTr="003E7DE9">
        <w:tc>
          <w:tcPr>
            <w:tcW w:w="567" w:type="dxa"/>
            <w:vAlign w:val="center"/>
          </w:tcPr>
          <w:p w:rsidR="00592BA1" w:rsidRPr="00A21FC1" w:rsidRDefault="00592BA1" w:rsidP="003E7DE9">
            <w:pPr>
              <w:spacing w:before="120" w:after="120"/>
              <w:rPr>
                <w:rFonts w:ascii="Calibri Light" w:hAnsi="Calibri Light"/>
              </w:rPr>
            </w:pPr>
            <w:r w:rsidRPr="00A21FC1">
              <w:rPr>
                <w:rFonts w:ascii="Calibri Light" w:hAnsi="Calibri Light"/>
              </w:rPr>
              <w:t>3</w:t>
            </w:r>
          </w:p>
        </w:tc>
        <w:tc>
          <w:tcPr>
            <w:tcW w:w="9640" w:type="dxa"/>
            <w:gridSpan w:val="2"/>
            <w:vAlign w:val="center"/>
          </w:tcPr>
          <w:p w:rsidR="00592BA1" w:rsidRPr="00A21FC1" w:rsidRDefault="00592BA1"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The department should investigate the possibility of retaining and archiving electronic copies of all import documents used in the clearance process, including those presented at the front counter.</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4</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The department should explore options to ensure that any manufacturers’ declarations used in the clearance process are authentic.</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7</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The Entry Management training program should be enhanced to improve decision-making capabilities; this incident can be used as a case study to demonstrate the lessons learned, especially in relation to inconsistencies in documentation.</w:t>
            </w:r>
          </w:p>
        </w:tc>
      </w:tr>
      <w:tr w:rsidR="004979E9" w:rsidRPr="00A21FC1" w:rsidTr="003E7DE9">
        <w:tc>
          <w:tcPr>
            <w:tcW w:w="567" w:type="dxa"/>
            <w:vAlign w:val="center"/>
          </w:tcPr>
          <w:p w:rsidR="004979E9" w:rsidRPr="00A21FC1" w:rsidRDefault="004979E9" w:rsidP="003E7DE9">
            <w:pPr>
              <w:spacing w:before="120" w:after="120"/>
              <w:rPr>
                <w:rFonts w:ascii="Calibri Light" w:hAnsi="Calibri Light"/>
              </w:rPr>
            </w:pPr>
            <w:r w:rsidRPr="00A21FC1">
              <w:rPr>
                <w:rFonts w:ascii="Calibri Light" w:hAnsi="Calibri Light"/>
              </w:rPr>
              <w:t>9</w:t>
            </w:r>
          </w:p>
        </w:tc>
        <w:tc>
          <w:tcPr>
            <w:tcW w:w="9640" w:type="dxa"/>
            <w:gridSpan w:val="2"/>
            <w:vAlign w:val="center"/>
          </w:tcPr>
          <w:p w:rsidR="004979E9" w:rsidRPr="00A21FC1" w:rsidRDefault="004979E9" w:rsidP="003E7DE9">
            <w:pPr>
              <w:spacing w:before="120" w:after="120"/>
              <w:rPr>
                <w:rFonts w:ascii="Calibri Light" w:hAnsi="Calibri Light"/>
              </w:rPr>
            </w:pPr>
            <w:r w:rsidRPr="00A21FC1">
              <w:rPr>
                <w:rFonts w:ascii="Calibri Light" w:eastAsia="Times New Roman" w:hAnsi="Calibri Light" w:cs="TimesNewRoman"/>
                <w:color w:val="010101"/>
                <w:sz w:val="20"/>
                <w:szCs w:val="20"/>
              </w:rPr>
              <w:t>In any future review of the department’s staff mobility policy, a rigorous risk assessment should be undertaken to determine the level of expertise required for the Entry Management Program.</w:t>
            </w:r>
          </w:p>
        </w:tc>
      </w:tr>
      <w:tr w:rsidR="00E411B1" w:rsidRPr="00A21FC1" w:rsidTr="003E7DE9">
        <w:tc>
          <w:tcPr>
            <w:tcW w:w="567" w:type="dxa"/>
            <w:vAlign w:val="center"/>
          </w:tcPr>
          <w:p w:rsidR="00E411B1" w:rsidRPr="00A21FC1" w:rsidRDefault="00E411B1" w:rsidP="003E7DE9">
            <w:pPr>
              <w:spacing w:before="120" w:after="120"/>
              <w:rPr>
                <w:rFonts w:ascii="Calibri Light" w:hAnsi="Calibri Light"/>
              </w:rPr>
            </w:pPr>
            <w:r w:rsidRPr="00A21FC1">
              <w:rPr>
                <w:rFonts w:ascii="Calibri Light" w:hAnsi="Calibri Light"/>
              </w:rPr>
              <w:t>10</w:t>
            </w:r>
          </w:p>
        </w:tc>
        <w:tc>
          <w:tcPr>
            <w:tcW w:w="9640" w:type="dxa"/>
            <w:gridSpan w:val="2"/>
            <w:vAlign w:val="center"/>
          </w:tcPr>
          <w:p w:rsidR="00E411B1" w:rsidRPr="00A21FC1" w:rsidRDefault="00E411B1" w:rsidP="003E7DE9">
            <w:pPr>
              <w:spacing w:before="120" w:after="120"/>
              <w:rPr>
                <w:rFonts w:ascii="Calibri Light" w:hAnsi="Calibri Light"/>
              </w:rPr>
            </w:pPr>
            <w:r w:rsidRPr="00A21FC1">
              <w:rPr>
                <w:rFonts w:ascii="Calibri Light" w:eastAsia="Times New Roman" w:hAnsi="Calibri Light" w:cs="TimesNewRoman"/>
                <w:color w:val="010101"/>
                <w:sz w:val="20"/>
                <w:szCs w:val="20"/>
              </w:rPr>
              <w:t>The department should develop a specific assessment regime for first-time importers of untanned hides and skins, to ensure that the goods have been processed according to import requirements.</w:t>
            </w:r>
          </w:p>
        </w:tc>
      </w:tr>
    </w:tbl>
    <w:p w:rsidR="00700A4B" w:rsidRPr="00A21FC1" w:rsidRDefault="00700A4B" w:rsidP="00E21B62">
      <w:pPr>
        <w:rPr>
          <w:rFonts w:ascii="Calibri Light" w:hAnsi="Calibri Light"/>
        </w:rPr>
      </w:pPr>
    </w:p>
    <w:p w:rsidR="00FB565E" w:rsidRPr="00A21FC1" w:rsidRDefault="00FB565E" w:rsidP="00E21B62">
      <w:pPr>
        <w:rPr>
          <w:rFonts w:ascii="Calibri Light" w:hAnsi="Calibri Light"/>
        </w:rPr>
      </w:pPr>
    </w:p>
    <w:p w:rsidR="00FB565E" w:rsidRPr="00A21FC1" w:rsidRDefault="00FB565E" w:rsidP="00E21B62">
      <w:pPr>
        <w:rPr>
          <w:rFonts w:ascii="Calibri Light" w:hAnsi="Calibri Light"/>
        </w:rPr>
      </w:pPr>
    </w:p>
    <w:p w:rsidR="00FB565E" w:rsidRPr="00A21FC1" w:rsidRDefault="00FB565E" w:rsidP="00E21B62">
      <w:pPr>
        <w:rPr>
          <w:rFonts w:ascii="Calibri Light" w:hAnsi="Calibri Light"/>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4"/>
        <w:gridCol w:w="1843"/>
      </w:tblGrid>
      <w:tr w:rsidR="00442620" w:rsidRPr="00A21FC1" w:rsidTr="003E7DE9">
        <w:tc>
          <w:tcPr>
            <w:tcW w:w="8364" w:type="dxa"/>
            <w:shd w:val="clear" w:color="auto" w:fill="548DD4"/>
            <w:vAlign w:val="center"/>
          </w:tcPr>
          <w:p w:rsidR="00442620" w:rsidRPr="00A21FC1" w:rsidRDefault="00442620" w:rsidP="003E7DE9">
            <w:pPr>
              <w:spacing w:before="120" w:after="120"/>
              <w:rPr>
                <w:rFonts w:ascii="Calibri Light" w:hAnsi="Calibri Light"/>
                <w:b/>
              </w:rPr>
            </w:pPr>
            <w:r w:rsidRPr="00A21FC1">
              <w:rPr>
                <w:rFonts w:ascii="Calibri Light" w:hAnsi="Calibri Light"/>
                <w:b/>
              </w:rPr>
              <w:t>Title</w:t>
            </w:r>
          </w:p>
        </w:tc>
        <w:tc>
          <w:tcPr>
            <w:tcW w:w="1843" w:type="dxa"/>
            <w:shd w:val="clear" w:color="auto" w:fill="548DD4"/>
            <w:vAlign w:val="center"/>
          </w:tcPr>
          <w:p w:rsidR="00442620" w:rsidRPr="00A21FC1" w:rsidRDefault="00442620" w:rsidP="003E7DE9">
            <w:pPr>
              <w:spacing w:before="120" w:after="120"/>
              <w:rPr>
                <w:rFonts w:ascii="Calibri Light" w:hAnsi="Calibri Light"/>
                <w:b/>
              </w:rPr>
            </w:pPr>
            <w:r w:rsidRPr="00A21FC1">
              <w:rPr>
                <w:rFonts w:ascii="Calibri Light" w:hAnsi="Calibri Light"/>
                <w:b/>
              </w:rPr>
              <w:t>Publicly released</w:t>
            </w:r>
          </w:p>
        </w:tc>
      </w:tr>
      <w:tr w:rsidR="00442620" w:rsidRPr="00A21FC1" w:rsidTr="003E7DE9">
        <w:tc>
          <w:tcPr>
            <w:tcW w:w="8364" w:type="dxa"/>
            <w:vAlign w:val="center"/>
          </w:tcPr>
          <w:p w:rsidR="00442620" w:rsidRPr="00A21FC1" w:rsidRDefault="00442620" w:rsidP="003E7DE9">
            <w:pPr>
              <w:spacing w:before="120" w:after="120"/>
              <w:rPr>
                <w:rFonts w:ascii="Calibri Light" w:hAnsi="Calibri Light"/>
                <w:b/>
              </w:rPr>
            </w:pPr>
            <w:r w:rsidRPr="00A21FC1">
              <w:rPr>
                <w:rFonts w:ascii="Calibri Light" w:hAnsi="Calibri Light"/>
                <w:b/>
              </w:rPr>
              <w:t>Arrangements for oversight of horse biosecurity risk management</w:t>
            </w:r>
          </w:p>
        </w:tc>
        <w:tc>
          <w:tcPr>
            <w:tcW w:w="1843" w:type="dxa"/>
            <w:vAlign w:val="center"/>
          </w:tcPr>
          <w:p w:rsidR="00442620" w:rsidRPr="00A21FC1" w:rsidRDefault="00442620" w:rsidP="003E7DE9">
            <w:pPr>
              <w:spacing w:before="120" w:after="120"/>
              <w:rPr>
                <w:rFonts w:ascii="Calibri Light" w:hAnsi="Calibri Light"/>
                <w:b/>
              </w:rPr>
            </w:pPr>
            <w:r w:rsidRPr="00A21FC1">
              <w:rPr>
                <w:rFonts w:ascii="Calibri Light" w:hAnsi="Calibri Light"/>
                <w:b/>
              </w:rPr>
              <w:t>15 May 2014</w:t>
            </w:r>
          </w:p>
        </w:tc>
      </w:tr>
      <w:tr w:rsidR="00442620" w:rsidRPr="00A21FC1" w:rsidTr="003E7DE9">
        <w:tc>
          <w:tcPr>
            <w:tcW w:w="10207" w:type="dxa"/>
            <w:gridSpan w:val="2"/>
            <w:shd w:val="clear" w:color="auto" w:fill="C6D9F1"/>
            <w:vAlign w:val="center"/>
          </w:tcPr>
          <w:p w:rsidR="00442620" w:rsidRPr="00A21FC1" w:rsidRDefault="00442620" w:rsidP="003E7DE9">
            <w:pPr>
              <w:spacing w:before="120" w:after="120"/>
              <w:rPr>
                <w:rFonts w:ascii="Calibri Light" w:hAnsi="Calibri Light"/>
                <w:b/>
              </w:rPr>
            </w:pPr>
            <w:r w:rsidRPr="00A21FC1">
              <w:rPr>
                <w:rFonts w:ascii="Calibri Light" w:hAnsi="Calibri Light"/>
                <w:b/>
              </w:rPr>
              <w:t>No recommendations</w:t>
            </w:r>
          </w:p>
        </w:tc>
      </w:tr>
    </w:tbl>
    <w:p w:rsidR="005F246A" w:rsidRPr="00A21FC1" w:rsidRDefault="005F246A" w:rsidP="00E21B62">
      <w:pPr>
        <w:rPr>
          <w:rFonts w:ascii="Calibri Light" w:hAnsi="Calibri Light"/>
        </w:rPr>
      </w:pPr>
    </w:p>
    <w:p w:rsidR="00442620" w:rsidRPr="00A21FC1" w:rsidRDefault="00442620" w:rsidP="00E21B62">
      <w:pPr>
        <w:rPr>
          <w:rFonts w:ascii="Calibri Light" w:hAnsi="Calibri Light"/>
        </w:rPr>
      </w:pPr>
    </w:p>
    <w:p w:rsidR="0043156E" w:rsidRPr="00A21FC1" w:rsidRDefault="0043156E" w:rsidP="00E21B62">
      <w:pPr>
        <w:rPr>
          <w:rFonts w:ascii="Calibri Light" w:hAnsi="Calibri Light"/>
        </w:rPr>
      </w:pPr>
    </w:p>
    <w:p w:rsidR="0043156E" w:rsidRPr="00A21FC1" w:rsidRDefault="0043156E" w:rsidP="00E21B62">
      <w:pPr>
        <w:rPr>
          <w:rFonts w:ascii="Calibri Light" w:hAnsi="Calibri Light"/>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097"/>
        <w:gridCol w:w="4700"/>
        <w:gridCol w:w="1843"/>
      </w:tblGrid>
      <w:tr w:rsidR="0043156E" w:rsidRPr="00A21FC1" w:rsidTr="003E7DE9">
        <w:tc>
          <w:tcPr>
            <w:tcW w:w="8364" w:type="dxa"/>
            <w:gridSpan w:val="3"/>
            <w:shd w:val="clear" w:color="auto" w:fill="548DD4"/>
            <w:vAlign w:val="center"/>
          </w:tcPr>
          <w:p w:rsidR="0043156E" w:rsidRPr="00A21FC1" w:rsidRDefault="0043156E" w:rsidP="003E7DE9">
            <w:pPr>
              <w:spacing w:before="120" w:after="120"/>
              <w:rPr>
                <w:rFonts w:ascii="Calibri Light" w:hAnsi="Calibri Light"/>
                <w:b/>
              </w:rPr>
            </w:pPr>
            <w:r w:rsidRPr="00A21FC1">
              <w:rPr>
                <w:rFonts w:ascii="Calibri Light" w:hAnsi="Calibri Light"/>
                <w:b/>
              </w:rPr>
              <w:t>Title</w:t>
            </w:r>
          </w:p>
        </w:tc>
        <w:tc>
          <w:tcPr>
            <w:tcW w:w="1843" w:type="dxa"/>
            <w:shd w:val="clear" w:color="auto" w:fill="548DD4"/>
            <w:vAlign w:val="center"/>
          </w:tcPr>
          <w:p w:rsidR="0043156E" w:rsidRPr="00A21FC1" w:rsidRDefault="0043156E" w:rsidP="003E7DE9">
            <w:pPr>
              <w:spacing w:before="120" w:after="120"/>
              <w:rPr>
                <w:rFonts w:ascii="Calibri Light" w:hAnsi="Calibri Light"/>
                <w:b/>
              </w:rPr>
            </w:pPr>
            <w:r w:rsidRPr="00A21FC1">
              <w:rPr>
                <w:rFonts w:ascii="Calibri Light" w:hAnsi="Calibri Light"/>
                <w:b/>
              </w:rPr>
              <w:t>Publicly released</w:t>
            </w:r>
          </w:p>
        </w:tc>
      </w:tr>
      <w:tr w:rsidR="0043156E" w:rsidRPr="00A21FC1" w:rsidTr="003E7DE9">
        <w:tc>
          <w:tcPr>
            <w:tcW w:w="8364" w:type="dxa"/>
            <w:gridSpan w:val="3"/>
            <w:vAlign w:val="center"/>
          </w:tcPr>
          <w:p w:rsidR="0043156E" w:rsidRPr="00A21FC1" w:rsidRDefault="0043156E" w:rsidP="003E7DE9">
            <w:pPr>
              <w:spacing w:before="120" w:after="120"/>
              <w:rPr>
                <w:rFonts w:ascii="Calibri Light" w:hAnsi="Calibri Light"/>
                <w:b/>
                <w:bCs/>
              </w:rPr>
            </w:pPr>
            <w:r w:rsidRPr="00A21FC1">
              <w:rPr>
                <w:rFonts w:ascii="Calibri Light" w:hAnsi="Calibri Light"/>
                <w:b/>
                <w:bCs/>
              </w:rPr>
              <w:t>Audit of the Werribee Post-Arrival Quarantine Facility (Melbourne, Victoria)</w:t>
            </w:r>
          </w:p>
        </w:tc>
        <w:tc>
          <w:tcPr>
            <w:tcW w:w="1843" w:type="dxa"/>
            <w:vAlign w:val="center"/>
          </w:tcPr>
          <w:p w:rsidR="0043156E" w:rsidRPr="00A21FC1" w:rsidRDefault="0043156E" w:rsidP="003E7DE9">
            <w:pPr>
              <w:spacing w:before="120" w:after="120"/>
              <w:rPr>
                <w:rFonts w:ascii="Calibri Light" w:hAnsi="Calibri Light"/>
                <w:b/>
              </w:rPr>
            </w:pPr>
          </w:p>
        </w:tc>
      </w:tr>
      <w:tr w:rsidR="0043156E" w:rsidRPr="00A21FC1" w:rsidTr="003E7DE9">
        <w:tc>
          <w:tcPr>
            <w:tcW w:w="3664" w:type="dxa"/>
            <w:gridSpan w:val="2"/>
            <w:shd w:val="clear" w:color="auto" w:fill="C6D9F1"/>
            <w:vAlign w:val="center"/>
          </w:tcPr>
          <w:p w:rsidR="0043156E" w:rsidRPr="00A21FC1" w:rsidRDefault="0043156E" w:rsidP="003E7DE9">
            <w:pPr>
              <w:spacing w:before="120" w:after="120"/>
              <w:rPr>
                <w:rFonts w:ascii="Calibri Light" w:hAnsi="Calibri Light"/>
                <w:b/>
              </w:rPr>
            </w:pPr>
            <w:r w:rsidRPr="00A21FC1">
              <w:rPr>
                <w:rFonts w:ascii="Calibri Light" w:hAnsi="Calibri Light"/>
                <w:b/>
              </w:rPr>
              <w:t>Recommendation Number</w:t>
            </w:r>
          </w:p>
        </w:tc>
        <w:tc>
          <w:tcPr>
            <w:tcW w:w="4700" w:type="dxa"/>
            <w:shd w:val="clear" w:color="auto" w:fill="C6D9F1"/>
            <w:vAlign w:val="center"/>
          </w:tcPr>
          <w:p w:rsidR="0043156E" w:rsidRPr="00A21FC1" w:rsidRDefault="0043156E" w:rsidP="003E7DE9">
            <w:pPr>
              <w:spacing w:before="120" w:after="120"/>
              <w:rPr>
                <w:rFonts w:ascii="Calibri Light" w:hAnsi="Calibri Light"/>
                <w:b/>
              </w:rPr>
            </w:pPr>
            <w:r w:rsidRPr="00A21FC1">
              <w:rPr>
                <w:rFonts w:ascii="Calibri Light" w:hAnsi="Calibri Light"/>
                <w:b/>
              </w:rPr>
              <w:t>Recommendation</w:t>
            </w:r>
          </w:p>
        </w:tc>
        <w:tc>
          <w:tcPr>
            <w:tcW w:w="1843" w:type="dxa"/>
            <w:shd w:val="clear" w:color="auto" w:fill="C6D9F1"/>
            <w:vAlign w:val="center"/>
          </w:tcPr>
          <w:p w:rsidR="0043156E" w:rsidRPr="00A21FC1" w:rsidRDefault="0043156E" w:rsidP="003E7DE9">
            <w:pPr>
              <w:spacing w:before="120" w:after="120"/>
              <w:rPr>
                <w:rFonts w:ascii="Calibri Light" w:hAnsi="Calibri Light"/>
                <w:b/>
              </w:rPr>
            </w:pPr>
            <w:r w:rsidRPr="00A21FC1">
              <w:rPr>
                <w:rFonts w:ascii="Calibri Light" w:hAnsi="Calibri Light"/>
                <w:b/>
              </w:rPr>
              <w:t>Status</w:t>
            </w:r>
          </w:p>
        </w:tc>
      </w:tr>
      <w:tr w:rsidR="00962C50" w:rsidRPr="00A21FC1" w:rsidTr="003E7DE9">
        <w:tc>
          <w:tcPr>
            <w:tcW w:w="567" w:type="dxa"/>
            <w:vAlign w:val="center"/>
          </w:tcPr>
          <w:p w:rsidR="00962C50" w:rsidRPr="00A21FC1" w:rsidRDefault="00962C50" w:rsidP="003E7DE9">
            <w:pPr>
              <w:spacing w:before="120" w:after="120"/>
              <w:rPr>
                <w:rFonts w:ascii="Calibri Light" w:hAnsi="Calibri Light"/>
              </w:rPr>
            </w:pPr>
            <w:r w:rsidRPr="00A21FC1">
              <w:rPr>
                <w:rFonts w:ascii="Calibri Light" w:hAnsi="Calibri Light"/>
              </w:rPr>
              <w:t>1</w:t>
            </w:r>
          </w:p>
        </w:tc>
        <w:tc>
          <w:tcPr>
            <w:tcW w:w="7797" w:type="dxa"/>
            <w:gridSpan w:val="2"/>
            <w:vAlign w:val="center"/>
          </w:tcPr>
          <w:p w:rsidR="00962C50" w:rsidRPr="00A21FC1" w:rsidRDefault="00100F68" w:rsidP="00100F68">
            <w:pPr>
              <w:autoSpaceDE w:val="0"/>
              <w:autoSpaceDN w:val="0"/>
              <w:adjustRightInd w:val="0"/>
              <w:spacing w:before="120" w:after="120"/>
              <w:rPr>
                <w:rFonts w:ascii="Calibri Light" w:eastAsia="Times New Roman" w:hAnsi="Calibri Light" w:cs="TimesNewRoman"/>
                <w:color w:val="010101"/>
                <w:sz w:val="20"/>
                <w:szCs w:val="20"/>
              </w:rPr>
            </w:pPr>
            <w:r w:rsidRPr="00100F68">
              <w:rPr>
                <w:rFonts w:ascii="Calibri Light" w:eastAsia="Times New Roman" w:hAnsi="Calibri Light" w:cs="TimesNewRoman"/>
                <w:color w:val="010101"/>
                <w:sz w:val="20"/>
                <w:szCs w:val="20"/>
              </w:rPr>
              <w:t>DAFF should investigate the Victorian government records for property identification codes listing horses, with a view to establish awareness of and record the presence of non-PAQ horses within 1km of the Werribee PAQ facilities annually.</w:t>
            </w:r>
          </w:p>
        </w:tc>
        <w:tc>
          <w:tcPr>
            <w:tcW w:w="1843" w:type="dxa"/>
            <w:shd w:val="clear" w:color="auto" w:fill="FFFFFF"/>
            <w:vAlign w:val="center"/>
          </w:tcPr>
          <w:p w:rsidR="00962C50" w:rsidRPr="00A21FC1" w:rsidRDefault="00962C50" w:rsidP="003E7DE9">
            <w:pPr>
              <w:spacing w:before="120" w:after="120"/>
              <w:rPr>
                <w:rFonts w:ascii="Calibri Light" w:hAnsi="Calibri Light"/>
              </w:rPr>
            </w:pPr>
            <w:r w:rsidRPr="00A21FC1">
              <w:rPr>
                <w:rFonts w:ascii="Calibri Light" w:hAnsi="Calibri Light"/>
              </w:rPr>
              <w:t>NOT AGREED BY THE DEPARTMENT</w:t>
            </w:r>
          </w:p>
        </w:tc>
      </w:tr>
      <w:tr w:rsidR="00435FA8" w:rsidRPr="00A21FC1" w:rsidTr="00AB0EA9">
        <w:tc>
          <w:tcPr>
            <w:tcW w:w="567" w:type="dxa"/>
            <w:vAlign w:val="center"/>
          </w:tcPr>
          <w:p w:rsidR="00435FA8" w:rsidRPr="00A21FC1" w:rsidRDefault="00435FA8" w:rsidP="003E7DE9">
            <w:pPr>
              <w:spacing w:before="120" w:after="120"/>
              <w:rPr>
                <w:rFonts w:ascii="Calibri Light" w:hAnsi="Calibri Light"/>
              </w:rPr>
            </w:pPr>
            <w:r w:rsidRPr="00A21FC1">
              <w:rPr>
                <w:rFonts w:ascii="Calibri Light" w:hAnsi="Calibri Light"/>
              </w:rPr>
              <w:t>2</w:t>
            </w:r>
          </w:p>
        </w:tc>
        <w:tc>
          <w:tcPr>
            <w:tcW w:w="9640" w:type="dxa"/>
            <w:gridSpan w:val="3"/>
            <w:vAlign w:val="center"/>
          </w:tcPr>
          <w:p w:rsidR="00435FA8" w:rsidRPr="00A21FC1" w:rsidRDefault="00435FA8" w:rsidP="003E7DE9">
            <w:pPr>
              <w:spacing w:before="120" w:after="120"/>
              <w:rPr>
                <w:rFonts w:ascii="Calibri Light" w:hAnsi="Calibri Light"/>
              </w:rPr>
            </w:pPr>
            <w:r w:rsidRPr="00A21FC1">
              <w:rPr>
                <w:rFonts w:ascii="Calibri Light" w:eastAsia="Times New Roman" w:hAnsi="Calibri Light" w:cs="TimesNewRoman"/>
                <w:color w:val="010101"/>
                <w:sz w:val="20"/>
                <w:szCs w:val="20"/>
              </w:rPr>
              <w:t>It is recommended that a timing mechanism be provided in the shower unit that is not fitted with the electronic tag system so that users can ensure that they meet the three minute showering.</w:t>
            </w:r>
          </w:p>
        </w:tc>
      </w:tr>
    </w:tbl>
    <w:p w:rsidR="00FB565E" w:rsidRPr="00A21FC1" w:rsidRDefault="00FB565E" w:rsidP="00E21B62">
      <w:pPr>
        <w:rPr>
          <w:rFonts w:ascii="Calibri Light" w:hAnsi="Calibri Light"/>
        </w:rPr>
      </w:pPr>
    </w:p>
    <w:p w:rsidR="00FB565E" w:rsidRPr="00A21FC1" w:rsidRDefault="00FB565E" w:rsidP="00E21B62">
      <w:pPr>
        <w:rPr>
          <w:rFonts w:ascii="Calibri Light" w:hAnsi="Calibri Light"/>
        </w:rPr>
      </w:pPr>
    </w:p>
    <w:p w:rsidR="000805AC" w:rsidRPr="00A21FC1" w:rsidRDefault="000805AC" w:rsidP="00E21B62">
      <w:pPr>
        <w:rPr>
          <w:rFonts w:ascii="Calibri Light" w:hAnsi="Calibri Light"/>
        </w:rPr>
      </w:pPr>
    </w:p>
    <w:p w:rsidR="000805AC" w:rsidRPr="00A21FC1" w:rsidRDefault="000805AC" w:rsidP="00E21B62">
      <w:pPr>
        <w:rPr>
          <w:rFonts w:ascii="Calibri Light" w:hAnsi="Calibri Light"/>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3097"/>
        <w:gridCol w:w="4700"/>
        <w:gridCol w:w="1843"/>
      </w:tblGrid>
      <w:tr w:rsidR="0043156E" w:rsidRPr="00A21FC1" w:rsidTr="003E7DE9">
        <w:tc>
          <w:tcPr>
            <w:tcW w:w="8364" w:type="dxa"/>
            <w:gridSpan w:val="3"/>
            <w:shd w:val="clear" w:color="auto" w:fill="548DD4"/>
            <w:vAlign w:val="center"/>
          </w:tcPr>
          <w:p w:rsidR="0043156E" w:rsidRPr="00A21FC1" w:rsidRDefault="0043156E" w:rsidP="003E7DE9">
            <w:pPr>
              <w:spacing w:before="120" w:after="120"/>
              <w:rPr>
                <w:rFonts w:ascii="Calibri Light" w:hAnsi="Calibri Light"/>
                <w:b/>
              </w:rPr>
            </w:pPr>
            <w:r w:rsidRPr="00A21FC1">
              <w:rPr>
                <w:rFonts w:ascii="Calibri Light" w:hAnsi="Calibri Light"/>
                <w:b/>
              </w:rPr>
              <w:t>Title</w:t>
            </w:r>
          </w:p>
        </w:tc>
        <w:tc>
          <w:tcPr>
            <w:tcW w:w="1843" w:type="dxa"/>
            <w:shd w:val="clear" w:color="auto" w:fill="548DD4"/>
            <w:vAlign w:val="center"/>
          </w:tcPr>
          <w:p w:rsidR="0043156E" w:rsidRPr="00A21FC1" w:rsidRDefault="0043156E" w:rsidP="003E7DE9">
            <w:pPr>
              <w:spacing w:before="120" w:after="120"/>
              <w:rPr>
                <w:rFonts w:ascii="Calibri Light" w:hAnsi="Calibri Light"/>
                <w:b/>
              </w:rPr>
            </w:pPr>
            <w:r w:rsidRPr="00A21FC1">
              <w:rPr>
                <w:rFonts w:ascii="Calibri Light" w:hAnsi="Calibri Light"/>
                <w:b/>
              </w:rPr>
              <w:t>Publicly released</w:t>
            </w:r>
          </w:p>
        </w:tc>
      </w:tr>
      <w:tr w:rsidR="0043156E" w:rsidRPr="00A21FC1" w:rsidTr="003E7DE9">
        <w:tc>
          <w:tcPr>
            <w:tcW w:w="8364" w:type="dxa"/>
            <w:gridSpan w:val="3"/>
            <w:vAlign w:val="center"/>
          </w:tcPr>
          <w:p w:rsidR="0043156E" w:rsidRPr="00A21FC1" w:rsidRDefault="0043156E" w:rsidP="003E7DE9">
            <w:pPr>
              <w:spacing w:before="120" w:after="120"/>
              <w:rPr>
                <w:rFonts w:ascii="Calibri Light" w:hAnsi="Calibri Light"/>
                <w:b/>
                <w:bCs/>
              </w:rPr>
            </w:pPr>
            <w:r w:rsidRPr="00A21FC1">
              <w:rPr>
                <w:rFonts w:ascii="Calibri Light" w:hAnsi="Calibri Light"/>
                <w:b/>
                <w:bCs/>
              </w:rPr>
              <w:t>Audit of the Eastern Creek Animal Quarantine Station (Sydney, New South Wales)</w:t>
            </w:r>
          </w:p>
        </w:tc>
        <w:tc>
          <w:tcPr>
            <w:tcW w:w="1843" w:type="dxa"/>
            <w:vAlign w:val="center"/>
          </w:tcPr>
          <w:p w:rsidR="0043156E" w:rsidRPr="00A21FC1" w:rsidRDefault="0043156E" w:rsidP="003E7DE9">
            <w:pPr>
              <w:spacing w:before="120" w:after="120"/>
              <w:rPr>
                <w:rFonts w:ascii="Calibri Light" w:hAnsi="Calibri Light"/>
                <w:b/>
              </w:rPr>
            </w:pPr>
          </w:p>
        </w:tc>
      </w:tr>
      <w:tr w:rsidR="0043156E" w:rsidRPr="00A21FC1" w:rsidTr="003E7DE9">
        <w:tc>
          <w:tcPr>
            <w:tcW w:w="3664" w:type="dxa"/>
            <w:gridSpan w:val="2"/>
            <w:shd w:val="clear" w:color="auto" w:fill="C6D9F1"/>
            <w:vAlign w:val="center"/>
          </w:tcPr>
          <w:p w:rsidR="0043156E" w:rsidRPr="00A21FC1" w:rsidRDefault="0043156E" w:rsidP="003E7DE9">
            <w:pPr>
              <w:spacing w:before="120" w:after="120"/>
              <w:rPr>
                <w:rFonts w:ascii="Calibri Light" w:hAnsi="Calibri Light"/>
                <w:b/>
              </w:rPr>
            </w:pPr>
            <w:r w:rsidRPr="00A21FC1">
              <w:rPr>
                <w:rFonts w:ascii="Calibri Light" w:hAnsi="Calibri Light"/>
                <w:b/>
              </w:rPr>
              <w:t>Recommendation Number</w:t>
            </w:r>
          </w:p>
        </w:tc>
        <w:tc>
          <w:tcPr>
            <w:tcW w:w="4700" w:type="dxa"/>
            <w:shd w:val="clear" w:color="auto" w:fill="C6D9F1"/>
            <w:vAlign w:val="center"/>
          </w:tcPr>
          <w:p w:rsidR="0043156E" w:rsidRPr="00A21FC1" w:rsidRDefault="0043156E" w:rsidP="003E7DE9">
            <w:pPr>
              <w:spacing w:before="120" w:after="120"/>
              <w:rPr>
                <w:rFonts w:ascii="Calibri Light" w:hAnsi="Calibri Light"/>
                <w:b/>
              </w:rPr>
            </w:pPr>
            <w:r w:rsidRPr="00A21FC1">
              <w:rPr>
                <w:rFonts w:ascii="Calibri Light" w:hAnsi="Calibri Light"/>
                <w:b/>
              </w:rPr>
              <w:t>Recommendation</w:t>
            </w:r>
          </w:p>
        </w:tc>
        <w:tc>
          <w:tcPr>
            <w:tcW w:w="1843" w:type="dxa"/>
            <w:shd w:val="clear" w:color="auto" w:fill="C6D9F1"/>
            <w:vAlign w:val="center"/>
          </w:tcPr>
          <w:p w:rsidR="0043156E" w:rsidRPr="00A21FC1" w:rsidRDefault="0043156E" w:rsidP="003E7DE9">
            <w:pPr>
              <w:spacing w:before="120" w:after="120"/>
              <w:rPr>
                <w:rFonts w:ascii="Calibri Light" w:hAnsi="Calibri Light"/>
                <w:b/>
              </w:rPr>
            </w:pPr>
            <w:r w:rsidRPr="00A21FC1">
              <w:rPr>
                <w:rFonts w:ascii="Calibri Light" w:hAnsi="Calibri Light"/>
                <w:b/>
              </w:rPr>
              <w:t>Status</w:t>
            </w:r>
          </w:p>
        </w:tc>
      </w:tr>
      <w:tr w:rsidR="00962C50" w:rsidRPr="00A21FC1" w:rsidTr="003E7DE9">
        <w:tc>
          <w:tcPr>
            <w:tcW w:w="567" w:type="dxa"/>
            <w:vAlign w:val="center"/>
          </w:tcPr>
          <w:p w:rsidR="00962C50" w:rsidRPr="00A21FC1" w:rsidRDefault="00962C50" w:rsidP="003E7DE9">
            <w:pPr>
              <w:spacing w:before="120" w:after="120"/>
              <w:rPr>
                <w:rFonts w:ascii="Calibri Light" w:hAnsi="Calibri Light"/>
              </w:rPr>
            </w:pPr>
            <w:r w:rsidRPr="00A21FC1">
              <w:rPr>
                <w:rFonts w:ascii="Calibri Light" w:hAnsi="Calibri Light"/>
              </w:rPr>
              <w:t>1</w:t>
            </w:r>
          </w:p>
        </w:tc>
        <w:tc>
          <w:tcPr>
            <w:tcW w:w="7797" w:type="dxa"/>
            <w:gridSpan w:val="2"/>
            <w:vAlign w:val="center"/>
          </w:tcPr>
          <w:p w:rsidR="00962C50" w:rsidRPr="00A21FC1" w:rsidRDefault="00100F68" w:rsidP="00100F68">
            <w:pPr>
              <w:autoSpaceDE w:val="0"/>
              <w:autoSpaceDN w:val="0"/>
              <w:adjustRightInd w:val="0"/>
              <w:spacing w:before="120" w:after="120"/>
              <w:rPr>
                <w:rFonts w:ascii="Calibri Light" w:eastAsia="Times New Roman" w:hAnsi="Calibri Light" w:cs="TimesNewRoman"/>
                <w:color w:val="010101"/>
                <w:sz w:val="20"/>
                <w:szCs w:val="20"/>
              </w:rPr>
            </w:pPr>
            <w:r w:rsidRPr="00100F68">
              <w:rPr>
                <w:rFonts w:ascii="Calibri Light" w:eastAsia="Times New Roman" w:hAnsi="Calibri Light" w:cs="TimesNewRoman"/>
                <w:color w:val="010101"/>
                <w:sz w:val="20"/>
                <w:szCs w:val="20"/>
              </w:rPr>
              <w:t>DAFF should investigate the Cumberland Livestock Health and Pest Authorities (LHPA) records for property identification codes listing horses, with a view to establish awareness of and record the presence of non-PAQ horses within 1km of the Eastern Cre</w:t>
            </w:r>
            <w:r>
              <w:rPr>
                <w:rFonts w:ascii="Calibri Light" w:eastAsia="Times New Roman" w:hAnsi="Calibri Light" w:cs="TimesNewRoman"/>
                <w:color w:val="010101"/>
                <w:sz w:val="20"/>
                <w:szCs w:val="20"/>
              </w:rPr>
              <w:t>ek Quarantine Station annually.</w:t>
            </w:r>
          </w:p>
        </w:tc>
        <w:tc>
          <w:tcPr>
            <w:tcW w:w="1843" w:type="dxa"/>
            <w:shd w:val="clear" w:color="auto" w:fill="FFFFFF"/>
            <w:vAlign w:val="center"/>
          </w:tcPr>
          <w:p w:rsidR="00962C50" w:rsidRPr="00A21FC1" w:rsidRDefault="00962C50" w:rsidP="003E7DE9">
            <w:pPr>
              <w:spacing w:before="120" w:after="120"/>
              <w:rPr>
                <w:rFonts w:ascii="Calibri Light" w:hAnsi="Calibri Light"/>
              </w:rPr>
            </w:pPr>
            <w:r w:rsidRPr="00A21FC1">
              <w:rPr>
                <w:rFonts w:ascii="Calibri Light" w:hAnsi="Calibri Light"/>
              </w:rPr>
              <w:t>NOT AGREED BY THE DEPARTMENT</w:t>
            </w:r>
          </w:p>
        </w:tc>
      </w:tr>
      <w:tr w:rsidR="00435FA8" w:rsidRPr="00A21FC1" w:rsidTr="00F141A5">
        <w:tc>
          <w:tcPr>
            <w:tcW w:w="567" w:type="dxa"/>
            <w:vAlign w:val="center"/>
          </w:tcPr>
          <w:p w:rsidR="00435FA8" w:rsidRPr="00A21FC1" w:rsidRDefault="00435FA8" w:rsidP="003E7DE9">
            <w:pPr>
              <w:spacing w:before="120" w:after="120"/>
              <w:rPr>
                <w:rFonts w:ascii="Calibri Light" w:hAnsi="Calibri Light"/>
              </w:rPr>
            </w:pPr>
            <w:r w:rsidRPr="00A21FC1">
              <w:rPr>
                <w:rFonts w:ascii="Calibri Light" w:hAnsi="Calibri Light"/>
              </w:rPr>
              <w:t>2</w:t>
            </w:r>
          </w:p>
        </w:tc>
        <w:tc>
          <w:tcPr>
            <w:tcW w:w="9640" w:type="dxa"/>
            <w:gridSpan w:val="3"/>
            <w:vAlign w:val="center"/>
          </w:tcPr>
          <w:p w:rsidR="00435FA8" w:rsidRPr="00A21FC1" w:rsidRDefault="00435FA8" w:rsidP="003E7DE9">
            <w:pPr>
              <w:spacing w:before="120" w:after="120"/>
              <w:rPr>
                <w:rFonts w:ascii="Calibri Light" w:hAnsi="Calibri Light"/>
              </w:rPr>
            </w:pPr>
            <w:r w:rsidRPr="00A21FC1">
              <w:rPr>
                <w:rFonts w:ascii="Calibri Light" w:eastAsia="Times New Roman" w:hAnsi="Calibri Light" w:cs="TimesNewRoman"/>
                <w:color w:val="010101"/>
                <w:sz w:val="20"/>
                <w:szCs w:val="20"/>
              </w:rPr>
              <w:t xml:space="preserve">That DAFF closely monitors the requirement for tick treatment in pre-export quarantine overseas and regularly assesses the availability and use of products that have </w:t>
            </w:r>
            <w:proofErr w:type="spellStart"/>
            <w:r w:rsidRPr="00A21FC1">
              <w:rPr>
                <w:rFonts w:ascii="Calibri Light" w:eastAsia="Times New Roman" w:hAnsi="Calibri Light" w:cs="TimesNewRoman"/>
                <w:color w:val="010101"/>
                <w:sz w:val="20"/>
                <w:szCs w:val="20"/>
              </w:rPr>
              <w:t>acaricidal</w:t>
            </w:r>
            <w:proofErr w:type="spellEnd"/>
            <w:r w:rsidRPr="00A21FC1">
              <w:rPr>
                <w:rFonts w:ascii="Calibri Light" w:eastAsia="Times New Roman" w:hAnsi="Calibri Light" w:cs="TimesNewRoman"/>
                <w:color w:val="010101"/>
                <w:sz w:val="20"/>
                <w:szCs w:val="20"/>
              </w:rPr>
              <w:t xml:space="preserve"> rather than repellent properties</w:t>
            </w:r>
          </w:p>
        </w:tc>
      </w:tr>
    </w:tbl>
    <w:p w:rsidR="00AE6B3F" w:rsidRPr="00A21FC1" w:rsidRDefault="00AE6B3F" w:rsidP="00AE6B3F">
      <w:pPr>
        <w:ind w:left="720" w:hanging="720"/>
        <w:rPr>
          <w:rFonts w:ascii="Calibri Light" w:hAnsi="Calibri Light"/>
          <w:sz w:val="24"/>
        </w:rPr>
      </w:pPr>
    </w:p>
    <w:p w:rsidR="00A64E64" w:rsidRPr="00A21FC1" w:rsidRDefault="00A64E64" w:rsidP="00E21B62">
      <w:pPr>
        <w:rPr>
          <w:rFonts w:ascii="Calibri Light" w:hAnsi="Calibri Light"/>
        </w:rPr>
      </w:pPr>
    </w:p>
    <w:p w:rsidR="00FB565E" w:rsidRPr="00A21FC1" w:rsidRDefault="00FB565E">
      <w:pPr>
        <w:rPr>
          <w:rFonts w:ascii="Calibri Light" w:hAnsi="Calibri Light"/>
        </w:rPr>
        <w:sectPr w:rsidR="00FB565E" w:rsidRPr="00A21FC1" w:rsidSect="002F7C1F">
          <w:headerReference w:type="default" r:id="rId12"/>
          <w:pgSz w:w="11906" w:h="16838"/>
          <w:pgMar w:top="1440" w:right="1560" w:bottom="1440" w:left="1797" w:header="709" w:footer="709" w:gutter="0"/>
          <w:cols w:space="708"/>
          <w:docGrid w:linePitch="360"/>
        </w:sectPr>
      </w:pPr>
    </w:p>
    <w:p w:rsidR="00EC6BD5" w:rsidRPr="006461BE" w:rsidRDefault="00EC6BD5" w:rsidP="00922427">
      <w:pPr>
        <w:pStyle w:val="Heading2"/>
        <w:spacing w:before="160"/>
        <w:jc w:val="right"/>
        <w:rPr>
          <w:rFonts w:ascii="Calibri Light" w:hAnsi="Calibri Light"/>
        </w:rPr>
      </w:pPr>
      <w:bookmarkStart w:id="12" w:name="_Toc421009984"/>
      <w:r w:rsidRPr="006461BE">
        <w:rPr>
          <w:rFonts w:ascii="Calibri Light" w:hAnsi="Calibri Light"/>
        </w:rPr>
        <w:lastRenderedPageBreak/>
        <w:t>Attachment B</w:t>
      </w:r>
      <w:bookmarkEnd w:id="12"/>
    </w:p>
    <w:p w:rsidR="00A76756" w:rsidRPr="00A21FC1" w:rsidRDefault="00E73BA3" w:rsidP="001D1F15">
      <w:pPr>
        <w:jc w:val="center"/>
        <w:rPr>
          <w:rFonts w:ascii="Calibri Light" w:hAnsi="Calibri Light"/>
          <w:b/>
        </w:rPr>
      </w:pPr>
      <w:r w:rsidRPr="00A21FC1">
        <w:rPr>
          <w:rFonts w:ascii="Calibri Light" w:hAnsi="Calibri Light"/>
          <w:b/>
        </w:rPr>
        <w:t>Biosecurity themes</w:t>
      </w:r>
      <w:r w:rsidR="00083D60" w:rsidRPr="00A21FC1">
        <w:rPr>
          <w:rFonts w:ascii="Calibri Light" w:hAnsi="Calibri Light"/>
          <w:b/>
        </w:rPr>
        <w:t xml:space="preserve"> to be kept under review (</w:t>
      </w:r>
      <w:r w:rsidR="00A76756" w:rsidRPr="00A21FC1">
        <w:rPr>
          <w:rFonts w:ascii="Calibri Light" w:hAnsi="Calibri Light"/>
          <w:b/>
        </w:rPr>
        <w:t>‘</w:t>
      </w:r>
      <w:r w:rsidR="005A207B">
        <w:rPr>
          <w:rFonts w:ascii="Calibri Light" w:hAnsi="Calibri Light"/>
          <w:b/>
        </w:rPr>
        <w:t>observation</w:t>
      </w:r>
      <w:r w:rsidR="00A76756" w:rsidRPr="00A21FC1">
        <w:rPr>
          <w:rFonts w:ascii="Calibri Light" w:hAnsi="Calibri Light"/>
          <w:b/>
        </w:rPr>
        <w:t xml:space="preserve"> list’</w:t>
      </w:r>
      <w:r w:rsidR="00083D60" w:rsidRPr="00A21FC1">
        <w:rPr>
          <w:rFonts w:ascii="Calibri Light" w:hAnsi="Calibri Light"/>
          <w:b/>
        </w:rPr>
        <w:t>)</w:t>
      </w:r>
    </w:p>
    <w:p w:rsidR="00B63DDD" w:rsidRPr="00A21FC1" w:rsidRDefault="00B63DDD" w:rsidP="00CD2B8F">
      <w:pPr>
        <w:jc w:val="center"/>
        <w:rPr>
          <w:rFonts w:ascii="Calibri Light" w:hAnsi="Calibri Light"/>
        </w:rPr>
      </w:pPr>
    </w:p>
    <w:p w:rsidR="00B63DDD" w:rsidRDefault="001430B4" w:rsidP="00302123">
      <w:pPr>
        <w:ind w:left="-851"/>
        <w:rPr>
          <w:rFonts w:ascii="Calibri Light" w:hAnsi="Calibri Light"/>
        </w:rPr>
      </w:pPr>
      <w:r w:rsidRPr="00A21FC1">
        <w:rPr>
          <w:rFonts w:ascii="Calibri Light" w:hAnsi="Calibri Light"/>
        </w:rPr>
        <w:t xml:space="preserve">The following </w:t>
      </w:r>
      <w:r w:rsidR="0043354A">
        <w:rPr>
          <w:rFonts w:ascii="Calibri Light" w:hAnsi="Calibri Light"/>
        </w:rPr>
        <w:t>six</w:t>
      </w:r>
      <w:r w:rsidR="00FB0117" w:rsidRPr="00A21FC1">
        <w:rPr>
          <w:rFonts w:ascii="Calibri Light" w:hAnsi="Calibri Light"/>
        </w:rPr>
        <w:t xml:space="preserve"> </w:t>
      </w:r>
      <w:r w:rsidRPr="00A21FC1">
        <w:rPr>
          <w:rFonts w:ascii="Calibri Light" w:hAnsi="Calibri Light"/>
        </w:rPr>
        <w:t xml:space="preserve">broad  ‘themes’ cover </w:t>
      </w:r>
      <w:r w:rsidR="005A207B">
        <w:rPr>
          <w:rFonts w:ascii="Calibri Light" w:hAnsi="Calibri Light"/>
        </w:rPr>
        <w:t>thirteen</w:t>
      </w:r>
      <w:r w:rsidR="005A207B" w:rsidRPr="00A21FC1">
        <w:rPr>
          <w:rFonts w:ascii="Calibri Light" w:hAnsi="Calibri Light"/>
        </w:rPr>
        <w:t xml:space="preserve"> </w:t>
      </w:r>
      <w:r w:rsidRPr="00A21FC1">
        <w:rPr>
          <w:rFonts w:ascii="Calibri Light" w:hAnsi="Calibri Light"/>
        </w:rPr>
        <w:t>recommendations that, while appropriately record</w:t>
      </w:r>
      <w:r w:rsidR="00351161">
        <w:rPr>
          <w:rFonts w:ascii="Calibri Light" w:hAnsi="Calibri Light"/>
        </w:rPr>
        <w:t>ed as ‘completed’ in eTRAC, may</w:t>
      </w:r>
      <w:r w:rsidRPr="00A21FC1">
        <w:rPr>
          <w:rFonts w:ascii="Calibri Light" w:hAnsi="Calibri Light"/>
        </w:rPr>
        <w:t xml:space="preserve"> require further actions outside the department’s direct control and/or significant additional time for full implementation.</w:t>
      </w:r>
      <w:r w:rsidR="008746F4">
        <w:rPr>
          <w:rFonts w:ascii="Calibri Light" w:hAnsi="Calibri Light"/>
        </w:rPr>
        <w:t xml:space="preserve"> </w:t>
      </w:r>
      <w:r w:rsidR="00351161">
        <w:rPr>
          <w:rFonts w:ascii="Calibri Light" w:hAnsi="Calibri Light"/>
        </w:rPr>
        <w:t>The themes also include areas where the department has effectively completed implementation of a recommendation, but the IIGB considers it appropriate to monitor outcomes of particular initiatives.</w:t>
      </w:r>
    </w:p>
    <w:p w:rsidR="00D051B6" w:rsidRDefault="00D051B6" w:rsidP="00302123">
      <w:pPr>
        <w:ind w:left="-851"/>
        <w:rPr>
          <w:rFonts w:ascii="Calibri Light" w:hAnsi="Calibri Light"/>
        </w:rPr>
      </w:pPr>
    </w:p>
    <w:p w:rsidR="00351161" w:rsidRDefault="00351161" w:rsidP="00302123">
      <w:pPr>
        <w:ind w:left="-851"/>
        <w:rPr>
          <w:rFonts w:ascii="Calibri Light" w:hAnsi="Calibri Light"/>
        </w:rPr>
      </w:pPr>
      <w:r>
        <w:rPr>
          <w:rFonts w:ascii="Calibri Light" w:hAnsi="Calibri Light"/>
        </w:rPr>
        <w:t>In some cases, the IIGB might decide to undertake another (new) audit or review, to further assess the effectiveness of the department’s actions.</w:t>
      </w:r>
    </w:p>
    <w:p w:rsidR="00487C29" w:rsidRPr="00A21FC1" w:rsidRDefault="00487C29" w:rsidP="00302123">
      <w:pPr>
        <w:ind w:left="-851"/>
        <w:rPr>
          <w:rFonts w:ascii="Calibri Light" w:hAnsi="Calibri Light"/>
        </w:rPr>
      </w:pPr>
    </w:p>
    <w:tbl>
      <w:tblPr>
        <w:tblW w:w="978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82"/>
      </w:tblGrid>
      <w:tr w:rsidR="00E80FFA" w:rsidRPr="00A21FC1" w:rsidTr="000A05B4">
        <w:tc>
          <w:tcPr>
            <w:tcW w:w="9782" w:type="dxa"/>
            <w:shd w:val="clear" w:color="auto" w:fill="D99594"/>
            <w:vAlign w:val="center"/>
          </w:tcPr>
          <w:p w:rsidR="00E80FFA" w:rsidRPr="00A21FC1" w:rsidRDefault="00E71E4A" w:rsidP="0053321F">
            <w:pPr>
              <w:spacing w:before="240" w:after="120"/>
              <w:rPr>
                <w:rFonts w:ascii="Calibri Light" w:hAnsi="Calibri Light"/>
                <w:b/>
              </w:rPr>
            </w:pPr>
            <w:r>
              <w:rPr>
                <w:rFonts w:ascii="Calibri Light" w:hAnsi="Calibri Light"/>
                <w:b/>
              </w:rPr>
              <w:t xml:space="preserve">1.  </w:t>
            </w:r>
            <w:r w:rsidR="00E80FFA" w:rsidRPr="00A21FC1">
              <w:rPr>
                <w:rFonts w:ascii="Calibri Light" w:hAnsi="Calibri Light"/>
                <w:b/>
              </w:rPr>
              <w:t>Communications interface between A</w:t>
            </w:r>
            <w:r w:rsidR="00D051B6">
              <w:rPr>
                <w:rFonts w:ascii="Calibri Light" w:hAnsi="Calibri Light"/>
                <w:b/>
              </w:rPr>
              <w:t xml:space="preserve">QIS </w:t>
            </w:r>
            <w:r w:rsidR="00E80FFA" w:rsidRPr="00A21FC1">
              <w:rPr>
                <w:rFonts w:ascii="Calibri Light" w:hAnsi="Calibri Light"/>
                <w:b/>
              </w:rPr>
              <w:t>I</w:t>
            </w:r>
            <w:r w:rsidR="00D051B6">
              <w:rPr>
                <w:rFonts w:ascii="Calibri Light" w:hAnsi="Calibri Light"/>
                <w:b/>
              </w:rPr>
              <w:t xml:space="preserve">mport </w:t>
            </w:r>
            <w:r w:rsidR="00E80FFA" w:rsidRPr="00A21FC1">
              <w:rPr>
                <w:rFonts w:ascii="Calibri Light" w:hAnsi="Calibri Light"/>
                <w:b/>
              </w:rPr>
              <w:t>M</w:t>
            </w:r>
            <w:r w:rsidR="00D051B6">
              <w:rPr>
                <w:rFonts w:ascii="Calibri Light" w:hAnsi="Calibri Light"/>
                <w:b/>
              </w:rPr>
              <w:t xml:space="preserve">anagement </w:t>
            </w:r>
            <w:r w:rsidR="00E80FFA" w:rsidRPr="00A21FC1">
              <w:rPr>
                <w:rFonts w:ascii="Calibri Light" w:hAnsi="Calibri Light"/>
                <w:b/>
              </w:rPr>
              <w:t>S</w:t>
            </w:r>
            <w:r w:rsidR="00D051B6">
              <w:rPr>
                <w:rFonts w:ascii="Calibri Light" w:hAnsi="Calibri Light"/>
                <w:b/>
              </w:rPr>
              <w:t>ystem (AIMS)</w:t>
            </w:r>
            <w:r w:rsidR="00E80FFA" w:rsidRPr="00A21FC1">
              <w:rPr>
                <w:rFonts w:ascii="Calibri Light" w:hAnsi="Calibri Light"/>
                <w:b/>
              </w:rPr>
              <w:t xml:space="preserve"> and diagnostic laboratories</w:t>
            </w:r>
          </w:p>
        </w:tc>
      </w:tr>
      <w:tr w:rsidR="00E80FFA" w:rsidRPr="00A21FC1" w:rsidTr="0034511C">
        <w:tc>
          <w:tcPr>
            <w:tcW w:w="9782" w:type="dxa"/>
            <w:shd w:val="clear" w:color="auto" w:fill="F2DBDB"/>
            <w:vAlign w:val="center"/>
          </w:tcPr>
          <w:p w:rsidR="00E80FFA" w:rsidRPr="00A21FC1" w:rsidRDefault="00E80FFA" w:rsidP="008A46DD">
            <w:pPr>
              <w:spacing w:before="120" w:after="120"/>
              <w:ind w:left="720"/>
              <w:rPr>
                <w:rFonts w:ascii="Calibri Light" w:hAnsi="Calibri Light"/>
                <w:b/>
              </w:rPr>
            </w:pPr>
            <w:r w:rsidRPr="00A21FC1">
              <w:rPr>
                <w:rFonts w:ascii="Calibri Light" w:eastAsia="Times New Roman" w:hAnsi="Calibri Light" w:cs="TimesNewRoman"/>
                <w:color w:val="010101"/>
                <w:sz w:val="20"/>
                <w:szCs w:val="20"/>
              </w:rPr>
              <w:t xml:space="preserve">The development of a system interface between the </w:t>
            </w:r>
            <w:r w:rsidR="00E71E4A">
              <w:rPr>
                <w:rFonts w:ascii="Calibri Light" w:eastAsia="Times New Roman" w:hAnsi="Calibri Light" w:cs="TimesNewRoman"/>
                <w:color w:val="010101"/>
                <w:sz w:val="20"/>
                <w:szCs w:val="20"/>
              </w:rPr>
              <w:t xml:space="preserve">diagnostic </w:t>
            </w:r>
            <w:r w:rsidRPr="00A21FC1">
              <w:rPr>
                <w:rFonts w:ascii="Calibri Light" w:eastAsia="Times New Roman" w:hAnsi="Calibri Light" w:cs="TimesNewRoman"/>
                <w:color w:val="010101"/>
                <w:sz w:val="20"/>
                <w:szCs w:val="20"/>
              </w:rPr>
              <w:t>laborato</w:t>
            </w:r>
            <w:r w:rsidR="00E71E4A">
              <w:rPr>
                <w:rFonts w:ascii="Calibri Light" w:eastAsia="Times New Roman" w:hAnsi="Calibri Light" w:cs="TimesNewRoman"/>
                <w:color w:val="010101"/>
                <w:sz w:val="20"/>
                <w:szCs w:val="20"/>
              </w:rPr>
              <w:t>ry and AIMS to allow for test</w:t>
            </w:r>
            <w:r w:rsidRPr="00A21FC1">
              <w:rPr>
                <w:rFonts w:ascii="Calibri Light" w:eastAsia="Times New Roman" w:hAnsi="Calibri Light" w:cs="TimesNewRoman"/>
                <w:color w:val="010101"/>
                <w:sz w:val="20"/>
                <w:szCs w:val="20"/>
              </w:rPr>
              <w:t xml:space="preserve"> results to be direc</w:t>
            </w:r>
            <w:r w:rsidR="00E71E4A">
              <w:rPr>
                <w:rFonts w:ascii="Calibri Light" w:eastAsia="Times New Roman" w:hAnsi="Calibri Light" w:cs="TimesNewRoman"/>
                <w:color w:val="010101"/>
                <w:sz w:val="20"/>
                <w:szCs w:val="20"/>
              </w:rPr>
              <w:t>tly input into</w:t>
            </w:r>
            <w:r w:rsidR="00786830">
              <w:rPr>
                <w:rFonts w:ascii="Calibri Light" w:eastAsia="Times New Roman" w:hAnsi="Calibri Light" w:cs="TimesNewRoman"/>
                <w:color w:val="010101"/>
                <w:sz w:val="20"/>
                <w:szCs w:val="20"/>
              </w:rPr>
              <w:t xml:space="preserve"> </w:t>
            </w:r>
            <w:proofErr w:type="gramStart"/>
            <w:r w:rsidR="00786830">
              <w:rPr>
                <w:rFonts w:ascii="Calibri Light" w:eastAsia="Times New Roman" w:hAnsi="Calibri Light" w:cs="TimesNewRoman"/>
                <w:color w:val="010101"/>
                <w:sz w:val="20"/>
                <w:szCs w:val="20"/>
              </w:rPr>
              <w:t>AIMS,</w:t>
            </w:r>
            <w:proofErr w:type="gramEnd"/>
            <w:r w:rsidR="00786830">
              <w:rPr>
                <w:rFonts w:ascii="Calibri Light" w:eastAsia="Times New Roman" w:hAnsi="Calibri Light" w:cs="TimesNewRoman"/>
                <w:color w:val="010101"/>
                <w:sz w:val="20"/>
                <w:szCs w:val="20"/>
              </w:rPr>
              <w:t xml:space="preserve"> </w:t>
            </w:r>
            <w:r w:rsidR="009D3B80">
              <w:rPr>
                <w:rFonts w:ascii="Calibri Light" w:eastAsia="Times New Roman" w:hAnsi="Calibri Light" w:cs="TimesNewRoman"/>
                <w:color w:val="010101"/>
                <w:sz w:val="20"/>
                <w:szCs w:val="20"/>
              </w:rPr>
              <w:t>is being incorporated in the department’s Service Delivery Modernisation (SDM) initiative</w:t>
            </w:r>
            <w:r w:rsidRPr="00A21FC1">
              <w:rPr>
                <w:rFonts w:ascii="Calibri Light" w:eastAsia="Times New Roman" w:hAnsi="Calibri Light" w:cs="TimesNewRoman"/>
                <w:color w:val="010101"/>
                <w:sz w:val="20"/>
                <w:szCs w:val="20"/>
              </w:rPr>
              <w:t>.</w:t>
            </w:r>
          </w:p>
        </w:tc>
      </w:tr>
      <w:tr w:rsidR="00E80FFA" w:rsidRPr="0053321F" w:rsidTr="000A05B4">
        <w:tc>
          <w:tcPr>
            <w:tcW w:w="9782" w:type="dxa"/>
            <w:shd w:val="clear" w:color="auto" w:fill="D99594"/>
            <w:vAlign w:val="center"/>
          </w:tcPr>
          <w:p w:rsidR="00E80FFA" w:rsidRPr="00A21FC1" w:rsidRDefault="00E71E4A" w:rsidP="0053321F">
            <w:pPr>
              <w:spacing w:before="240" w:after="120"/>
              <w:rPr>
                <w:rFonts w:ascii="Calibri Light" w:hAnsi="Calibri Light"/>
                <w:b/>
              </w:rPr>
            </w:pPr>
            <w:r>
              <w:rPr>
                <w:rFonts w:ascii="Calibri Light" w:hAnsi="Calibri Light"/>
                <w:b/>
              </w:rPr>
              <w:t xml:space="preserve">2.  </w:t>
            </w:r>
            <w:r w:rsidR="00E80FFA" w:rsidRPr="00A21FC1">
              <w:rPr>
                <w:rFonts w:ascii="Calibri Light" w:hAnsi="Calibri Light"/>
                <w:b/>
              </w:rPr>
              <w:t>Accreditation and review of diagnostic laboratories</w:t>
            </w:r>
          </w:p>
        </w:tc>
      </w:tr>
      <w:tr w:rsidR="00E80FFA" w:rsidRPr="00E80FFA" w:rsidTr="0034511C">
        <w:tc>
          <w:tcPr>
            <w:tcW w:w="9782" w:type="dxa"/>
            <w:shd w:val="clear" w:color="auto" w:fill="F2DBDB"/>
            <w:vAlign w:val="center"/>
          </w:tcPr>
          <w:p w:rsidR="00E80FFA" w:rsidRPr="00A21FC1" w:rsidRDefault="00E71E4A" w:rsidP="00487C29">
            <w:pPr>
              <w:spacing w:before="120" w:after="120"/>
              <w:ind w:left="720"/>
              <w:rPr>
                <w:rFonts w:ascii="Calibri Light" w:eastAsia="Times New Roman" w:hAnsi="Calibri Light" w:cs="TimesNewRoman"/>
                <w:color w:val="010101"/>
                <w:sz w:val="20"/>
                <w:szCs w:val="20"/>
              </w:rPr>
            </w:pPr>
            <w:r>
              <w:rPr>
                <w:rFonts w:ascii="Calibri Light" w:eastAsia="Times New Roman" w:hAnsi="Calibri Light" w:cs="TimesNewRoman"/>
                <w:color w:val="010101"/>
                <w:sz w:val="20"/>
                <w:szCs w:val="20"/>
              </w:rPr>
              <w:t>The department</w:t>
            </w:r>
            <w:r w:rsidR="00E80FFA" w:rsidRPr="00A21FC1">
              <w:rPr>
                <w:rFonts w:ascii="Calibri Light" w:eastAsia="Times New Roman" w:hAnsi="Calibri Light" w:cs="TimesNewRoman"/>
                <w:color w:val="010101"/>
                <w:sz w:val="20"/>
                <w:szCs w:val="20"/>
              </w:rPr>
              <w:t xml:space="preserve"> </w:t>
            </w:r>
            <w:r w:rsidR="009D3B80">
              <w:rPr>
                <w:rFonts w:ascii="Calibri Light" w:eastAsia="Times New Roman" w:hAnsi="Calibri Light" w:cs="TimesNewRoman"/>
                <w:color w:val="010101"/>
                <w:sz w:val="20"/>
                <w:szCs w:val="20"/>
              </w:rPr>
              <w:t xml:space="preserve">has been actively involved in the development of relevant diagnostic protocols, through the Subcommittee on Plant Health Diagnostic Standards, and has implemented aspects of a quality management system relevant to </w:t>
            </w:r>
            <w:r w:rsidR="00487C29">
              <w:rPr>
                <w:rFonts w:ascii="Calibri Light" w:eastAsia="Times New Roman" w:hAnsi="Calibri Light" w:cs="TimesNewRoman"/>
                <w:color w:val="010101"/>
                <w:sz w:val="20"/>
                <w:szCs w:val="20"/>
              </w:rPr>
              <w:t>international standards</w:t>
            </w:r>
            <w:r w:rsidR="00E80FFA" w:rsidRPr="00A21FC1">
              <w:rPr>
                <w:rFonts w:ascii="Calibri Light" w:eastAsia="Times New Roman" w:hAnsi="Calibri Light" w:cs="TimesNewRoman"/>
                <w:color w:val="010101"/>
                <w:sz w:val="20"/>
                <w:szCs w:val="20"/>
              </w:rPr>
              <w:t>.</w:t>
            </w:r>
          </w:p>
        </w:tc>
      </w:tr>
      <w:tr w:rsidR="00E80FFA" w:rsidRPr="00E80FFA" w:rsidTr="0034511C">
        <w:tc>
          <w:tcPr>
            <w:tcW w:w="9782" w:type="dxa"/>
            <w:shd w:val="clear" w:color="auto" w:fill="F2DBDB"/>
            <w:vAlign w:val="center"/>
          </w:tcPr>
          <w:p w:rsidR="00E80FFA" w:rsidRPr="00A21FC1" w:rsidRDefault="00E71E4A" w:rsidP="004B3650">
            <w:pPr>
              <w:spacing w:before="120" w:after="120"/>
              <w:ind w:left="720"/>
              <w:rPr>
                <w:rFonts w:ascii="Calibri Light" w:eastAsia="Times New Roman" w:hAnsi="Calibri Light" w:cs="TimesNewRoman"/>
                <w:color w:val="010101"/>
                <w:sz w:val="20"/>
                <w:szCs w:val="20"/>
              </w:rPr>
            </w:pPr>
            <w:r>
              <w:rPr>
                <w:rFonts w:ascii="Calibri Light" w:eastAsia="Times New Roman" w:hAnsi="Calibri Light" w:cs="TimesNewRoman"/>
                <w:color w:val="010101"/>
                <w:sz w:val="20"/>
                <w:szCs w:val="20"/>
              </w:rPr>
              <w:t>The department</w:t>
            </w:r>
            <w:r w:rsidR="00E80FFA" w:rsidRPr="00A21FC1">
              <w:rPr>
                <w:rFonts w:ascii="Calibri Light" w:eastAsia="Times New Roman" w:hAnsi="Calibri Light" w:cs="TimesNewRoman"/>
                <w:color w:val="010101"/>
                <w:sz w:val="20"/>
                <w:szCs w:val="20"/>
              </w:rPr>
              <w:t xml:space="preserve"> encourages scientific and technical peer review of </w:t>
            </w:r>
            <w:r w:rsidR="00487C29">
              <w:rPr>
                <w:rFonts w:ascii="Calibri Light" w:eastAsia="Times New Roman" w:hAnsi="Calibri Light" w:cs="TimesNewRoman"/>
                <w:color w:val="010101"/>
                <w:sz w:val="20"/>
                <w:szCs w:val="20"/>
              </w:rPr>
              <w:t>the</w:t>
            </w:r>
            <w:r w:rsidR="00E80FFA" w:rsidRPr="00A21FC1">
              <w:rPr>
                <w:rFonts w:ascii="Calibri Light" w:eastAsia="Times New Roman" w:hAnsi="Calibri Light" w:cs="TimesNewRoman"/>
                <w:color w:val="010101"/>
                <w:sz w:val="20"/>
                <w:szCs w:val="20"/>
              </w:rPr>
              <w:t xml:space="preserve"> quarantine station operational manuals and materials on a reg</w:t>
            </w:r>
            <w:r w:rsidR="00487C29">
              <w:rPr>
                <w:rFonts w:ascii="Calibri Light" w:eastAsia="Times New Roman" w:hAnsi="Calibri Light" w:cs="TimesNewRoman"/>
                <w:color w:val="010101"/>
                <w:sz w:val="20"/>
                <w:szCs w:val="20"/>
              </w:rPr>
              <w:t>ular basis</w:t>
            </w:r>
            <w:r w:rsidR="00E80FFA" w:rsidRPr="00A21FC1">
              <w:rPr>
                <w:rFonts w:ascii="Calibri Light" w:eastAsia="Times New Roman" w:hAnsi="Calibri Light" w:cs="TimesNewRoman"/>
                <w:color w:val="010101"/>
                <w:sz w:val="20"/>
                <w:szCs w:val="20"/>
              </w:rPr>
              <w:t>.</w:t>
            </w:r>
            <w:r w:rsidR="00487C29">
              <w:rPr>
                <w:rFonts w:ascii="Calibri Light" w:eastAsia="Times New Roman" w:hAnsi="Calibri Light" w:cs="TimesNewRoman"/>
                <w:color w:val="010101"/>
                <w:sz w:val="20"/>
                <w:szCs w:val="20"/>
              </w:rPr>
              <w:t xml:space="preserve"> As part of the transition to the new PEQ facility at Melbourne Airport, instructional material is being reviewed by relevant operational, technical and policy areas.  Key documents have been peer reviewed by a third-party assessor, to verify compliance with the ANZ Standards for Microbiological Safety and Containment. </w:t>
            </w:r>
          </w:p>
        </w:tc>
      </w:tr>
      <w:tr w:rsidR="00E80FFA" w:rsidRPr="0053321F" w:rsidTr="000A05B4">
        <w:tc>
          <w:tcPr>
            <w:tcW w:w="9782" w:type="dxa"/>
            <w:shd w:val="clear" w:color="auto" w:fill="D99594"/>
            <w:vAlign w:val="center"/>
          </w:tcPr>
          <w:p w:rsidR="00E80FFA" w:rsidRPr="00A21FC1" w:rsidRDefault="00E71E4A" w:rsidP="0053321F">
            <w:pPr>
              <w:spacing w:before="240" w:after="120"/>
              <w:rPr>
                <w:rFonts w:ascii="Calibri Light" w:hAnsi="Calibri Light"/>
                <w:b/>
              </w:rPr>
            </w:pPr>
            <w:r>
              <w:rPr>
                <w:rFonts w:ascii="Calibri Light" w:hAnsi="Calibri Light"/>
                <w:b/>
              </w:rPr>
              <w:t xml:space="preserve">3.  </w:t>
            </w:r>
            <w:r w:rsidR="00E80FFA" w:rsidRPr="00A21FC1">
              <w:rPr>
                <w:rFonts w:ascii="Calibri Light" w:hAnsi="Calibri Light"/>
                <w:b/>
              </w:rPr>
              <w:t>Performance of approved authorities in exporting countries</w:t>
            </w:r>
          </w:p>
        </w:tc>
      </w:tr>
      <w:tr w:rsidR="00E80FFA" w:rsidRPr="00E80FFA" w:rsidTr="0034511C">
        <w:tc>
          <w:tcPr>
            <w:tcW w:w="9782" w:type="dxa"/>
            <w:shd w:val="clear" w:color="auto" w:fill="F2DBDB"/>
            <w:vAlign w:val="center"/>
          </w:tcPr>
          <w:p w:rsidR="00E80FFA" w:rsidRPr="00A21FC1" w:rsidRDefault="00E80FFA" w:rsidP="00AC3FB7">
            <w:pPr>
              <w:spacing w:before="120" w:after="120"/>
              <w:ind w:left="720"/>
              <w:rPr>
                <w:rFonts w:ascii="Calibri Light" w:eastAsia="Times New Roman" w:hAnsi="Calibri Light" w:cs="TimesNewRoman"/>
                <w:color w:val="010101"/>
                <w:sz w:val="20"/>
                <w:szCs w:val="20"/>
              </w:rPr>
            </w:pPr>
            <w:r w:rsidRPr="00A21FC1">
              <w:rPr>
                <w:rFonts w:ascii="Calibri Light" w:eastAsia="Times New Roman" w:hAnsi="Calibri Light" w:cs="TimesNewRoman"/>
                <w:color w:val="010101"/>
                <w:sz w:val="20"/>
                <w:szCs w:val="20"/>
              </w:rPr>
              <w:t>Th</w:t>
            </w:r>
            <w:r w:rsidR="004B3650">
              <w:rPr>
                <w:rFonts w:ascii="Calibri Light" w:eastAsia="Times New Roman" w:hAnsi="Calibri Light" w:cs="TimesNewRoman"/>
                <w:color w:val="010101"/>
                <w:sz w:val="20"/>
                <w:szCs w:val="20"/>
              </w:rPr>
              <w:t>e department</w:t>
            </w:r>
            <w:r w:rsidRPr="00A21FC1">
              <w:rPr>
                <w:rFonts w:ascii="Calibri Light" w:eastAsia="Times New Roman" w:hAnsi="Calibri Light" w:cs="TimesNewRoman"/>
                <w:color w:val="010101"/>
                <w:sz w:val="20"/>
                <w:szCs w:val="20"/>
              </w:rPr>
              <w:t xml:space="preserve"> </w:t>
            </w:r>
            <w:r w:rsidR="00AC3FB7">
              <w:rPr>
                <w:rFonts w:ascii="Calibri Light" w:eastAsia="Times New Roman" w:hAnsi="Calibri Light" w:cs="TimesNewRoman"/>
                <w:color w:val="010101"/>
                <w:sz w:val="20"/>
                <w:szCs w:val="20"/>
              </w:rPr>
              <w:t xml:space="preserve">has </w:t>
            </w:r>
            <w:r w:rsidRPr="00A21FC1">
              <w:rPr>
                <w:rFonts w:ascii="Calibri Light" w:eastAsia="Times New Roman" w:hAnsi="Calibri Light" w:cs="TimesNewRoman"/>
                <w:color w:val="010101"/>
                <w:sz w:val="20"/>
                <w:szCs w:val="20"/>
              </w:rPr>
              <w:t>implement</w:t>
            </w:r>
            <w:r w:rsidR="00AC3FB7">
              <w:rPr>
                <w:rFonts w:ascii="Calibri Light" w:eastAsia="Times New Roman" w:hAnsi="Calibri Light" w:cs="TimesNewRoman"/>
                <w:color w:val="010101"/>
                <w:sz w:val="20"/>
                <w:szCs w:val="20"/>
              </w:rPr>
              <w:t>ed</w:t>
            </w:r>
            <w:r w:rsidRPr="00A21FC1">
              <w:rPr>
                <w:rFonts w:ascii="Calibri Light" w:eastAsia="Times New Roman" w:hAnsi="Calibri Light" w:cs="TimesNewRoman"/>
                <w:color w:val="010101"/>
                <w:sz w:val="20"/>
                <w:szCs w:val="20"/>
              </w:rPr>
              <w:t xml:space="preserve"> a formal monitoring and review process for approved overseas sources of nursery stock. </w:t>
            </w:r>
            <w:r w:rsidR="00AC3FB7">
              <w:rPr>
                <w:rFonts w:ascii="Calibri Light" w:eastAsia="Times New Roman" w:hAnsi="Calibri Light" w:cs="TimesNewRoman"/>
                <w:color w:val="010101"/>
                <w:sz w:val="20"/>
                <w:szCs w:val="20"/>
              </w:rPr>
              <w:t>All approved sources have been asked to reapply, and informed that each facility will be subject to biennial review.</w:t>
            </w:r>
          </w:p>
        </w:tc>
      </w:tr>
      <w:tr w:rsidR="00E80FFA" w:rsidRPr="00E80FFA" w:rsidTr="0034511C">
        <w:tc>
          <w:tcPr>
            <w:tcW w:w="9782" w:type="dxa"/>
            <w:shd w:val="clear" w:color="auto" w:fill="F2DBDB"/>
            <w:vAlign w:val="center"/>
          </w:tcPr>
          <w:p w:rsidR="00E80FFA" w:rsidRPr="00A21FC1" w:rsidRDefault="00E80FFA" w:rsidP="00AC3FB7">
            <w:pPr>
              <w:spacing w:before="120" w:after="120"/>
              <w:ind w:left="720"/>
              <w:rPr>
                <w:rFonts w:ascii="Calibri Light" w:eastAsia="Times New Roman" w:hAnsi="Calibri Light" w:cs="TimesNewRoman"/>
                <w:color w:val="010101"/>
                <w:sz w:val="20"/>
                <w:szCs w:val="20"/>
              </w:rPr>
            </w:pPr>
            <w:r w:rsidRPr="00A21FC1">
              <w:rPr>
                <w:rFonts w:ascii="Calibri Light" w:eastAsia="Times New Roman" w:hAnsi="Calibri Light" w:cs="TimesNewRoman"/>
                <w:color w:val="010101"/>
                <w:sz w:val="20"/>
                <w:szCs w:val="20"/>
              </w:rPr>
              <w:t>Th</w:t>
            </w:r>
            <w:r w:rsidR="004B3650">
              <w:rPr>
                <w:rFonts w:ascii="Calibri Light" w:eastAsia="Times New Roman" w:hAnsi="Calibri Light" w:cs="TimesNewRoman"/>
                <w:color w:val="010101"/>
                <w:sz w:val="20"/>
                <w:szCs w:val="20"/>
              </w:rPr>
              <w:t>e department</w:t>
            </w:r>
            <w:r w:rsidRPr="00A21FC1">
              <w:rPr>
                <w:rFonts w:ascii="Calibri Light" w:eastAsia="Times New Roman" w:hAnsi="Calibri Light" w:cs="TimesNewRoman"/>
                <w:color w:val="010101"/>
                <w:sz w:val="20"/>
                <w:szCs w:val="20"/>
              </w:rPr>
              <w:t xml:space="preserve"> </w:t>
            </w:r>
            <w:r w:rsidR="00AC3FB7">
              <w:rPr>
                <w:rFonts w:ascii="Calibri Light" w:eastAsia="Times New Roman" w:hAnsi="Calibri Light" w:cs="TimesNewRoman"/>
                <w:color w:val="010101"/>
                <w:sz w:val="20"/>
                <w:szCs w:val="20"/>
              </w:rPr>
              <w:t xml:space="preserve">provides feedback to </w:t>
            </w:r>
            <w:r w:rsidRPr="00A21FC1">
              <w:rPr>
                <w:rFonts w:ascii="Calibri Light" w:eastAsia="Times New Roman" w:hAnsi="Calibri Light" w:cs="TimesNewRoman"/>
                <w:color w:val="010101"/>
                <w:sz w:val="20"/>
                <w:szCs w:val="20"/>
              </w:rPr>
              <w:t>N</w:t>
            </w:r>
            <w:r w:rsidR="004B3650">
              <w:rPr>
                <w:rFonts w:ascii="Calibri Light" w:eastAsia="Times New Roman" w:hAnsi="Calibri Light" w:cs="TimesNewRoman"/>
                <w:color w:val="010101"/>
                <w:sz w:val="20"/>
                <w:szCs w:val="20"/>
              </w:rPr>
              <w:t xml:space="preserve">ational </w:t>
            </w:r>
            <w:r w:rsidRPr="00A21FC1">
              <w:rPr>
                <w:rFonts w:ascii="Calibri Light" w:eastAsia="Times New Roman" w:hAnsi="Calibri Light" w:cs="TimesNewRoman"/>
                <w:color w:val="010101"/>
                <w:sz w:val="20"/>
                <w:szCs w:val="20"/>
              </w:rPr>
              <w:t>P</w:t>
            </w:r>
            <w:r w:rsidR="004B3650">
              <w:rPr>
                <w:rFonts w:ascii="Calibri Light" w:eastAsia="Times New Roman" w:hAnsi="Calibri Light" w:cs="TimesNewRoman"/>
                <w:color w:val="010101"/>
                <w:sz w:val="20"/>
                <w:szCs w:val="20"/>
              </w:rPr>
              <w:t xml:space="preserve">lant </w:t>
            </w:r>
            <w:r w:rsidRPr="00A21FC1">
              <w:rPr>
                <w:rFonts w:ascii="Calibri Light" w:eastAsia="Times New Roman" w:hAnsi="Calibri Light" w:cs="TimesNewRoman"/>
                <w:color w:val="010101"/>
                <w:sz w:val="20"/>
                <w:szCs w:val="20"/>
              </w:rPr>
              <w:t>P</w:t>
            </w:r>
            <w:r w:rsidR="004B3650">
              <w:rPr>
                <w:rFonts w:ascii="Calibri Light" w:eastAsia="Times New Roman" w:hAnsi="Calibri Light" w:cs="TimesNewRoman"/>
                <w:color w:val="010101"/>
                <w:sz w:val="20"/>
                <w:szCs w:val="20"/>
              </w:rPr>
              <w:t xml:space="preserve">rotection </w:t>
            </w:r>
            <w:r w:rsidRPr="00A21FC1">
              <w:rPr>
                <w:rFonts w:ascii="Calibri Light" w:eastAsia="Times New Roman" w:hAnsi="Calibri Light" w:cs="TimesNewRoman"/>
                <w:color w:val="010101"/>
                <w:sz w:val="20"/>
                <w:szCs w:val="20"/>
              </w:rPr>
              <w:t>O</w:t>
            </w:r>
            <w:r w:rsidR="004B3650">
              <w:rPr>
                <w:rFonts w:ascii="Calibri Light" w:eastAsia="Times New Roman" w:hAnsi="Calibri Light" w:cs="TimesNewRoman"/>
                <w:color w:val="010101"/>
                <w:sz w:val="20"/>
                <w:szCs w:val="20"/>
              </w:rPr>
              <w:t>rganisation</w:t>
            </w:r>
            <w:r w:rsidR="00AC3FB7">
              <w:rPr>
                <w:rFonts w:ascii="Calibri Light" w:eastAsia="Times New Roman" w:hAnsi="Calibri Light" w:cs="TimesNewRoman"/>
                <w:color w:val="010101"/>
                <w:sz w:val="20"/>
                <w:szCs w:val="20"/>
              </w:rPr>
              <w:t>s</w:t>
            </w:r>
            <w:r w:rsidRPr="00A21FC1">
              <w:rPr>
                <w:rFonts w:ascii="Calibri Light" w:eastAsia="Times New Roman" w:hAnsi="Calibri Light" w:cs="TimesNewRoman"/>
                <w:color w:val="010101"/>
                <w:sz w:val="20"/>
                <w:szCs w:val="20"/>
              </w:rPr>
              <w:t xml:space="preserve"> of the approved source</w:t>
            </w:r>
            <w:r w:rsidR="00AC3FB7">
              <w:rPr>
                <w:rFonts w:ascii="Calibri Light" w:eastAsia="Times New Roman" w:hAnsi="Calibri Light" w:cs="TimesNewRoman"/>
                <w:color w:val="010101"/>
                <w:sz w:val="20"/>
                <w:szCs w:val="20"/>
              </w:rPr>
              <w:t>’</w:t>
            </w:r>
            <w:r w:rsidRPr="00A21FC1">
              <w:rPr>
                <w:rFonts w:ascii="Calibri Light" w:eastAsia="Times New Roman" w:hAnsi="Calibri Light" w:cs="TimesNewRoman"/>
                <w:color w:val="010101"/>
                <w:sz w:val="20"/>
                <w:szCs w:val="20"/>
              </w:rPr>
              <w:t>s home country</w:t>
            </w:r>
            <w:r w:rsidR="00AC3FB7">
              <w:rPr>
                <w:rFonts w:ascii="Calibri Light" w:eastAsia="Times New Roman" w:hAnsi="Calibri Light" w:cs="TimesNewRoman"/>
                <w:color w:val="010101"/>
                <w:sz w:val="20"/>
                <w:szCs w:val="20"/>
              </w:rPr>
              <w:t>, in the event of a non-compliance incident or issue.</w:t>
            </w:r>
            <w:r w:rsidRPr="00A21FC1">
              <w:rPr>
                <w:rFonts w:ascii="Calibri Light" w:eastAsia="Times New Roman" w:hAnsi="Calibri Light" w:cs="TimesNewRoman"/>
                <w:color w:val="010101"/>
                <w:sz w:val="20"/>
                <w:szCs w:val="20"/>
              </w:rPr>
              <w:t xml:space="preserve"> </w:t>
            </w:r>
          </w:p>
        </w:tc>
      </w:tr>
      <w:tr w:rsidR="00E80FFA" w:rsidRPr="00E80FFA" w:rsidTr="0034511C">
        <w:tc>
          <w:tcPr>
            <w:tcW w:w="9782" w:type="dxa"/>
            <w:shd w:val="clear" w:color="auto" w:fill="F2DBDB"/>
            <w:vAlign w:val="center"/>
          </w:tcPr>
          <w:p w:rsidR="00E80FFA" w:rsidRPr="00A21FC1" w:rsidRDefault="00AC3FB7" w:rsidP="009976C8">
            <w:pPr>
              <w:spacing w:before="120" w:after="120"/>
              <w:ind w:left="720"/>
              <w:rPr>
                <w:rFonts w:ascii="Calibri Light" w:eastAsia="Times New Roman" w:hAnsi="Calibri Light" w:cs="TimesNewRoman"/>
                <w:color w:val="010101"/>
                <w:sz w:val="20"/>
                <w:szCs w:val="20"/>
              </w:rPr>
            </w:pPr>
            <w:r>
              <w:rPr>
                <w:rFonts w:ascii="Calibri Light" w:eastAsia="Times New Roman" w:hAnsi="Calibri Light" w:cs="TimesNewRoman"/>
                <w:color w:val="010101"/>
                <w:sz w:val="20"/>
                <w:szCs w:val="20"/>
              </w:rPr>
              <w:t xml:space="preserve">Biosecurity reforms being trialled by the </w:t>
            </w:r>
            <w:r w:rsidR="009976C8">
              <w:rPr>
                <w:rFonts w:ascii="Calibri Light" w:eastAsia="Times New Roman" w:hAnsi="Calibri Light" w:cs="TimesNewRoman"/>
                <w:color w:val="010101"/>
                <w:sz w:val="20"/>
                <w:szCs w:val="20"/>
              </w:rPr>
              <w:t>department</w:t>
            </w:r>
            <w:r>
              <w:rPr>
                <w:rFonts w:ascii="Calibri Light" w:eastAsia="Times New Roman" w:hAnsi="Calibri Light" w:cs="TimesNewRoman"/>
                <w:color w:val="010101"/>
                <w:sz w:val="20"/>
                <w:szCs w:val="20"/>
              </w:rPr>
              <w:t xml:space="preserve"> include a system of monitoring the performance of countries exporting ornamental fish</w:t>
            </w:r>
            <w:r w:rsidR="009976C8">
              <w:rPr>
                <w:rFonts w:ascii="Calibri Light" w:eastAsia="Times New Roman" w:hAnsi="Calibri Light" w:cs="TimesNewRoman"/>
                <w:color w:val="010101"/>
                <w:sz w:val="20"/>
                <w:szCs w:val="20"/>
              </w:rPr>
              <w:t>, to check they meet Australia’s biosecurity requirements. This system provides evidence-based means of directing resources towards those countries that pose the highest risks, based on surveillance data.</w:t>
            </w:r>
          </w:p>
        </w:tc>
      </w:tr>
      <w:tr w:rsidR="00E80FFA" w:rsidRPr="0053321F" w:rsidTr="000A05B4">
        <w:tc>
          <w:tcPr>
            <w:tcW w:w="9782" w:type="dxa"/>
            <w:shd w:val="clear" w:color="auto" w:fill="D99594"/>
            <w:vAlign w:val="center"/>
          </w:tcPr>
          <w:p w:rsidR="00E80FFA" w:rsidRPr="00A21FC1" w:rsidRDefault="004B3650" w:rsidP="0053321F">
            <w:pPr>
              <w:spacing w:before="240" w:after="120"/>
              <w:rPr>
                <w:rFonts w:ascii="Calibri Light" w:hAnsi="Calibri Light"/>
                <w:b/>
              </w:rPr>
            </w:pPr>
            <w:r>
              <w:rPr>
                <w:rFonts w:ascii="Calibri Light" w:hAnsi="Calibri Light"/>
                <w:b/>
              </w:rPr>
              <w:t xml:space="preserve">4.  </w:t>
            </w:r>
            <w:r w:rsidR="00E80FFA" w:rsidRPr="00A21FC1">
              <w:rPr>
                <w:rFonts w:ascii="Calibri Light" w:hAnsi="Calibri Light"/>
                <w:b/>
              </w:rPr>
              <w:t>Assessment and processing of import</w:t>
            </w:r>
            <w:r w:rsidR="001704F4">
              <w:rPr>
                <w:rFonts w:ascii="Calibri Light" w:hAnsi="Calibri Light"/>
                <w:b/>
              </w:rPr>
              <w:t>/export</w:t>
            </w:r>
            <w:r w:rsidR="00E80FFA" w:rsidRPr="00A21FC1">
              <w:rPr>
                <w:rFonts w:ascii="Calibri Light" w:hAnsi="Calibri Light"/>
                <w:b/>
              </w:rPr>
              <w:t xml:space="preserve"> documents</w:t>
            </w:r>
          </w:p>
        </w:tc>
      </w:tr>
      <w:tr w:rsidR="00E80FFA" w:rsidRPr="00E80FFA" w:rsidTr="0034511C">
        <w:tc>
          <w:tcPr>
            <w:tcW w:w="9782" w:type="dxa"/>
            <w:shd w:val="clear" w:color="auto" w:fill="F2DBDB"/>
            <w:vAlign w:val="center"/>
          </w:tcPr>
          <w:p w:rsidR="00E80FFA" w:rsidRPr="00A21FC1" w:rsidRDefault="009976C8" w:rsidP="009976C8">
            <w:pPr>
              <w:spacing w:before="120" w:after="120"/>
              <w:ind w:left="720"/>
              <w:rPr>
                <w:rFonts w:ascii="Calibri Light" w:eastAsia="Times New Roman" w:hAnsi="Calibri Light" w:cs="TimesNewRoman"/>
                <w:color w:val="010101"/>
                <w:sz w:val="20"/>
                <w:szCs w:val="20"/>
              </w:rPr>
            </w:pPr>
            <w:r>
              <w:rPr>
                <w:rFonts w:ascii="Calibri Light" w:eastAsia="Times New Roman" w:hAnsi="Calibri Light" w:cs="TimesNewRoman"/>
                <w:color w:val="010101"/>
                <w:sz w:val="20"/>
                <w:szCs w:val="20"/>
              </w:rPr>
              <w:t>For imported food inspections, the inspecting officer is being provided with</w:t>
            </w:r>
            <w:r w:rsidR="00E80FFA" w:rsidRPr="00A21FC1">
              <w:rPr>
                <w:rFonts w:ascii="Calibri Light" w:eastAsia="Times New Roman" w:hAnsi="Calibri Light" w:cs="TimesNewRoman"/>
                <w:color w:val="010101"/>
                <w:sz w:val="20"/>
                <w:szCs w:val="20"/>
              </w:rPr>
              <w:t xml:space="preserve"> copies of the consignment documents originally submitted by importers/brokers for assessment.</w:t>
            </w:r>
            <w:r>
              <w:rPr>
                <w:rFonts w:ascii="Calibri Light" w:eastAsia="Times New Roman" w:hAnsi="Calibri Light" w:cs="TimesNewRoman"/>
                <w:color w:val="010101"/>
                <w:sz w:val="20"/>
                <w:szCs w:val="20"/>
              </w:rPr>
              <w:t xml:space="preserve">  This procedure will be progressively streamlined, as the new mobile technology is implemented.</w:t>
            </w:r>
          </w:p>
        </w:tc>
      </w:tr>
      <w:tr w:rsidR="00E80FFA" w:rsidRPr="00E80FFA" w:rsidTr="0034511C">
        <w:tc>
          <w:tcPr>
            <w:tcW w:w="9782" w:type="dxa"/>
            <w:shd w:val="clear" w:color="auto" w:fill="F2DBDB"/>
            <w:vAlign w:val="center"/>
          </w:tcPr>
          <w:p w:rsidR="00E80FFA" w:rsidRPr="00A21FC1" w:rsidRDefault="00E80FFA" w:rsidP="004B3650">
            <w:pPr>
              <w:spacing w:before="120" w:after="120"/>
              <w:ind w:left="720"/>
              <w:rPr>
                <w:rFonts w:ascii="Calibri Light" w:eastAsia="Times New Roman" w:hAnsi="Calibri Light" w:cs="TimesNewRoman"/>
                <w:color w:val="010101"/>
                <w:sz w:val="20"/>
                <w:szCs w:val="20"/>
              </w:rPr>
            </w:pPr>
            <w:r w:rsidRPr="00A21FC1">
              <w:rPr>
                <w:rFonts w:ascii="Calibri Light" w:eastAsia="Times New Roman" w:hAnsi="Calibri Light" w:cs="TimesNewRoman"/>
                <w:color w:val="010101"/>
                <w:sz w:val="20"/>
                <w:szCs w:val="20"/>
              </w:rPr>
              <w:t>Th</w:t>
            </w:r>
            <w:r w:rsidR="004B3650">
              <w:rPr>
                <w:rFonts w:ascii="Calibri Light" w:eastAsia="Times New Roman" w:hAnsi="Calibri Light" w:cs="TimesNewRoman"/>
                <w:color w:val="010101"/>
                <w:sz w:val="20"/>
                <w:szCs w:val="20"/>
              </w:rPr>
              <w:t>e department</w:t>
            </w:r>
            <w:r w:rsidRPr="00A21FC1">
              <w:rPr>
                <w:rFonts w:ascii="Calibri Light" w:eastAsia="Times New Roman" w:hAnsi="Calibri Light" w:cs="TimesNewRoman"/>
                <w:color w:val="010101"/>
                <w:sz w:val="20"/>
                <w:szCs w:val="20"/>
              </w:rPr>
              <w:t xml:space="preserve"> </w:t>
            </w:r>
            <w:r w:rsidR="009976C8">
              <w:rPr>
                <w:rFonts w:ascii="Calibri Light" w:eastAsia="Times New Roman" w:hAnsi="Calibri Light" w:cs="TimesNewRoman"/>
                <w:color w:val="010101"/>
                <w:sz w:val="20"/>
                <w:szCs w:val="20"/>
              </w:rPr>
              <w:t xml:space="preserve">has </w:t>
            </w:r>
            <w:r w:rsidR="00177011">
              <w:rPr>
                <w:rFonts w:ascii="Calibri Light" w:eastAsia="Times New Roman" w:hAnsi="Calibri Light" w:cs="TimesNewRoman"/>
                <w:color w:val="010101"/>
                <w:sz w:val="20"/>
                <w:szCs w:val="20"/>
              </w:rPr>
              <w:t>considered</w:t>
            </w:r>
            <w:r w:rsidRPr="00A21FC1">
              <w:rPr>
                <w:rFonts w:ascii="Calibri Light" w:eastAsia="Times New Roman" w:hAnsi="Calibri Light" w:cs="TimesNewRoman"/>
                <w:color w:val="010101"/>
                <w:sz w:val="20"/>
                <w:szCs w:val="20"/>
              </w:rPr>
              <w:t xml:space="preserve"> the organisational culture of staff with biosecurity-related responsibilities to ascertain any need for clarification of the degrees of emphasis to be placed on regulatory functions and timeliness of import clearance.</w:t>
            </w:r>
            <w:r w:rsidR="00177011">
              <w:rPr>
                <w:rFonts w:ascii="Calibri Light" w:eastAsia="Times New Roman" w:hAnsi="Calibri Light" w:cs="TimesNewRoman"/>
                <w:color w:val="010101"/>
                <w:sz w:val="20"/>
                <w:szCs w:val="20"/>
              </w:rPr>
              <w:t xml:space="preserve">  </w:t>
            </w:r>
            <w:r w:rsidR="006B0130">
              <w:rPr>
                <w:rFonts w:ascii="Calibri Light" w:eastAsia="Times New Roman" w:hAnsi="Calibri Light" w:cs="TimesNewRoman"/>
                <w:color w:val="010101"/>
                <w:sz w:val="20"/>
                <w:szCs w:val="20"/>
              </w:rPr>
              <w:t xml:space="preserve">Revised </w:t>
            </w:r>
            <w:r w:rsidR="0031130B">
              <w:rPr>
                <w:rFonts w:ascii="Calibri Light" w:eastAsia="Times New Roman" w:hAnsi="Calibri Light" w:cs="TimesNewRoman"/>
                <w:color w:val="010101"/>
                <w:sz w:val="20"/>
                <w:szCs w:val="20"/>
              </w:rPr>
              <w:t>eLearning and face-to-face training packages</w:t>
            </w:r>
            <w:r w:rsidR="006B0130">
              <w:rPr>
                <w:rFonts w:ascii="Calibri Light" w:eastAsia="Times New Roman" w:hAnsi="Calibri Light" w:cs="TimesNewRoman"/>
                <w:color w:val="010101"/>
                <w:sz w:val="20"/>
                <w:szCs w:val="20"/>
              </w:rPr>
              <w:t xml:space="preserve"> emphasise officers’ regulatory responsibilities, balanced with the needs of clients.</w:t>
            </w:r>
          </w:p>
        </w:tc>
      </w:tr>
      <w:tr w:rsidR="00E80FFA" w:rsidRPr="008A46DD" w:rsidTr="0034511C">
        <w:tc>
          <w:tcPr>
            <w:tcW w:w="9782" w:type="dxa"/>
            <w:shd w:val="clear" w:color="auto" w:fill="F2DBDB"/>
            <w:vAlign w:val="center"/>
          </w:tcPr>
          <w:p w:rsidR="00E80FFA" w:rsidRPr="008A46DD" w:rsidRDefault="00E80FFA" w:rsidP="006B0130">
            <w:pPr>
              <w:spacing w:before="120" w:after="120"/>
              <w:ind w:left="720"/>
              <w:rPr>
                <w:rFonts w:ascii="Calibri Light" w:eastAsia="Times New Roman" w:hAnsi="Calibri Light" w:cs="TimesNewRoman"/>
                <w:color w:val="010101"/>
                <w:sz w:val="20"/>
                <w:szCs w:val="20"/>
              </w:rPr>
            </w:pPr>
            <w:r w:rsidRPr="008A46DD">
              <w:rPr>
                <w:rFonts w:ascii="Calibri Light" w:eastAsia="Times New Roman" w:hAnsi="Calibri Light" w:cs="TimesNewRoman"/>
                <w:color w:val="010101"/>
                <w:sz w:val="20"/>
                <w:szCs w:val="20"/>
              </w:rPr>
              <w:lastRenderedPageBreak/>
              <w:t>Th</w:t>
            </w:r>
            <w:r w:rsidR="004B3650">
              <w:rPr>
                <w:rFonts w:ascii="Calibri Light" w:eastAsia="Times New Roman" w:hAnsi="Calibri Light" w:cs="TimesNewRoman"/>
                <w:color w:val="010101"/>
                <w:sz w:val="20"/>
                <w:szCs w:val="20"/>
              </w:rPr>
              <w:t>e department</w:t>
            </w:r>
            <w:r w:rsidRPr="008A46DD">
              <w:rPr>
                <w:rFonts w:ascii="Calibri Light" w:eastAsia="Times New Roman" w:hAnsi="Calibri Light" w:cs="TimesNewRoman"/>
                <w:color w:val="010101"/>
                <w:sz w:val="20"/>
                <w:szCs w:val="20"/>
              </w:rPr>
              <w:t xml:space="preserve"> </w:t>
            </w:r>
            <w:r w:rsidR="006B0130">
              <w:rPr>
                <w:rFonts w:ascii="Calibri Light" w:eastAsia="Times New Roman" w:hAnsi="Calibri Light" w:cs="TimesNewRoman"/>
                <w:color w:val="010101"/>
                <w:sz w:val="20"/>
                <w:szCs w:val="20"/>
              </w:rPr>
              <w:t xml:space="preserve">has </w:t>
            </w:r>
            <w:r w:rsidRPr="008A46DD">
              <w:rPr>
                <w:rFonts w:ascii="Calibri Light" w:eastAsia="Times New Roman" w:hAnsi="Calibri Light" w:cs="TimesNewRoman"/>
                <w:color w:val="010101"/>
                <w:sz w:val="20"/>
                <w:szCs w:val="20"/>
              </w:rPr>
              <w:t>consider</w:t>
            </w:r>
            <w:r w:rsidR="006B0130">
              <w:rPr>
                <w:rFonts w:ascii="Calibri Light" w:eastAsia="Times New Roman" w:hAnsi="Calibri Light" w:cs="TimesNewRoman"/>
                <w:color w:val="010101"/>
                <w:sz w:val="20"/>
                <w:szCs w:val="20"/>
              </w:rPr>
              <w:t>ed possible</w:t>
            </w:r>
            <w:r w:rsidRPr="008A46DD">
              <w:rPr>
                <w:rFonts w:ascii="Calibri Light" w:eastAsia="Times New Roman" w:hAnsi="Calibri Light" w:cs="TimesNewRoman"/>
                <w:color w:val="010101"/>
                <w:sz w:val="20"/>
                <w:szCs w:val="20"/>
              </w:rPr>
              <w:t xml:space="preserve"> modifications to </w:t>
            </w:r>
            <w:r w:rsidR="006B0130">
              <w:rPr>
                <w:rFonts w:ascii="Calibri Light" w:eastAsia="Times New Roman" w:hAnsi="Calibri Light" w:cs="TimesNewRoman"/>
                <w:color w:val="010101"/>
                <w:sz w:val="20"/>
                <w:szCs w:val="20"/>
              </w:rPr>
              <w:t>the</w:t>
            </w:r>
            <w:r w:rsidRPr="008A46DD">
              <w:rPr>
                <w:rFonts w:ascii="Calibri Light" w:eastAsia="Times New Roman" w:hAnsi="Calibri Light" w:cs="TimesNewRoman"/>
                <w:color w:val="010101"/>
                <w:sz w:val="20"/>
                <w:szCs w:val="20"/>
              </w:rPr>
              <w:t xml:space="preserve"> export documentation system (EXDOC) to allow automated control checks before issuing export certificates for abalone.</w:t>
            </w:r>
            <w:r w:rsidR="006B0130">
              <w:rPr>
                <w:rFonts w:ascii="Calibri Light" w:eastAsia="Times New Roman" w:hAnsi="Calibri Light" w:cs="TimesNewRoman"/>
                <w:color w:val="010101"/>
                <w:sz w:val="20"/>
                <w:szCs w:val="20"/>
              </w:rPr>
              <w:t xml:space="preserve">  However this can only be achieved when state authorities develop an abalone management strategy, with defined harvest areas and controls.</w:t>
            </w:r>
          </w:p>
        </w:tc>
      </w:tr>
      <w:tr w:rsidR="00E80FFA" w:rsidRPr="00E80FFA" w:rsidTr="0034511C">
        <w:tc>
          <w:tcPr>
            <w:tcW w:w="9782" w:type="dxa"/>
            <w:shd w:val="clear" w:color="auto" w:fill="F2DBDB"/>
            <w:vAlign w:val="center"/>
          </w:tcPr>
          <w:p w:rsidR="00E80FFA" w:rsidRPr="00E80FFA" w:rsidRDefault="006B0130" w:rsidP="006B0130">
            <w:pPr>
              <w:spacing w:before="120" w:after="120"/>
              <w:ind w:left="720"/>
              <w:rPr>
                <w:rFonts w:ascii="Calibri Light" w:eastAsia="Times New Roman" w:hAnsi="Calibri Light" w:cs="TimesNewRoman"/>
                <w:color w:val="010101"/>
                <w:sz w:val="20"/>
                <w:szCs w:val="20"/>
              </w:rPr>
            </w:pPr>
            <w:r>
              <w:rPr>
                <w:rFonts w:ascii="Calibri Light" w:eastAsia="Times New Roman" w:hAnsi="Calibri Light" w:cs="TimesNewRoman"/>
                <w:color w:val="010101"/>
                <w:sz w:val="20"/>
                <w:szCs w:val="20"/>
              </w:rPr>
              <w:t>The department will</w:t>
            </w:r>
            <w:r w:rsidR="00E80FFA" w:rsidRPr="00A21FC1">
              <w:rPr>
                <w:rFonts w:ascii="Calibri Light" w:eastAsia="Times New Roman" w:hAnsi="Calibri Light" w:cs="TimesNewRoman"/>
                <w:color w:val="010101"/>
                <w:sz w:val="20"/>
                <w:szCs w:val="20"/>
              </w:rPr>
              <w:t xml:space="preserve"> continue to move processing and assessment of all import documentation to the back office, away from the front counter</w:t>
            </w:r>
            <w:r>
              <w:rPr>
                <w:rFonts w:ascii="Calibri Light" w:eastAsia="Times New Roman" w:hAnsi="Calibri Light" w:cs="TimesNewRoman"/>
                <w:color w:val="010101"/>
                <w:sz w:val="20"/>
                <w:szCs w:val="20"/>
              </w:rPr>
              <w:t xml:space="preserve">, to allow </w:t>
            </w:r>
            <w:r w:rsidR="00E80FFA" w:rsidRPr="00A21FC1">
              <w:rPr>
                <w:rFonts w:ascii="Calibri Light" w:eastAsia="Times New Roman" w:hAnsi="Calibri Light" w:cs="TimesNewRoman"/>
                <w:color w:val="010101"/>
                <w:sz w:val="20"/>
                <w:szCs w:val="20"/>
              </w:rPr>
              <w:t xml:space="preserve">complex entries </w:t>
            </w:r>
            <w:r>
              <w:rPr>
                <w:rFonts w:ascii="Calibri Light" w:eastAsia="Times New Roman" w:hAnsi="Calibri Light" w:cs="TimesNewRoman"/>
                <w:color w:val="010101"/>
                <w:sz w:val="20"/>
                <w:szCs w:val="20"/>
              </w:rPr>
              <w:t>to be</w:t>
            </w:r>
            <w:r w:rsidR="00E80FFA" w:rsidRPr="00A21FC1">
              <w:rPr>
                <w:rFonts w:ascii="Calibri Light" w:eastAsia="Times New Roman" w:hAnsi="Calibri Light" w:cs="TimesNewRoman"/>
                <w:color w:val="010101"/>
                <w:sz w:val="20"/>
                <w:szCs w:val="20"/>
              </w:rPr>
              <w:t xml:space="preserve"> referred to more experienced staff.</w:t>
            </w:r>
            <w:r>
              <w:rPr>
                <w:rFonts w:ascii="Calibri Light" w:eastAsia="Times New Roman" w:hAnsi="Calibri Light" w:cs="TimesNewRoman"/>
                <w:color w:val="010101"/>
                <w:sz w:val="20"/>
                <w:szCs w:val="20"/>
              </w:rPr>
              <w:t xml:space="preserve">  The implementation of the Cargo Online Management System (COLS) should </w:t>
            </w:r>
            <w:r w:rsidR="001762B6">
              <w:rPr>
                <w:rFonts w:ascii="Calibri Light" w:eastAsia="Times New Roman" w:hAnsi="Calibri Light" w:cs="TimesNewRoman"/>
                <w:color w:val="010101"/>
                <w:sz w:val="20"/>
                <w:szCs w:val="20"/>
              </w:rPr>
              <w:t xml:space="preserve">also </w:t>
            </w:r>
            <w:r>
              <w:rPr>
                <w:rFonts w:ascii="Calibri Light" w:eastAsia="Times New Roman" w:hAnsi="Calibri Light" w:cs="TimesNewRoman"/>
                <w:color w:val="010101"/>
                <w:sz w:val="20"/>
                <w:szCs w:val="20"/>
              </w:rPr>
              <w:t>facilitate this process.</w:t>
            </w:r>
          </w:p>
        </w:tc>
      </w:tr>
      <w:tr w:rsidR="00E80FFA" w:rsidRPr="00E80FFA" w:rsidTr="000A05B4">
        <w:tc>
          <w:tcPr>
            <w:tcW w:w="9782" w:type="dxa"/>
            <w:shd w:val="clear" w:color="auto" w:fill="D99594"/>
            <w:vAlign w:val="center"/>
          </w:tcPr>
          <w:p w:rsidR="00E80FFA" w:rsidRPr="00E80FFA" w:rsidRDefault="004B3650" w:rsidP="0053321F">
            <w:pPr>
              <w:spacing w:before="240" w:after="120"/>
              <w:rPr>
                <w:rFonts w:ascii="Calibri Light" w:hAnsi="Calibri Light"/>
                <w:b/>
              </w:rPr>
            </w:pPr>
            <w:r>
              <w:rPr>
                <w:rFonts w:ascii="Calibri Light" w:hAnsi="Calibri Light"/>
                <w:b/>
              </w:rPr>
              <w:t xml:space="preserve">5.  </w:t>
            </w:r>
            <w:r w:rsidR="00E80FFA" w:rsidRPr="00A21FC1">
              <w:rPr>
                <w:rFonts w:ascii="Calibri Light" w:hAnsi="Calibri Light"/>
                <w:b/>
              </w:rPr>
              <w:t>Strategic and operational intelligence capabilities</w:t>
            </w:r>
          </w:p>
        </w:tc>
      </w:tr>
      <w:tr w:rsidR="00E80FFA" w:rsidRPr="00E80FFA" w:rsidTr="0034511C">
        <w:tc>
          <w:tcPr>
            <w:tcW w:w="9782" w:type="dxa"/>
            <w:shd w:val="clear" w:color="auto" w:fill="F2DBDB"/>
            <w:vAlign w:val="center"/>
          </w:tcPr>
          <w:p w:rsidR="00E80FFA" w:rsidRPr="00A21FC1" w:rsidRDefault="00E80FFA" w:rsidP="001762B6">
            <w:pPr>
              <w:spacing w:before="120" w:after="120"/>
              <w:ind w:left="720"/>
              <w:rPr>
                <w:rFonts w:ascii="Calibri Light" w:eastAsia="Times New Roman" w:hAnsi="Calibri Light" w:cs="TimesNewRoman"/>
                <w:color w:val="010101"/>
                <w:sz w:val="20"/>
                <w:szCs w:val="20"/>
              </w:rPr>
            </w:pPr>
            <w:r w:rsidRPr="00A21FC1">
              <w:rPr>
                <w:rFonts w:ascii="Calibri Light" w:eastAsia="Times New Roman" w:hAnsi="Calibri Light" w:cs="TimesNewRoman"/>
                <w:color w:val="010101"/>
                <w:sz w:val="20"/>
                <w:szCs w:val="20"/>
              </w:rPr>
              <w:t>Th</w:t>
            </w:r>
            <w:r w:rsidR="004B3650">
              <w:rPr>
                <w:rFonts w:ascii="Calibri Light" w:eastAsia="Times New Roman" w:hAnsi="Calibri Light" w:cs="TimesNewRoman"/>
                <w:color w:val="010101"/>
                <w:sz w:val="20"/>
                <w:szCs w:val="20"/>
              </w:rPr>
              <w:t>e department</w:t>
            </w:r>
            <w:r w:rsidRPr="00A21FC1">
              <w:rPr>
                <w:rFonts w:ascii="Calibri Light" w:eastAsia="Times New Roman" w:hAnsi="Calibri Light" w:cs="TimesNewRoman"/>
                <w:color w:val="010101"/>
                <w:sz w:val="20"/>
                <w:szCs w:val="20"/>
              </w:rPr>
              <w:t xml:space="preserve"> </w:t>
            </w:r>
            <w:r w:rsidR="001762B6">
              <w:rPr>
                <w:rFonts w:ascii="Calibri Light" w:eastAsia="Times New Roman" w:hAnsi="Calibri Light" w:cs="TimesNewRoman"/>
                <w:color w:val="010101"/>
                <w:sz w:val="20"/>
                <w:szCs w:val="20"/>
              </w:rPr>
              <w:t xml:space="preserve">has </w:t>
            </w:r>
            <w:r w:rsidRPr="00A21FC1">
              <w:rPr>
                <w:rFonts w:ascii="Calibri Light" w:eastAsia="Times New Roman" w:hAnsi="Calibri Light" w:cs="TimesNewRoman"/>
                <w:color w:val="010101"/>
                <w:sz w:val="20"/>
                <w:szCs w:val="20"/>
              </w:rPr>
              <w:t>improve</w:t>
            </w:r>
            <w:r w:rsidR="001762B6">
              <w:rPr>
                <w:rFonts w:ascii="Calibri Light" w:eastAsia="Times New Roman" w:hAnsi="Calibri Light" w:cs="TimesNewRoman"/>
                <w:color w:val="010101"/>
                <w:sz w:val="20"/>
                <w:szCs w:val="20"/>
              </w:rPr>
              <w:t>d</w:t>
            </w:r>
            <w:r w:rsidRPr="00A21FC1">
              <w:rPr>
                <w:rFonts w:ascii="Calibri Light" w:eastAsia="Times New Roman" w:hAnsi="Calibri Light" w:cs="TimesNewRoman"/>
                <w:color w:val="010101"/>
                <w:sz w:val="20"/>
                <w:szCs w:val="20"/>
              </w:rPr>
              <w:t xml:space="preserve"> its analytical and predictive functions by expanding its strategic and operational intelligence capabilities, </w:t>
            </w:r>
            <w:r w:rsidR="001762B6">
              <w:rPr>
                <w:rFonts w:ascii="Calibri Light" w:eastAsia="Times New Roman" w:hAnsi="Calibri Light" w:cs="TimesNewRoman"/>
                <w:color w:val="010101"/>
                <w:sz w:val="20"/>
                <w:szCs w:val="20"/>
              </w:rPr>
              <w:t>through the development of several operational/strategic intelligence products.  These reports aim to provide an integrated picture of the sea cargo threat and current compliance policy.</w:t>
            </w:r>
          </w:p>
        </w:tc>
      </w:tr>
      <w:tr w:rsidR="00E80FFA" w:rsidRPr="00E80FFA" w:rsidTr="0034511C">
        <w:tc>
          <w:tcPr>
            <w:tcW w:w="9782" w:type="dxa"/>
            <w:shd w:val="clear" w:color="auto" w:fill="F2DBDB"/>
            <w:vAlign w:val="center"/>
          </w:tcPr>
          <w:p w:rsidR="00E80FFA" w:rsidRPr="00A21FC1" w:rsidRDefault="00E80FFA" w:rsidP="006738E1">
            <w:pPr>
              <w:spacing w:before="120" w:after="120"/>
              <w:ind w:left="720"/>
              <w:rPr>
                <w:rFonts w:ascii="Calibri Light" w:eastAsia="Times New Roman" w:hAnsi="Calibri Light" w:cs="TimesNewRoman"/>
                <w:color w:val="010101"/>
                <w:sz w:val="20"/>
                <w:szCs w:val="20"/>
              </w:rPr>
            </w:pPr>
            <w:r w:rsidRPr="00A21FC1">
              <w:rPr>
                <w:rFonts w:ascii="Calibri Light" w:eastAsia="Times New Roman" w:hAnsi="Calibri Light" w:cs="TimesNewRoman"/>
                <w:color w:val="010101"/>
                <w:sz w:val="20"/>
                <w:szCs w:val="20"/>
              </w:rPr>
              <w:t>Th</w:t>
            </w:r>
            <w:r w:rsidR="004B3650">
              <w:rPr>
                <w:rFonts w:ascii="Calibri Light" w:eastAsia="Times New Roman" w:hAnsi="Calibri Light" w:cs="TimesNewRoman"/>
                <w:color w:val="010101"/>
                <w:sz w:val="20"/>
                <w:szCs w:val="20"/>
              </w:rPr>
              <w:t>e department</w:t>
            </w:r>
            <w:r w:rsidR="001762B6">
              <w:rPr>
                <w:rFonts w:ascii="Calibri Light" w:eastAsia="Times New Roman" w:hAnsi="Calibri Light" w:cs="TimesNewRoman"/>
                <w:color w:val="010101"/>
                <w:sz w:val="20"/>
                <w:szCs w:val="20"/>
              </w:rPr>
              <w:t xml:space="preserve">’s targeted campaign methodology has been improved, testing compliance of consignments from countries </w:t>
            </w:r>
            <w:r w:rsidR="006738E1">
              <w:rPr>
                <w:rFonts w:ascii="Calibri Light" w:eastAsia="Times New Roman" w:hAnsi="Calibri Light" w:cs="TimesNewRoman"/>
                <w:color w:val="010101"/>
                <w:sz w:val="20"/>
                <w:szCs w:val="20"/>
              </w:rPr>
              <w:t>where a significant change in animal disease status has occurred.</w:t>
            </w:r>
          </w:p>
        </w:tc>
      </w:tr>
      <w:tr w:rsidR="00E80FFA" w:rsidRPr="00E80FFA" w:rsidTr="000A05B4">
        <w:tc>
          <w:tcPr>
            <w:tcW w:w="9782" w:type="dxa"/>
            <w:shd w:val="clear" w:color="auto" w:fill="D99594"/>
            <w:vAlign w:val="center"/>
          </w:tcPr>
          <w:p w:rsidR="00E80FFA" w:rsidRPr="00E80FFA" w:rsidRDefault="004B3650" w:rsidP="001762B6">
            <w:pPr>
              <w:spacing w:before="240" w:after="120"/>
              <w:rPr>
                <w:rFonts w:ascii="Calibri Light" w:hAnsi="Calibri Light"/>
                <w:b/>
              </w:rPr>
            </w:pPr>
            <w:r>
              <w:rPr>
                <w:rFonts w:ascii="Calibri Light" w:hAnsi="Calibri Light"/>
                <w:b/>
              </w:rPr>
              <w:t xml:space="preserve">6.  </w:t>
            </w:r>
            <w:r w:rsidR="00E80FFA" w:rsidRPr="00A21FC1">
              <w:rPr>
                <w:rFonts w:ascii="Calibri Light" w:hAnsi="Calibri Light"/>
                <w:b/>
              </w:rPr>
              <w:t>Electronic lodgement of documents</w:t>
            </w:r>
          </w:p>
        </w:tc>
      </w:tr>
      <w:tr w:rsidR="00E80FFA" w:rsidRPr="00E80FFA" w:rsidTr="0034511C">
        <w:tc>
          <w:tcPr>
            <w:tcW w:w="9782" w:type="dxa"/>
            <w:shd w:val="clear" w:color="auto" w:fill="F2DBDB"/>
            <w:vAlign w:val="center"/>
          </w:tcPr>
          <w:p w:rsidR="00E80FFA" w:rsidRPr="00A21FC1" w:rsidRDefault="00E80FFA" w:rsidP="006738E1">
            <w:pPr>
              <w:spacing w:before="120" w:after="120"/>
              <w:ind w:left="720"/>
              <w:rPr>
                <w:rFonts w:ascii="Calibri Light" w:eastAsia="Times New Roman" w:hAnsi="Calibri Light" w:cs="TimesNewRoman"/>
                <w:color w:val="010101"/>
                <w:sz w:val="20"/>
                <w:szCs w:val="20"/>
              </w:rPr>
            </w:pPr>
            <w:r w:rsidRPr="00A21FC1">
              <w:rPr>
                <w:rFonts w:ascii="Calibri Light" w:eastAsia="Times New Roman" w:hAnsi="Calibri Light" w:cs="TimesNewRoman"/>
                <w:color w:val="010101"/>
                <w:sz w:val="20"/>
                <w:szCs w:val="20"/>
              </w:rPr>
              <w:t>The department</w:t>
            </w:r>
            <w:r w:rsidR="006738E1">
              <w:rPr>
                <w:rFonts w:ascii="Calibri Light" w:eastAsia="Times New Roman" w:hAnsi="Calibri Light" w:cs="TimesNewRoman"/>
                <w:color w:val="010101"/>
                <w:sz w:val="20"/>
                <w:szCs w:val="20"/>
              </w:rPr>
              <w:t xml:space="preserve">’s implementation of the Cargo Online Management System (COLS) </w:t>
            </w:r>
            <w:r w:rsidRPr="00A21FC1">
              <w:rPr>
                <w:rFonts w:ascii="Calibri Light" w:eastAsia="Times New Roman" w:hAnsi="Calibri Light" w:cs="TimesNewRoman"/>
                <w:color w:val="010101"/>
                <w:sz w:val="20"/>
                <w:szCs w:val="20"/>
              </w:rPr>
              <w:t xml:space="preserve">should </w:t>
            </w:r>
            <w:r w:rsidR="006738E1">
              <w:rPr>
                <w:rFonts w:ascii="Calibri Light" w:eastAsia="Times New Roman" w:hAnsi="Calibri Light" w:cs="TimesNewRoman"/>
                <w:color w:val="010101"/>
                <w:sz w:val="20"/>
                <w:szCs w:val="20"/>
              </w:rPr>
              <w:t>provide further</w:t>
            </w:r>
            <w:r w:rsidRPr="00A21FC1">
              <w:rPr>
                <w:rFonts w:ascii="Calibri Light" w:eastAsia="Times New Roman" w:hAnsi="Calibri Light" w:cs="TimesNewRoman"/>
                <w:color w:val="010101"/>
                <w:sz w:val="20"/>
                <w:szCs w:val="20"/>
              </w:rPr>
              <w:t xml:space="preserve"> incentives to encourage </w:t>
            </w:r>
            <w:r w:rsidR="006738E1">
              <w:rPr>
                <w:rFonts w:ascii="Calibri Light" w:eastAsia="Times New Roman" w:hAnsi="Calibri Light" w:cs="TimesNewRoman"/>
                <w:color w:val="010101"/>
                <w:sz w:val="20"/>
                <w:szCs w:val="20"/>
              </w:rPr>
              <w:t>increased</w:t>
            </w:r>
            <w:r w:rsidRPr="00A21FC1">
              <w:rPr>
                <w:rFonts w:ascii="Calibri Light" w:eastAsia="Times New Roman" w:hAnsi="Calibri Light" w:cs="TimesNewRoman"/>
                <w:color w:val="010101"/>
                <w:sz w:val="20"/>
                <w:szCs w:val="20"/>
              </w:rPr>
              <w:t xml:space="preserve"> electronic lodgement of entries and accurate declarations.</w:t>
            </w:r>
          </w:p>
        </w:tc>
      </w:tr>
    </w:tbl>
    <w:p w:rsidR="006461BE" w:rsidRDefault="006461BE" w:rsidP="00CD2B8F">
      <w:pPr>
        <w:pStyle w:val="Heading2"/>
        <w:spacing w:after="120"/>
        <w:jc w:val="right"/>
        <w:rPr>
          <w:rFonts w:ascii="Calibri Light" w:hAnsi="Calibri Light"/>
        </w:rPr>
        <w:sectPr w:rsidR="006461BE" w:rsidSect="00EC6BD5">
          <w:headerReference w:type="default" r:id="rId13"/>
          <w:pgSz w:w="11906" w:h="16838"/>
          <w:pgMar w:top="709" w:right="1133" w:bottom="568" w:left="1797" w:header="709" w:footer="709" w:gutter="0"/>
          <w:cols w:space="708"/>
          <w:docGrid w:linePitch="360"/>
        </w:sectPr>
      </w:pPr>
    </w:p>
    <w:tbl>
      <w:tblPr>
        <w:tblW w:w="10207" w:type="dxa"/>
        <w:tblInd w:w="-743" w:type="dxa"/>
        <w:tblBorders>
          <w:top w:val="nil"/>
          <w:left w:val="nil"/>
          <w:bottom w:val="nil"/>
          <w:right w:val="nil"/>
        </w:tblBorders>
        <w:tblLayout w:type="fixed"/>
        <w:tblLook w:val="0000"/>
      </w:tblPr>
      <w:tblGrid>
        <w:gridCol w:w="2127"/>
        <w:gridCol w:w="8080"/>
      </w:tblGrid>
      <w:tr w:rsidR="006461BE" w:rsidRPr="00A21FC1" w:rsidTr="0012547B">
        <w:trPr>
          <w:trHeight w:val="513"/>
        </w:trPr>
        <w:tc>
          <w:tcPr>
            <w:tcW w:w="2127" w:type="dxa"/>
          </w:tcPr>
          <w:p w:rsidR="006461BE" w:rsidRPr="00A21FC1" w:rsidRDefault="006461BE" w:rsidP="00B47389">
            <w:pPr>
              <w:autoSpaceDE w:val="0"/>
              <w:autoSpaceDN w:val="0"/>
              <w:adjustRightInd w:val="0"/>
              <w:spacing w:line="276" w:lineRule="auto"/>
              <w:rPr>
                <w:rFonts w:ascii="Calibri Light" w:eastAsia="Calibri" w:hAnsi="Calibri Light" w:cs="Calibri"/>
                <w:color w:val="000000"/>
                <w:lang w:eastAsia="en-US"/>
              </w:rPr>
            </w:pPr>
          </w:p>
        </w:tc>
        <w:tc>
          <w:tcPr>
            <w:tcW w:w="8080" w:type="dxa"/>
          </w:tcPr>
          <w:p w:rsidR="006461BE" w:rsidRPr="00872227" w:rsidRDefault="006461BE" w:rsidP="00922427">
            <w:pPr>
              <w:pStyle w:val="Heading2"/>
              <w:spacing w:before="160"/>
              <w:jc w:val="right"/>
              <w:rPr>
                <w:rFonts w:ascii="Calibri Light" w:hAnsi="Calibri Light"/>
              </w:rPr>
            </w:pPr>
            <w:bookmarkStart w:id="13" w:name="_Toc421009985"/>
            <w:r w:rsidRPr="00872227">
              <w:rPr>
                <w:rFonts w:ascii="Calibri Light" w:hAnsi="Calibri Light"/>
              </w:rPr>
              <w:t>Acronyms/Abbreviations</w:t>
            </w:r>
            <w:bookmarkEnd w:id="13"/>
          </w:p>
        </w:tc>
      </w:tr>
      <w:tr w:rsidR="00AB2867" w:rsidRPr="00A21FC1" w:rsidTr="0012547B">
        <w:trPr>
          <w:trHeight w:val="513"/>
        </w:trPr>
        <w:tc>
          <w:tcPr>
            <w:tcW w:w="2127" w:type="dxa"/>
          </w:tcPr>
          <w:p w:rsidR="00AB2867"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AQIS</w:t>
            </w:r>
          </w:p>
        </w:tc>
        <w:tc>
          <w:tcPr>
            <w:tcW w:w="8080" w:type="dxa"/>
          </w:tcPr>
          <w:p w:rsidR="00AB2867"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Department of Agriculture (formerly Australian Quarantine and Inspection Service)</w:t>
            </w:r>
          </w:p>
        </w:tc>
      </w:tr>
      <w:tr w:rsidR="00AB2867" w:rsidRPr="00A21FC1" w:rsidTr="0012547B">
        <w:trPr>
          <w:trHeight w:val="513"/>
        </w:trPr>
        <w:tc>
          <w:tcPr>
            <w:tcW w:w="2127" w:type="dxa"/>
          </w:tcPr>
          <w:p w:rsidR="00AB2867"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AIMS</w:t>
            </w:r>
          </w:p>
        </w:tc>
        <w:tc>
          <w:tcPr>
            <w:tcW w:w="8080" w:type="dxa"/>
          </w:tcPr>
          <w:p w:rsidR="00AB2867" w:rsidRPr="00A21FC1" w:rsidRDefault="003E7DE9"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 xml:space="preserve">AQIS </w:t>
            </w:r>
            <w:r w:rsidR="0010721A" w:rsidRPr="00A21FC1">
              <w:rPr>
                <w:rFonts w:ascii="Calibri Light" w:eastAsia="Calibri" w:hAnsi="Calibri Light" w:cs="Calibri"/>
                <w:color w:val="000000"/>
                <w:lang w:eastAsia="en-US"/>
              </w:rPr>
              <w:t>Import Management System</w:t>
            </w:r>
          </w:p>
        </w:tc>
      </w:tr>
      <w:tr w:rsidR="00A84564" w:rsidRPr="00A21FC1" w:rsidTr="0012547B">
        <w:trPr>
          <w:trHeight w:val="513"/>
        </w:trPr>
        <w:tc>
          <w:tcPr>
            <w:tcW w:w="2127" w:type="dxa"/>
          </w:tcPr>
          <w:p w:rsidR="00A84564" w:rsidRPr="00A21FC1" w:rsidRDefault="00A84564"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ASQAP</w:t>
            </w:r>
          </w:p>
        </w:tc>
        <w:tc>
          <w:tcPr>
            <w:tcW w:w="8080" w:type="dxa"/>
          </w:tcPr>
          <w:p w:rsidR="00A84564" w:rsidRPr="00A21FC1" w:rsidRDefault="00A84564"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Australian Shellfish Quality Assurance Program</w:t>
            </w:r>
          </w:p>
        </w:tc>
      </w:tr>
      <w:tr w:rsidR="00AB2867" w:rsidRPr="00A21FC1" w:rsidTr="0012547B">
        <w:trPr>
          <w:trHeight w:val="513"/>
        </w:trPr>
        <w:tc>
          <w:tcPr>
            <w:tcW w:w="2127" w:type="dxa"/>
          </w:tcPr>
          <w:p w:rsidR="00AB2867" w:rsidRPr="00A21FC1" w:rsidRDefault="00AB2867" w:rsidP="00CD2B8F">
            <w:pPr>
              <w:tabs>
                <w:tab w:val="right" w:pos="1911"/>
              </w:tabs>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AVA</w:t>
            </w:r>
          </w:p>
        </w:tc>
        <w:tc>
          <w:tcPr>
            <w:tcW w:w="8080" w:type="dxa"/>
          </w:tcPr>
          <w:p w:rsidR="00AB2867"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proofErr w:type="spellStart"/>
            <w:r w:rsidRPr="00A21FC1">
              <w:rPr>
                <w:rFonts w:ascii="Calibri Light" w:eastAsia="Calibri" w:hAnsi="Calibri Light" w:cs="Calibri"/>
                <w:color w:val="000000"/>
                <w:lang w:eastAsia="en-US"/>
              </w:rPr>
              <w:t>Agri</w:t>
            </w:r>
            <w:proofErr w:type="spellEnd"/>
            <w:r w:rsidRPr="00A21FC1">
              <w:rPr>
                <w:rFonts w:ascii="Calibri Light" w:eastAsia="Calibri" w:hAnsi="Calibri Light" w:cs="Calibri"/>
                <w:color w:val="000000"/>
                <w:lang w:eastAsia="en-US"/>
              </w:rPr>
              <w:t xml:space="preserve">-Food and Veterinary Authority </w:t>
            </w:r>
            <w:r w:rsidR="00CD2B8F" w:rsidRPr="00A21FC1">
              <w:rPr>
                <w:rFonts w:ascii="Calibri Light" w:eastAsia="Calibri" w:hAnsi="Calibri Light" w:cs="Calibri"/>
                <w:color w:val="000000"/>
                <w:lang w:eastAsia="en-US"/>
              </w:rPr>
              <w:t>(Singapore)</w:t>
            </w:r>
          </w:p>
        </w:tc>
      </w:tr>
      <w:tr w:rsidR="001B2DAB" w:rsidRPr="00A21FC1" w:rsidTr="0012547B">
        <w:trPr>
          <w:trHeight w:val="513"/>
        </w:trPr>
        <w:tc>
          <w:tcPr>
            <w:tcW w:w="2127" w:type="dxa"/>
          </w:tcPr>
          <w:p w:rsidR="001B2DAB" w:rsidRPr="00A21FC1" w:rsidRDefault="001B2DAB"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Beale review</w:t>
            </w:r>
          </w:p>
        </w:tc>
        <w:tc>
          <w:tcPr>
            <w:tcW w:w="8080" w:type="dxa"/>
          </w:tcPr>
          <w:p w:rsidR="001B2DAB" w:rsidRPr="00A21FC1" w:rsidRDefault="003E7DE9" w:rsidP="003E7DE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i/>
                <w:color w:val="000000"/>
                <w:lang w:eastAsia="en-US"/>
              </w:rPr>
              <w:t xml:space="preserve">One Biosecurity – A working partnership </w:t>
            </w:r>
            <w:r w:rsidRPr="00A21FC1">
              <w:rPr>
                <w:rFonts w:ascii="Calibri Light" w:eastAsia="Calibri" w:hAnsi="Calibri Light" w:cs="Calibri"/>
                <w:color w:val="000000"/>
                <w:lang w:eastAsia="en-US"/>
              </w:rPr>
              <w:t>(</w:t>
            </w:r>
            <w:r w:rsidR="00A84564" w:rsidRPr="00A21FC1">
              <w:rPr>
                <w:rFonts w:ascii="Calibri Light" w:eastAsia="Calibri" w:hAnsi="Calibri Light" w:cs="Calibri"/>
                <w:color w:val="000000"/>
                <w:lang w:eastAsia="en-US"/>
              </w:rPr>
              <w:t xml:space="preserve">Review of Australia's </w:t>
            </w:r>
            <w:r w:rsidRPr="00A21FC1">
              <w:rPr>
                <w:rFonts w:ascii="Calibri Light" w:eastAsia="Calibri" w:hAnsi="Calibri Light" w:cs="Calibri"/>
                <w:color w:val="000000"/>
                <w:lang w:eastAsia="en-US"/>
              </w:rPr>
              <w:t>q</w:t>
            </w:r>
            <w:r w:rsidR="00A84564" w:rsidRPr="00A21FC1">
              <w:rPr>
                <w:rFonts w:ascii="Calibri Light" w:eastAsia="Calibri" w:hAnsi="Calibri Light" w:cs="Calibri"/>
                <w:color w:val="000000"/>
                <w:lang w:eastAsia="en-US"/>
              </w:rPr>
              <w:t xml:space="preserve">uarantine and </w:t>
            </w:r>
            <w:r w:rsidRPr="00A21FC1">
              <w:rPr>
                <w:rFonts w:ascii="Calibri Light" w:eastAsia="Calibri" w:hAnsi="Calibri Light" w:cs="Calibri"/>
                <w:color w:val="000000"/>
                <w:lang w:eastAsia="en-US"/>
              </w:rPr>
              <w:t>b</w:t>
            </w:r>
            <w:r w:rsidR="00A84564" w:rsidRPr="00A21FC1">
              <w:rPr>
                <w:rFonts w:ascii="Calibri Light" w:eastAsia="Calibri" w:hAnsi="Calibri Light" w:cs="Calibri"/>
                <w:color w:val="000000"/>
                <w:lang w:eastAsia="en-US"/>
              </w:rPr>
              <w:t xml:space="preserve">iosecurity </w:t>
            </w:r>
            <w:r w:rsidRPr="00A21FC1">
              <w:rPr>
                <w:rFonts w:ascii="Calibri Light" w:eastAsia="Calibri" w:hAnsi="Calibri Light" w:cs="Calibri"/>
                <w:color w:val="000000"/>
                <w:lang w:eastAsia="en-US"/>
              </w:rPr>
              <w:t>a</w:t>
            </w:r>
            <w:r w:rsidR="00A84564" w:rsidRPr="00A21FC1">
              <w:rPr>
                <w:rFonts w:ascii="Calibri Light" w:eastAsia="Calibri" w:hAnsi="Calibri Light" w:cs="Calibri"/>
                <w:color w:val="000000"/>
                <w:lang w:eastAsia="en-US"/>
              </w:rPr>
              <w:t>rrangements</w:t>
            </w:r>
            <w:r w:rsidRPr="00A21FC1">
              <w:rPr>
                <w:rFonts w:ascii="Calibri Light" w:eastAsia="Calibri" w:hAnsi="Calibri Light" w:cs="Calibri"/>
                <w:color w:val="000000"/>
                <w:lang w:eastAsia="en-US"/>
              </w:rPr>
              <w:t>, 2008)</w:t>
            </w:r>
          </w:p>
        </w:tc>
      </w:tr>
      <w:tr w:rsidR="00AB2867" w:rsidRPr="00A21FC1" w:rsidTr="0012547B">
        <w:trPr>
          <w:trHeight w:val="513"/>
        </w:trPr>
        <w:tc>
          <w:tcPr>
            <w:tcW w:w="2127" w:type="dxa"/>
          </w:tcPr>
          <w:p w:rsidR="00AB2867"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Biosecurity Australia</w:t>
            </w:r>
          </w:p>
        </w:tc>
        <w:tc>
          <w:tcPr>
            <w:tcW w:w="8080" w:type="dxa"/>
          </w:tcPr>
          <w:p w:rsidR="00AB2867" w:rsidRPr="00A21FC1" w:rsidRDefault="00A93305"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 xml:space="preserve">Department of Agriculture Animal </w:t>
            </w:r>
            <w:r w:rsidR="000D311A" w:rsidRPr="00A21FC1">
              <w:rPr>
                <w:rFonts w:ascii="Calibri Light" w:eastAsia="Calibri" w:hAnsi="Calibri Light" w:cs="Calibri"/>
                <w:color w:val="000000"/>
                <w:lang w:eastAsia="en-US"/>
              </w:rPr>
              <w:t xml:space="preserve">Biosecurity </w:t>
            </w:r>
            <w:r w:rsidRPr="00A21FC1">
              <w:rPr>
                <w:rFonts w:ascii="Calibri Light" w:eastAsia="Calibri" w:hAnsi="Calibri Light" w:cs="Calibri"/>
                <w:color w:val="000000"/>
                <w:lang w:eastAsia="en-US"/>
              </w:rPr>
              <w:t>and Plant Biosecurity Divisions</w:t>
            </w:r>
          </w:p>
        </w:tc>
      </w:tr>
      <w:tr w:rsidR="00AB2867" w:rsidRPr="00A21FC1" w:rsidTr="0012547B">
        <w:trPr>
          <w:trHeight w:val="513"/>
        </w:trPr>
        <w:tc>
          <w:tcPr>
            <w:tcW w:w="2127" w:type="dxa"/>
          </w:tcPr>
          <w:p w:rsidR="00AB2867"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BSG</w:t>
            </w:r>
          </w:p>
        </w:tc>
        <w:tc>
          <w:tcPr>
            <w:tcW w:w="8080" w:type="dxa"/>
          </w:tcPr>
          <w:p w:rsidR="00AB2867" w:rsidRPr="00A21FC1" w:rsidRDefault="00A84564"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Department of Agriculture Biosecurity Divisions (formerly Biosecurity Services Group)</w:t>
            </w:r>
          </w:p>
        </w:tc>
      </w:tr>
      <w:tr w:rsidR="00302123" w:rsidRPr="00A21FC1" w:rsidTr="0012547B">
        <w:trPr>
          <w:trHeight w:val="513"/>
        </w:trPr>
        <w:tc>
          <w:tcPr>
            <w:tcW w:w="2127" w:type="dxa"/>
          </w:tcPr>
          <w:p w:rsidR="00302123" w:rsidRPr="00A21FC1" w:rsidRDefault="00302123" w:rsidP="00B47389">
            <w:pPr>
              <w:autoSpaceDE w:val="0"/>
              <w:autoSpaceDN w:val="0"/>
              <w:adjustRightInd w:val="0"/>
              <w:spacing w:line="276" w:lineRule="auto"/>
              <w:rPr>
                <w:rFonts w:ascii="Calibri Light" w:eastAsia="Calibri" w:hAnsi="Calibri Light" w:cs="Calibri"/>
                <w:color w:val="000000"/>
                <w:lang w:eastAsia="en-US"/>
              </w:rPr>
            </w:pPr>
            <w:r>
              <w:rPr>
                <w:rFonts w:ascii="Calibri Light" w:eastAsia="Calibri" w:hAnsi="Calibri Light" w:cs="Calibri"/>
                <w:color w:val="000000"/>
                <w:lang w:eastAsia="en-US"/>
              </w:rPr>
              <w:t>COLS</w:t>
            </w:r>
          </w:p>
        </w:tc>
        <w:tc>
          <w:tcPr>
            <w:tcW w:w="8080" w:type="dxa"/>
          </w:tcPr>
          <w:p w:rsidR="00302123" w:rsidRPr="00A21FC1" w:rsidRDefault="00302123" w:rsidP="00B47389">
            <w:pPr>
              <w:autoSpaceDE w:val="0"/>
              <w:autoSpaceDN w:val="0"/>
              <w:adjustRightInd w:val="0"/>
              <w:spacing w:line="276" w:lineRule="auto"/>
              <w:rPr>
                <w:rFonts w:ascii="Calibri Light" w:eastAsia="Calibri" w:hAnsi="Calibri Light" w:cs="Calibri"/>
                <w:color w:val="000000"/>
                <w:lang w:eastAsia="en-US"/>
              </w:rPr>
            </w:pPr>
            <w:r>
              <w:rPr>
                <w:rFonts w:ascii="Calibri Light" w:eastAsia="Calibri" w:hAnsi="Calibri Light" w:cs="Calibri"/>
                <w:color w:val="000000"/>
                <w:lang w:eastAsia="en-US"/>
              </w:rPr>
              <w:t>Cargo Online Lodgement System</w:t>
            </w:r>
          </w:p>
        </w:tc>
      </w:tr>
      <w:tr w:rsidR="00A15D5B" w:rsidRPr="00A21FC1" w:rsidTr="0012547B">
        <w:trPr>
          <w:trHeight w:val="513"/>
        </w:trPr>
        <w:tc>
          <w:tcPr>
            <w:tcW w:w="2127" w:type="dxa"/>
          </w:tcPr>
          <w:p w:rsidR="00A15D5B" w:rsidRPr="00A21FC1" w:rsidRDefault="00A15D5B"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DAFF</w:t>
            </w:r>
          </w:p>
        </w:tc>
        <w:tc>
          <w:tcPr>
            <w:tcW w:w="8080" w:type="dxa"/>
          </w:tcPr>
          <w:p w:rsidR="00A15D5B" w:rsidRPr="00A21FC1" w:rsidRDefault="00A15D5B"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Department of Agriculture (formerly Department of Agriculture, Fisheries and Forestry)</w:t>
            </w:r>
          </w:p>
        </w:tc>
      </w:tr>
      <w:tr w:rsidR="00AB2867" w:rsidRPr="00A21FC1" w:rsidTr="0012547B">
        <w:trPr>
          <w:trHeight w:val="513"/>
        </w:trPr>
        <w:tc>
          <w:tcPr>
            <w:tcW w:w="2127" w:type="dxa"/>
          </w:tcPr>
          <w:p w:rsidR="00AB2867"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eTRAC</w:t>
            </w:r>
          </w:p>
        </w:tc>
        <w:tc>
          <w:tcPr>
            <w:tcW w:w="8080" w:type="dxa"/>
          </w:tcPr>
          <w:p w:rsidR="00AB2867"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 xml:space="preserve">Department of Agriculture database </w:t>
            </w:r>
            <w:r w:rsidR="00B47389" w:rsidRPr="00A21FC1">
              <w:rPr>
                <w:rFonts w:ascii="Calibri Light" w:eastAsia="Calibri" w:hAnsi="Calibri Light" w:cs="Calibri"/>
                <w:color w:val="000000"/>
                <w:lang w:eastAsia="en-US"/>
              </w:rPr>
              <w:t>for</w:t>
            </w:r>
            <w:r w:rsidRPr="00A21FC1">
              <w:rPr>
                <w:rFonts w:ascii="Calibri Light" w:eastAsia="Calibri" w:hAnsi="Calibri Light" w:cs="Calibri"/>
                <w:color w:val="000000"/>
                <w:lang w:eastAsia="en-US"/>
              </w:rPr>
              <w:t xml:space="preserve"> high-level actions and decisions</w:t>
            </w:r>
          </w:p>
        </w:tc>
      </w:tr>
      <w:tr w:rsidR="00A84564" w:rsidRPr="00A21FC1" w:rsidTr="0012547B">
        <w:trPr>
          <w:trHeight w:val="513"/>
        </w:trPr>
        <w:tc>
          <w:tcPr>
            <w:tcW w:w="2127" w:type="dxa"/>
          </w:tcPr>
          <w:p w:rsidR="00A84564" w:rsidRPr="00A21FC1" w:rsidRDefault="00A84564"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EXDOC</w:t>
            </w:r>
          </w:p>
        </w:tc>
        <w:tc>
          <w:tcPr>
            <w:tcW w:w="8080" w:type="dxa"/>
          </w:tcPr>
          <w:p w:rsidR="00A84564" w:rsidRPr="00A21FC1" w:rsidRDefault="00A84564"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Export documentation system</w:t>
            </w:r>
          </w:p>
        </w:tc>
      </w:tr>
      <w:tr w:rsidR="00A15D5B" w:rsidRPr="00A21FC1" w:rsidTr="0012547B">
        <w:trPr>
          <w:trHeight w:val="513"/>
        </w:trPr>
        <w:tc>
          <w:tcPr>
            <w:tcW w:w="2127" w:type="dxa"/>
          </w:tcPr>
          <w:p w:rsidR="00A15D5B"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HACCP</w:t>
            </w:r>
          </w:p>
        </w:tc>
        <w:tc>
          <w:tcPr>
            <w:tcW w:w="8080" w:type="dxa"/>
          </w:tcPr>
          <w:p w:rsidR="00A15D5B" w:rsidRPr="00A21FC1" w:rsidRDefault="004858DE"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Hazard analysis and critical control points</w:t>
            </w:r>
          </w:p>
        </w:tc>
      </w:tr>
      <w:tr w:rsidR="00A15D5B" w:rsidRPr="00A21FC1" w:rsidTr="0012547B">
        <w:trPr>
          <w:trHeight w:val="513"/>
        </w:trPr>
        <w:tc>
          <w:tcPr>
            <w:tcW w:w="2127" w:type="dxa"/>
          </w:tcPr>
          <w:p w:rsidR="00A15D5B"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IIGB</w:t>
            </w:r>
          </w:p>
        </w:tc>
        <w:tc>
          <w:tcPr>
            <w:tcW w:w="8080" w:type="dxa"/>
          </w:tcPr>
          <w:p w:rsidR="00A15D5B"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Interim Inspector-General of Biosecurity</w:t>
            </w:r>
          </w:p>
        </w:tc>
      </w:tr>
      <w:tr w:rsidR="00A15D5B" w:rsidRPr="00A21FC1" w:rsidTr="0012547B">
        <w:trPr>
          <w:trHeight w:val="513"/>
        </w:trPr>
        <w:tc>
          <w:tcPr>
            <w:tcW w:w="2127" w:type="dxa"/>
          </w:tcPr>
          <w:p w:rsidR="00A15D5B"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IIGHI</w:t>
            </w:r>
          </w:p>
        </w:tc>
        <w:tc>
          <w:tcPr>
            <w:tcW w:w="8080" w:type="dxa"/>
          </w:tcPr>
          <w:p w:rsidR="00A15D5B"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Interim Inspector-General of Horse Importation</w:t>
            </w:r>
          </w:p>
        </w:tc>
      </w:tr>
      <w:tr w:rsidR="00A15D5B" w:rsidRPr="00A21FC1" w:rsidTr="0012547B">
        <w:trPr>
          <w:trHeight w:val="513"/>
        </w:trPr>
        <w:tc>
          <w:tcPr>
            <w:tcW w:w="2127" w:type="dxa"/>
          </w:tcPr>
          <w:p w:rsidR="00A15D5B" w:rsidRPr="00A21FC1" w:rsidRDefault="001B2DAB"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IRA</w:t>
            </w:r>
          </w:p>
        </w:tc>
        <w:tc>
          <w:tcPr>
            <w:tcW w:w="8080" w:type="dxa"/>
          </w:tcPr>
          <w:p w:rsidR="00A15D5B" w:rsidRPr="00A21FC1" w:rsidRDefault="001B2DAB"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Import risk analysis</w:t>
            </w:r>
          </w:p>
        </w:tc>
      </w:tr>
      <w:tr w:rsidR="00A84564" w:rsidRPr="00A21FC1" w:rsidTr="0012547B">
        <w:trPr>
          <w:trHeight w:val="513"/>
        </w:trPr>
        <w:tc>
          <w:tcPr>
            <w:tcW w:w="2127" w:type="dxa"/>
          </w:tcPr>
          <w:p w:rsidR="00A84564" w:rsidRPr="00A21FC1" w:rsidRDefault="00A84564" w:rsidP="00B47389">
            <w:pPr>
              <w:autoSpaceDE w:val="0"/>
              <w:autoSpaceDN w:val="0"/>
              <w:adjustRightInd w:val="0"/>
              <w:spacing w:line="276" w:lineRule="auto"/>
              <w:rPr>
                <w:rFonts w:ascii="Calibri Light" w:eastAsia="Calibri" w:hAnsi="Calibri Light" w:cs="Calibri"/>
                <w:lang w:eastAsia="en-US"/>
              </w:rPr>
            </w:pPr>
            <w:r w:rsidRPr="00A21FC1">
              <w:rPr>
                <w:rFonts w:ascii="Calibri Light" w:eastAsia="Calibri" w:hAnsi="Calibri Light" w:cs="Calibri"/>
                <w:lang w:eastAsia="en-US"/>
              </w:rPr>
              <w:t>LHPA</w:t>
            </w:r>
          </w:p>
        </w:tc>
        <w:tc>
          <w:tcPr>
            <w:tcW w:w="8080" w:type="dxa"/>
          </w:tcPr>
          <w:p w:rsidR="00A84564" w:rsidRPr="00A21FC1" w:rsidRDefault="00A84564" w:rsidP="00B47389">
            <w:pPr>
              <w:autoSpaceDE w:val="0"/>
              <w:autoSpaceDN w:val="0"/>
              <w:adjustRightInd w:val="0"/>
              <w:spacing w:line="276" w:lineRule="auto"/>
              <w:rPr>
                <w:rFonts w:ascii="Calibri Light" w:eastAsia="Calibri" w:hAnsi="Calibri Light" w:cs="Calibri"/>
                <w:lang w:eastAsia="en-US"/>
              </w:rPr>
            </w:pPr>
            <w:r w:rsidRPr="00A21FC1">
              <w:rPr>
                <w:rFonts w:ascii="Calibri Light" w:eastAsia="Calibri" w:hAnsi="Calibri Light" w:cs="Calibri"/>
                <w:lang w:eastAsia="en-US"/>
              </w:rPr>
              <w:t>Livestock Health and Pest Authority</w:t>
            </w:r>
          </w:p>
        </w:tc>
      </w:tr>
      <w:tr w:rsidR="00A15D5B" w:rsidRPr="00A21FC1" w:rsidTr="0012547B">
        <w:trPr>
          <w:trHeight w:val="513"/>
        </w:trPr>
        <w:tc>
          <w:tcPr>
            <w:tcW w:w="2127" w:type="dxa"/>
          </w:tcPr>
          <w:p w:rsidR="00A15D5B" w:rsidRPr="00A21FC1" w:rsidRDefault="001B2DAB"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NATA</w:t>
            </w:r>
          </w:p>
        </w:tc>
        <w:tc>
          <w:tcPr>
            <w:tcW w:w="8080" w:type="dxa"/>
          </w:tcPr>
          <w:p w:rsidR="00A15D5B" w:rsidRPr="00A21FC1" w:rsidRDefault="001B2DAB"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National Association of Testing Authorities</w:t>
            </w:r>
          </w:p>
        </w:tc>
      </w:tr>
      <w:tr w:rsidR="001B2DAB" w:rsidRPr="00A21FC1" w:rsidTr="0012547B">
        <w:trPr>
          <w:trHeight w:val="513"/>
        </w:trPr>
        <w:tc>
          <w:tcPr>
            <w:tcW w:w="2127" w:type="dxa"/>
          </w:tcPr>
          <w:p w:rsidR="001B2DAB" w:rsidRPr="00A21FC1" w:rsidRDefault="001B2DAB"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NAQS</w:t>
            </w:r>
          </w:p>
        </w:tc>
        <w:tc>
          <w:tcPr>
            <w:tcW w:w="8080" w:type="dxa"/>
          </w:tcPr>
          <w:p w:rsidR="001B2DAB" w:rsidRPr="00A21FC1" w:rsidRDefault="00805756"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Northern Australian Quarantine Strategy</w:t>
            </w:r>
          </w:p>
        </w:tc>
      </w:tr>
      <w:tr w:rsidR="001B2DAB" w:rsidRPr="00A21FC1" w:rsidTr="0012547B">
        <w:trPr>
          <w:trHeight w:val="513"/>
        </w:trPr>
        <w:tc>
          <w:tcPr>
            <w:tcW w:w="2127" w:type="dxa"/>
          </w:tcPr>
          <w:p w:rsidR="001B2DAB" w:rsidRPr="00A21FC1" w:rsidRDefault="001B2DAB" w:rsidP="00B47389">
            <w:pPr>
              <w:tabs>
                <w:tab w:val="right" w:pos="1877"/>
              </w:tabs>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NPPO</w:t>
            </w:r>
          </w:p>
        </w:tc>
        <w:tc>
          <w:tcPr>
            <w:tcW w:w="8080" w:type="dxa"/>
          </w:tcPr>
          <w:p w:rsidR="001B2DAB" w:rsidRPr="00A21FC1" w:rsidRDefault="001B2DAB"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National Plant Protection Organisation</w:t>
            </w:r>
          </w:p>
        </w:tc>
      </w:tr>
      <w:tr w:rsidR="00A15D5B" w:rsidRPr="00A21FC1" w:rsidTr="0012547B">
        <w:trPr>
          <w:trHeight w:val="513"/>
        </w:trPr>
        <w:tc>
          <w:tcPr>
            <w:tcW w:w="2127" w:type="dxa"/>
          </w:tcPr>
          <w:p w:rsidR="00A15D5B" w:rsidRPr="00A21FC1" w:rsidRDefault="00AB2867" w:rsidP="00B47389">
            <w:pPr>
              <w:tabs>
                <w:tab w:val="right" w:pos="1877"/>
              </w:tabs>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PEQ</w:t>
            </w:r>
          </w:p>
        </w:tc>
        <w:tc>
          <w:tcPr>
            <w:tcW w:w="8080" w:type="dxa"/>
          </w:tcPr>
          <w:p w:rsidR="00A15D5B"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Pre-export quarantine</w:t>
            </w:r>
          </w:p>
        </w:tc>
      </w:tr>
      <w:tr w:rsidR="001B2DAB" w:rsidRPr="00A21FC1" w:rsidTr="0012547B">
        <w:trPr>
          <w:trHeight w:val="513"/>
        </w:trPr>
        <w:tc>
          <w:tcPr>
            <w:tcW w:w="2127" w:type="dxa"/>
          </w:tcPr>
          <w:p w:rsidR="001B2DAB" w:rsidRPr="00A21FC1" w:rsidRDefault="001B2DAB"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PST</w:t>
            </w:r>
          </w:p>
        </w:tc>
        <w:tc>
          <w:tcPr>
            <w:tcW w:w="8080" w:type="dxa"/>
          </w:tcPr>
          <w:p w:rsidR="001B2DAB" w:rsidRPr="00A21FC1" w:rsidRDefault="001B2DAB"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Paralytic shellfish toxin</w:t>
            </w:r>
          </w:p>
        </w:tc>
      </w:tr>
      <w:tr w:rsidR="001B2DAB" w:rsidRPr="00A21FC1" w:rsidTr="0012547B">
        <w:trPr>
          <w:trHeight w:val="513"/>
        </w:trPr>
        <w:tc>
          <w:tcPr>
            <w:tcW w:w="2127" w:type="dxa"/>
          </w:tcPr>
          <w:p w:rsidR="001B2DAB" w:rsidRPr="00A21FC1" w:rsidRDefault="001B2DAB"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QAP</w:t>
            </w:r>
          </w:p>
        </w:tc>
        <w:tc>
          <w:tcPr>
            <w:tcW w:w="8080" w:type="dxa"/>
          </w:tcPr>
          <w:p w:rsidR="001B2DAB" w:rsidRPr="00A21FC1" w:rsidRDefault="001B2DAB"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Quarantine Approved Premises</w:t>
            </w:r>
          </w:p>
        </w:tc>
      </w:tr>
      <w:tr w:rsidR="00A15D5B" w:rsidRPr="00A21FC1" w:rsidTr="0012547B">
        <w:trPr>
          <w:trHeight w:val="513"/>
        </w:trPr>
        <w:tc>
          <w:tcPr>
            <w:tcW w:w="2127" w:type="dxa"/>
          </w:tcPr>
          <w:p w:rsidR="00A15D5B"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RVL</w:t>
            </w:r>
          </w:p>
        </w:tc>
        <w:tc>
          <w:tcPr>
            <w:tcW w:w="8080" w:type="dxa"/>
          </w:tcPr>
          <w:p w:rsidR="00A15D5B"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Racing Victoria Limited</w:t>
            </w:r>
          </w:p>
        </w:tc>
      </w:tr>
      <w:tr w:rsidR="00A84564" w:rsidRPr="00A21FC1" w:rsidTr="0012547B">
        <w:trPr>
          <w:trHeight w:val="513"/>
        </w:trPr>
        <w:tc>
          <w:tcPr>
            <w:tcW w:w="2127" w:type="dxa"/>
          </w:tcPr>
          <w:p w:rsidR="00A84564" w:rsidRPr="00A21FC1" w:rsidRDefault="00A84564"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TSQAP</w:t>
            </w:r>
          </w:p>
        </w:tc>
        <w:tc>
          <w:tcPr>
            <w:tcW w:w="8080" w:type="dxa"/>
          </w:tcPr>
          <w:p w:rsidR="00A84564" w:rsidRPr="00A21FC1" w:rsidRDefault="00A84564"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Tasmanian Shellfish Quality Assurance Program</w:t>
            </w:r>
          </w:p>
        </w:tc>
      </w:tr>
      <w:tr w:rsidR="00AB2867" w:rsidRPr="00A21FC1" w:rsidTr="0012547B">
        <w:trPr>
          <w:trHeight w:val="513"/>
        </w:trPr>
        <w:tc>
          <w:tcPr>
            <w:tcW w:w="2127" w:type="dxa"/>
          </w:tcPr>
          <w:p w:rsidR="00AB2867"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USA</w:t>
            </w:r>
          </w:p>
        </w:tc>
        <w:tc>
          <w:tcPr>
            <w:tcW w:w="8080" w:type="dxa"/>
          </w:tcPr>
          <w:p w:rsidR="00AB2867"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United States of America</w:t>
            </w:r>
          </w:p>
        </w:tc>
      </w:tr>
      <w:tr w:rsidR="00A15D5B" w:rsidRPr="00A21FC1" w:rsidTr="0012547B">
        <w:trPr>
          <w:trHeight w:val="513"/>
        </w:trPr>
        <w:tc>
          <w:tcPr>
            <w:tcW w:w="2127" w:type="dxa"/>
          </w:tcPr>
          <w:p w:rsidR="00A15D5B"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USDA</w:t>
            </w:r>
          </w:p>
        </w:tc>
        <w:tc>
          <w:tcPr>
            <w:tcW w:w="8080" w:type="dxa"/>
          </w:tcPr>
          <w:p w:rsidR="00A15D5B"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United States Department of Agriculture</w:t>
            </w:r>
          </w:p>
        </w:tc>
      </w:tr>
      <w:tr w:rsidR="00A15D5B" w:rsidRPr="00A21FC1" w:rsidTr="0012547B">
        <w:trPr>
          <w:trHeight w:val="279"/>
        </w:trPr>
        <w:tc>
          <w:tcPr>
            <w:tcW w:w="2127" w:type="dxa"/>
          </w:tcPr>
          <w:p w:rsidR="00A15D5B"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WSSV</w:t>
            </w:r>
          </w:p>
        </w:tc>
        <w:tc>
          <w:tcPr>
            <w:tcW w:w="8080" w:type="dxa"/>
          </w:tcPr>
          <w:p w:rsidR="00A15D5B" w:rsidRPr="00A21FC1" w:rsidRDefault="00AB2867" w:rsidP="00B47389">
            <w:pPr>
              <w:autoSpaceDE w:val="0"/>
              <w:autoSpaceDN w:val="0"/>
              <w:adjustRightInd w:val="0"/>
              <w:spacing w:line="276" w:lineRule="auto"/>
              <w:rPr>
                <w:rFonts w:ascii="Calibri Light" w:eastAsia="Calibri" w:hAnsi="Calibri Light" w:cs="Calibri"/>
                <w:color w:val="000000"/>
                <w:lang w:eastAsia="en-US"/>
              </w:rPr>
            </w:pPr>
            <w:r w:rsidRPr="00A21FC1">
              <w:rPr>
                <w:rFonts w:ascii="Calibri Light" w:eastAsia="Calibri" w:hAnsi="Calibri Light" w:cs="Calibri"/>
                <w:color w:val="000000"/>
                <w:lang w:eastAsia="en-US"/>
              </w:rPr>
              <w:t>White spot syndrome virus</w:t>
            </w:r>
          </w:p>
        </w:tc>
      </w:tr>
    </w:tbl>
    <w:p w:rsidR="00965C2F" w:rsidRPr="00A21FC1" w:rsidRDefault="00965C2F" w:rsidP="00B47389">
      <w:pPr>
        <w:rPr>
          <w:rFonts w:ascii="Calibri Light" w:hAnsi="Calibri Light"/>
        </w:rPr>
      </w:pPr>
    </w:p>
    <w:sectPr w:rsidR="00965C2F" w:rsidRPr="00A21FC1" w:rsidSect="00EC6BD5">
      <w:headerReference w:type="default" r:id="rId14"/>
      <w:pgSz w:w="11906" w:h="16838"/>
      <w:pgMar w:top="709" w:right="1133" w:bottom="568"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897" w:rsidRDefault="00EB4897">
      <w:r>
        <w:separator/>
      </w:r>
    </w:p>
    <w:p w:rsidR="00EB4897" w:rsidRDefault="00EB4897"/>
    <w:p w:rsidR="00EB4897" w:rsidRDefault="00EB4897"/>
    <w:p w:rsidR="00EB4897" w:rsidRDefault="00EB4897"/>
  </w:endnote>
  <w:endnote w:type="continuationSeparator" w:id="0">
    <w:p w:rsidR="00EB4897" w:rsidRDefault="00EB4897">
      <w:r>
        <w:continuationSeparator/>
      </w:r>
    </w:p>
    <w:p w:rsidR="00EB4897" w:rsidRDefault="00EB4897"/>
    <w:p w:rsidR="00EB4897" w:rsidRDefault="00EB4897"/>
    <w:p w:rsidR="00EB4897" w:rsidRDefault="00EB489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41" w:rsidRDefault="00FB0776">
    <w:pPr>
      <w:pStyle w:val="Footer"/>
      <w:framePr w:wrap="around" w:vAnchor="text" w:hAnchor="margin" w:xAlign="right" w:y="1"/>
      <w:rPr>
        <w:rStyle w:val="PageNumber"/>
      </w:rPr>
    </w:pPr>
    <w:r>
      <w:rPr>
        <w:rStyle w:val="PageNumber"/>
      </w:rPr>
      <w:fldChar w:fldCharType="begin"/>
    </w:r>
    <w:r w:rsidR="00F97A41">
      <w:rPr>
        <w:rStyle w:val="PageNumber"/>
      </w:rPr>
      <w:instrText xml:space="preserve">PAGE  </w:instrText>
    </w:r>
    <w:r>
      <w:rPr>
        <w:rStyle w:val="PageNumber"/>
      </w:rPr>
      <w:fldChar w:fldCharType="end"/>
    </w:r>
  </w:p>
  <w:p w:rsidR="00F97A41" w:rsidRDefault="00F97A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41" w:rsidRDefault="00FB0776">
    <w:pPr>
      <w:pStyle w:val="Footer"/>
    </w:pPr>
    <w:fldSimple w:instr=" PAGE   \* MERGEFORMAT ">
      <w:r w:rsidR="00335306">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897" w:rsidRPr="00302123" w:rsidRDefault="00EB4897" w:rsidP="00302123">
      <w:pPr>
        <w:pStyle w:val="Footer"/>
      </w:pPr>
    </w:p>
  </w:footnote>
  <w:footnote w:type="continuationSeparator" w:id="0">
    <w:p w:rsidR="00EB4897" w:rsidRDefault="00EB4897">
      <w:r>
        <w:continuationSeparator/>
      </w:r>
    </w:p>
  </w:footnote>
  <w:footnote w:type="continuationNotice" w:id="1">
    <w:p w:rsidR="00EB4897" w:rsidRDefault="00EB489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41" w:rsidRPr="00EC6BD5" w:rsidRDefault="00F97A41" w:rsidP="00EC6B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41" w:rsidRPr="006461BE" w:rsidRDefault="00F97A41" w:rsidP="006461B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41" w:rsidRPr="006461BE" w:rsidRDefault="00F97A41" w:rsidP="006461B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A41" w:rsidRPr="006461BE" w:rsidRDefault="00F97A41" w:rsidP="006461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4A207C"/>
    <w:lvl w:ilvl="0">
      <w:start w:val="1"/>
      <w:numFmt w:val="bullet"/>
      <w:lvlText w:val=""/>
      <w:lvlJc w:val="left"/>
      <w:pPr>
        <w:tabs>
          <w:tab w:val="num" w:pos="360"/>
        </w:tabs>
        <w:ind w:left="360" w:hanging="360"/>
      </w:pPr>
      <w:rPr>
        <w:rFonts w:ascii="Symbol" w:hAnsi="Symbol" w:hint="default"/>
      </w:rPr>
    </w:lvl>
  </w:abstractNum>
  <w:abstractNum w:abstractNumId="1">
    <w:nsid w:val="05B50DB8"/>
    <w:multiLevelType w:val="hybridMultilevel"/>
    <w:tmpl w:val="E8128F2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nsid w:val="0C165DF6"/>
    <w:multiLevelType w:val="hybridMultilevel"/>
    <w:tmpl w:val="E8128F2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nsid w:val="17375D59"/>
    <w:multiLevelType w:val="hybridMultilevel"/>
    <w:tmpl w:val="E4C4D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Wingding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Wingdings"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D66FC5"/>
    <w:multiLevelType w:val="hybridMultilevel"/>
    <w:tmpl w:val="E8128F2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21142D6C"/>
    <w:multiLevelType w:val="hybridMultilevel"/>
    <w:tmpl w:val="A84265CC"/>
    <w:lvl w:ilvl="0" w:tplc="0C090001">
      <w:start w:val="1"/>
      <w:numFmt w:val="bullet"/>
      <w:lvlText w:val=""/>
      <w:lvlJc w:val="left"/>
      <w:pPr>
        <w:ind w:left="720" w:hanging="36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7B86DA8"/>
    <w:multiLevelType w:val="hybridMultilevel"/>
    <w:tmpl w:val="E8128F2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nsid w:val="33186788"/>
    <w:multiLevelType w:val="hybridMultilevel"/>
    <w:tmpl w:val="E8128F2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3BA454BB"/>
    <w:multiLevelType w:val="hybridMultilevel"/>
    <w:tmpl w:val="BFD62CFC"/>
    <w:lvl w:ilvl="0" w:tplc="0C090001">
      <w:start w:val="1"/>
      <w:numFmt w:val="bullet"/>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51B580F"/>
    <w:multiLevelType w:val="hybridMultilevel"/>
    <w:tmpl w:val="10AE2798"/>
    <w:lvl w:ilvl="0" w:tplc="F82E9186">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C090019">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0">
    <w:nsid w:val="54D40B52"/>
    <w:multiLevelType w:val="hybridMultilevel"/>
    <w:tmpl w:val="E8128F2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57924F0B"/>
    <w:multiLevelType w:val="hybridMultilevel"/>
    <w:tmpl w:val="446433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F0F7A24"/>
    <w:multiLevelType w:val="hybridMultilevel"/>
    <w:tmpl w:val="C2246118"/>
    <w:lvl w:ilvl="0" w:tplc="F82E9186">
      <w:start w:val="1"/>
      <w:numFmt w:val="decimal"/>
      <w:pStyle w:val="NormalNumbering"/>
      <w:lvlText w:val="%1."/>
      <w:lvlJc w:val="left"/>
      <w:pPr>
        <w:ind w:left="108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tplc="0C090003">
      <w:start w:val="1"/>
      <w:numFmt w:val="lowerLetter"/>
      <w:lvlText w:val="%2."/>
      <w:lvlJc w:val="left"/>
      <w:pPr>
        <w:ind w:left="2160" w:hanging="360"/>
      </w:pPr>
    </w:lvl>
    <w:lvl w:ilvl="2" w:tplc="0C090005" w:tentative="1">
      <w:start w:val="1"/>
      <w:numFmt w:val="lowerRoman"/>
      <w:lvlText w:val="%3."/>
      <w:lvlJc w:val="right"/>
      <w:pPr>
        <w:ind w:left="2880" w:hanging="180"/>
      </w:pPr>
    </w:lvl>
    <w:lvl w:ilvl="3" w:tplc="0C090001" w:tentative="1">
      <w:start w:val="1"/>
      <w:numFmt w:val="decimal"/>
      <w:lvlText w:val="%4."/>
      <w:lvlJc w:val="left"/>
      <w:pPr>
        <w:ind w:left="3600" w:hanging="360"/>
      </w:pPr>
    </w:lvl>
    <w:lvl w:ilvl="4" w:tplc="0C090003" w:tentative="1">
      <w:start w:val="1"/>
      <w:numFmt w:val="lowerLetter"/>
      <w:lvlText w:val="%5."/>
      <w:lvlJc w:val="left"/>
      <w:pPr>
        <w:ind w:left="4320" w:hanging="360"/>
      </w:pPr>
    </w:lvl>
    <w:lvl w:ilvl="5" w:tplc="0C090005" w:tentative="1">
      <w:start w:val="1"/>
      <w:numFmt w:val="lowerRoman"/>
      <w:lvlText w:val="%6."/>
      <w:lvlJc w:val="right"/>
      <w:pPr>
        <w:ind w:left="5040" w:hanging="180"/>
      </w:pPr>
    </w:lvl>
    <w:lvl w:ilvl="6" w:tplc="0C090001" w:tentative="1">
      <w:start w:val="1"/>
      <w:numFmt w:val="decimal"/>
      <w:lvlText w:val="%7."/>
      <w:lvlJc w:val="left"/>
      <w:pPr>
        <w:ind w:left="5760" w:hanging="360"/>
      </w:pPr>
    </w:lvl>
    <w:lvl w:ilvl="7" w:tplc="0C090003" w:tentative="1">
      <w:start w:val="1"/>
      <w:numFmt w:val="lowerLetter"/>
      <w:lvlText w:val="%8."/>
      <w:lvlJc w:val="left"/>
      <w:pPr>
        <w:ind w:left="6480" w:hanging="360"/>
      </w:pPr>
    </w:lvl>
    <w:lvl w:ilvl="8" w:tplc="0C090005" w:tentative="1">
      <w:start w:val="1"/>
      <w:numFmt w:val="lowerRoman"/>
      <w:lvlText w:val="%9."/>
      <w:lvlJc w:val="right"/>
      <w:pPr>
        <w:ind w:left="7200" w:hanging="180"/>
      </w:pPr>
    </w:lvl>
  </w:abstractNum>
  <w:abstractNum w:abstractNumId="13">
    <w:nsid w:val="710A5DB8"/>
    <w:multiLevelType w:val="hybridMultilevel"/>
    <w:tmpl w:val="40E6217C"/>
    <w:lvl w:ilvl="0" w:tplc="0C090001">
      <w:start w:val="1"/>
      <w:numFmt w:val="bullet"/>
      <w:lvlText w:val=""/>
      <w:lvlJc w:val="left"/>
      <w:pPr>
        <w:ind w:left="720" w:hanging="360"/>
      </w:pPr>
      <w:rPr>
        <w:rFonts w:ascii="Symbol" w:hAnsi="Symbol" w:hint="default"/>
        <w:b w:val="0"/>
        <w:bCs w:val="0"/>
        <w:i w:val="0"/>
        <w:iCs w:val="0"/>
        <w:caps w:val="0"/>
        <w:smallCaps w:val="0"/>
        <w:strike w:val="0"/>
        <w:dstrike w:val="0"/>
        <w:noProof w:val="0"/>
        <w:vanish w:val="0"/>
        <w:color w:val="000000"/>
        <w:spacing w:val="0"/>
        <w:kern w:val="0"/>
        <w:position w:val="0"/>
        <w:u w:val="none"/>
        <w:vertAlign w:val="baseline"/>
        <w:em w:val="none"/>
      </w:rPr>
    </w:lvl>
    <w:lvl w:ilvl="1" w:tplc="24F2B5FA">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7440191F"/>
    <w:multiLevelType w:val="hybridMultilevel"/>
    <w:tmpl w:val="E8128F2A"/>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9"/>
  </w:num>
  <w:num w:numId="3">
    <w:abstractNumId w:val="5"/>
  </w:num>
  <w:num w:numId="4">
    <w:abstractNumId w:val="13"/>
  </w:num>
  <w:num w:numId="5">
    <w:abstractNumId w:val="12"/>
  </w:num>
  <w:num w:numId="6">
    <w:abstractNumId w:val="12"/>
  </w:num>
  <w:num w:numId="7">
    <w:abstractNumId w:val="0"/>
  </w:num>
  <w:num w:numId="8">
    <w:abstractNumId w:val="3"/>
  </w:num>
  <w:num w:numId="9">
    <w:abstractNumId w:val="8"/>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0"/>
  </w:num>
  <w:num w:numId="26">
    <w:abstractNumId w:val="4"/>
  </w:num>
  <w:num w:numId="27">
    <w:abstractNumId w:val="7"/>
  </w:num>
  <w:num w:numId="28">
    <w:abstractNumId w:val="6"/>
  </w:num>
  <w:num w:numId="29">
    <w:abstractNumId w:val="1"/>
  </w:num>
  <w:num w:numId="30">
    <w:abstractNumId w:val="2"/>
  </w:num>
  <w:num w:numId="31">
    <w:abstractNumId w:val="14"/>
  </w:num>
  <w:num w:numId="32">
    <w:abstractNumId w:val="12"/>
  </w:num>
  <w:num w:numId="33">
    <w:abstractNumId w:val="12"/>
  </w:num>
  <w:num w:numId="34">
    <w:abstractNumId w:val="12"/>
  </w:num>
  <w:num w:numId="35">
    <w:abstractNumId w:val="12"/>
  </w:num>
  <w:num w:numId="36">
    <w:abstractNumId w:val="12"/>
  </w:num>
  <w:num w:numId="37">
    <w:abstractNumId w:val="12"/>
  </w:num>
  <w:num w:numId="38">
    <w:abstractNumId w:val="12"/>
  </w:num>
  <w:num w:numId="39">
    <w:abstractNumId w:val="12"/>
  </w:num>
  <w:num w:numId="40">
    <w:abstractNumId w:val="11"/>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stylePaneFormatFilter w:val="3001"/>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Pr>
  <w:compat/>
  <w:rsids>
    <w:rsidRoot w:val="00220C70"/>
    <w:rsid w:val="00002061"/>
    <w:rsid w:val="00015B31"/>
    <w:rsid w:val="00020A1E"/>
    <w:rsid w:val="00020D5D"/>
    <w:rsid w:val="000218EC"/>
    <w:rsid w:val="000219B4"/>
    <w:rsid w:val="000265C5"/>
    <w:rsid w:val="00036733"/>
    <w:rsid w:val="000367CA"/>
    <w:rsid w:val="00037F34"/>
    <w:rsid w:val="00043448"/>
    <w:rsid w:val="000501E1"/>
    <w:rsid w:val="00065E88"/>
    <w:rsid w:val="00076EEB"/>
    <w:rsid w:val="00077469"/>
    <w:rsid w:val="00077D56"/>
    <w:rsid w:val="000805AC"/>
    <w:rsid w:val="000818D3"/>
    <w:rsid w:val="00083D60"/>
    <w:rsid w:val="00086E40"/>
    <w:rsid w:val="00091F76"/>
    <w:rsid w:val="000939BC"/>
    <w:rsid w:val="00097B04"/>
    <w:rsid w:val="000A05B4"/>
    <w:rsid w:val="000A2006"/>
    <w:rsid w:val="000A2530"/>
    <w:rsid w:val="000A6B71"/>
    <w:rsid w:val="000A7F11"/>
    <w:rsid w:val="000B0B7C"/>
    <w:rsid w:val="000C43AD"/>
    <w:rsid w:val="000D311A"/>
    <w:rsid w:val="000D6007"/>
    <w:rsid w:val="000F5914"/>
    <w:rsid w:val="000F755B"/>
    <w:rsid w:val="00100F68"/>
    <w:rsid w:val="00101723"/>
    <w:rsid w:val="001032AC"/>
    <w:rsid w:val="00105917"/>
    <w:rsid w:val="0010721A"/>
    <w:rsid w:val="00112FEB"/>
    <w:rsid w:val="00115B75"/>
    <w:rsid w:val="0011764F"/>
    <w:rsid w:val="00123B90"/>
    <w:rsid w:val="0012547B"/>
    <w:rsid w:val="00127D3E"/>
    <w:rsid w:val="00133341"/>
    <w:rsid w:val="00134416"/>
    <w:rsid w:val="001412A3"/>
    <w:rsid w:val="00142713"/>
    <w:rsid w:val="001430B4"/>
    <w:rsid w:val="0014620C"/>
    <w:rsid w:val="0014626C"/>
    <w:rsid w:val="0015552D"/>
    <w:rsid w:val="0016294C"/>
    <w:rsid w:val="001704F4"/>
    <w:rsid w:val="001762B6"/>
    <w:rsid w:val="00177011"/>
    <w:rsid w:val="00177AB0"/>
    <w:rsid w:val="00177D36"/>
    <w:rsid w:val="00190DAE"/>
    <w:rsid w:val="0019331F"/>
    <w:rsid w:val="001A218F"/>
    <w:rsid w:val="001A59D3"/>
    <w:rsid w:val="001B08C6"/>
    <w:rsid w:val="001B101F"/>
    <w:rsid w:val="001B265B"/>
    <w:rsid w:val="001B2DAB"/>
    <w:rsid w:val="001B5DF7"/>
    <w:rsid w:val="001C35A8"/>
    <w:rsid w:val="001C3FBD"/>
    <w:rsid w:val="001D0BC0"/>
    <w:rsid w:val="001D1CB0"/>
    <w:rsid w:val="001D1F15"/>
    <w:rsid w:val="001D77D6"/>
    <w:rsid w:val="001F675B"/>
    <w:rsid w:val="002019CC"/>
    <w:rsid w:val="00202722"/>
    <w:rsid w:val="00213D46"/>
    <w:rsid w:val="00220C70"/>
    <w:rsid w:val="00223330"/>
    <w:rsid w:val="00224C64"/>
    <w:rsid w:val="00256A76"/>
    <w:rsid w:val="00257375"/>
    <w:rsid w:val="0027116F"/>
    <w:rsid w:val="0027173B"/>
    <w:rsid w:val="00275288"/>
    <w:rsid w:val="002764EF"/>
    <w:rsid w:val="00277C20"/>
    <w:rsid w:val="00285CDB"/>
    <w:rsid w:val="00286113"/>
    <w:rsid w:val="00290587"/>
    <w:rsid w:val="00293B23"/>
    <w:rsid w:val="002973C1"/>
    <w:rsid w:val="002A1543"/>
    <w:rsid w:val="002A6C1F"/>
    <w:rsid w:val="002B3C4E"/>
    <w:rsid w:val="002C6A99"/>
    <w:rsid w:val="002E4C8E"/>
    <w:rsid w:val="002E4EB1"/>
    <w:rsid w:val="002F09A1"/>
    <w:rsid w:val="002F518A"/>
    <w:rsid w:val="002F7C1F"/>
    <w:rsid w:val="00300B8F"/>
    <w:rsid w:val="0030157C"/>
    <w:rsid w:val="00302123"/>
    <w:rsid w:val="003024E4"/>
    <w:rsid w:val="0030540C"/>
    <w:rsid w:val="0030796E"/>
    <w:rsid w:val="0031130B"/>
    <w:rsid w:val="0031349D"/>
    <w:rsid w:val="0032610A"/>
    <w:rsid w:val="00326D3E"/>
    <w:rsid w:val="00335306"/>
    <w:rsid w:val="00340CA9"/>
    <w:rsid w:val="0034220E"/>
    <w:rsid w:val="00343471"/>
    <w:rsid w:val="0034511C"/>
    <w:rsid w:val="00351161"/>
    <w:rsid w:val="0036056E"/>
    <w:rsid w:val="00363435"/>
    <w:rsid w:val="00363798"/>
    <w:rsid w:val="00373956"/>
    <w:rsid w:val="00384BA1"/>
    <w:rsid w:val="003A100F"/>
    <w:rsid w:val="003B6F1A"/>
    <w:rsid w:val="003B7FF5"/>
    <w:rsid w:val="003C0D63"/>
    <w:rsid w:val="003C27FF"/>
    <w:rsid w:val="003C51A9"/>
    <w:rsid w:val="003C740A"/>
    <w:rsid w:val="003D6206"/>
    <w:rsid w:val="003E0407"/>
    <w:rsid w:val="003E7DE9"/>
    <w:rsid w:val="003F45A6"/>
    <w:rsid w:val="0040367E"/>
    <w:rsid w:val="004200DB"/>
    <w:rsid w:val="00422B6E"/>
    <w:rsid w:val="00423527"/>
    <w:rsid w:val="004269DA"/>
    <w:rsid w:val="0042799D"/>
    <w:rsid w:val="00430D40"/>
    <w:rsid w:val="0043156E"/>
    <w:rsid w:val="0043354A"/>
    <w:rsid w:val="00433C12"/>
    <w:rsid w:val="00435879"/>
    <w:rsid w:val="00435FA8"/>
    <w:rsid w:val="004412C5"/>
    <w:rsid w:val="0044189A"/>
    <w:rsid w:val="00442620"/>
    <w:rsid w:val="00446322"/>
    <w:rsid w:val="004521CD"/>
    <w:rsid w:val="00462BA7"/>
    <w:rsid w:val="004700AB"/>
    <w:rsid w:val="004748AE"/>
    <w:rsid w:val="004825F2"/>
    <w:rsid w:val="004858DE"/>
    <w:rsid w:val="00487C29"/>
    <w:rsid w:val="004953B4"/>
    <w:rsid w:val="00495731"/>
    <w:rsid w:val="00497020"/>
    <w:rsid w:val="004979E9"/>
    <w:rsid w:val="004A1E68"/>
    <w:rsid w:val="004A5A61"/>
    <w:rsid w:val="004A66E3"/>
    <w:rsid w:val="004B1721"/>
    <w:rsid w:val="004B3650"/>
    <w:rsid w:val="004B7812"/>
    <w:rsid w:val="004C3835"/>
    <w:rsid w:val="004C5505"/>
    <w:rsid w:val="004C7E9B"/>
    <w:rsid w:val="004E3431"/>
    <w:rsid w:val="004E52D3"/>
    <w:rsid w:val="004F0A3E"/>
    <w:rsid w:val="004F54B1"/>
    <w:rsid w:val="004F595B"/>
    <w:rsid w:val="005023E9"/>
    <w:rsid w:val="0050488F"/>
    <w:rsid w:val="00512090"/>
    <w:rsid w:val="00525F4C"/>
    <w:rsid w:val="00527857"/>
    <w:rsid w:val="0053277A"/>
    <w:rsid w:val="0053321F"/>
    <w:rsid w:val="00542B89"/>
    <w:rsid w:val="00543BF5"/>
    <w:rsid w:val="00545362"/>
    <w:rsid w:val="005465C9"/>
    <w:rsid w:val="0055774F"/>
    <w:rsid w:val="005612F1"/>
    <w:rsid w:val="00562D6C"/>
    <w:rsid w:val="00570136"/>
    <w:rsid w:val="005724DE"/>
    <w:rsid w:val="00573CBC"/>
    <w:rsid w:val="005746D2"/>
    <w:rsid w:val="005863D4"/>
    <w:rsid w:val="00592BA1"/>
    <w:rsid w:val="005A207B"/>
    <w:rsid w:val="005A5976"/>
    <w:rsid w:val="005B0217"/>
    <w:rsid w:val="005B7CE8"/>
    <w:rsid w:val="005E0320"/>
    <w:rsid w:val="005E2250"/>
    <w:rsid w:val="005E53AA"/>
    <w:rsid w:val="005F246A"/>
    <w:rsid w:val="00613E8F"/>
    <w:rsid w:val="0062377D"/>
    <w:rsid w:val="0063069B"/>
    <w:rsid w:val="00630CE3"/>
    <w:rsid w:val="00630EB0"/>
    <w:rsid w:val="00641C09"/>
    <w:rsid w:val="00641DB8"/>
    <w:rsid w:val="0064344C"/>
    <w:rsid w:val="006461BE"/>
    <w:rsid w:val="00651E55"/>
    <w:rsid w:val="00651EFE"/>
    <w:rsid w:val="00654580"/>
    <w:rsid w:val="00655FA6"/>
    <w:rsid w:val="00656E45"/>
    <w:rsid w:val="00665577"/>
    <w:rsid w:val="00670F4A"/>
    <w:rsid w:val="006731D2"/>
    <w:rsid w:val="006738E1"/>
    <w:rsid w:val="00677A1E"/>
    <w:rsid w:val="00686490"/>
    <w:rsid w:val="006870F9"/>
    <w:rsid w:val="00696832"/>
    <w:rsid w:val="00697BB4"/>
    <w:rsid w:val="006A2A6B"/>
    <w:rsid w:val="006A2D28"/>
    <w:rsid w:val="006A73A0"/>
    <w:rsid w:val="006B0130"/>
    <w:rsid w:val="006B3B02"/>
    <w:rsid w:val="006B4BCC"/>
    <w:rsid w:val="006B4E57"/>
    <w:rsid w:val="006E7A69"/>
    <w:rsid w:val="006F35E4"/>
    <w:rsid w:val="006F49D3"/>
    <w:rsid w:val="00700A4B"/>
    <w:rsid w:val="00705B26"/>
    <w:rsid w:val="00707310"/>
    <w:rsid w:val="00707E8B"/>
    <w:rsid w:val="007169C0"/>
    <w:rsid w:val="00716D03"/>
    <w:rsid w:val="00721F23"/>
    <w:rsid w:val="0072276F"/>
    <w:rsid w:val="00724286"/>
    <w:rsid w:val="00730327"/>
    <w:rsid w:val="007313FF"/>
    <w:rsid w:val="00743C41"/>
    <w:rsid w:val="00745A80"/>
    <w:rsid w:val="00745DF0"/>
    <w:rsid w:val="00753233"/>
    <w:rsid w:val="007548E0"/>
    <w:rsid w:val="00756A86"/>
    <w:rsid w:val="00764901"/>
    <w:rsid w:val="00765441"/>
    <w:rsid w:val="00765827"/>
    <w:rsid w:val="00770E53"/>
    <w:rsid w:val="00770FDE"/>
    <w:rsid w:val="0078120B"/>
    <w:rsid w:val="00786830"/>
    <w:rsid w:val="00787348"/>
    <w:rsid w:val="00792A10"/>
    <w:rsid w:val="00792C03"/>
    <w:rsid w:val="007A115C"/>
    <w:rsid w:val="007B272D"/>
    <w:rsid w:val="007B4A71"/>
    <w:rsid w:val="007B5B5D"/>
    <w:rsid w:val="007C0367"/>
    <w:rsid w:val="007C240B"/>
    <w:rsid w:val="007C53E5"/>
    <w:rsid w:val="007D2CA1"/>
    <w:rsid w:val="007D394D"/>
    <w:rsid w:val="007E0EAB"/>
    <w:rsid w:val="0080196F"/>
    <w:rsid w:val="00802D86"/>
    <w:rsid w:val="00805756"/>
    <w:rsid w:val="00823445"/>
    <w:rsid w:val="008272DA"/>
    <w:rsid w:val="00831F5A"/>
    <w:rsid w:val="00832284"/>
    <w:rsid w:val="00840C21"/>
    <w:rsid w:val="008437FA"/>
    <w:rsid w:val="008572D8"/>
    <w:rsid w:val="00857CE3"/>
    <w:rsid w:val="008601B5"/>
    <w:rsid w:val="008605B6"/>
    <w:rsid w:val="008620BF"/>
    <w:rsid w:val="008663FA"/>
    <w:rsid w:val="008664AD"/>
    <w:rsid w:val="00872227"/>
    <w:rsid w:val="008746F4"/>
    <w:rsid w:val="00881E1E"/>
    <w:rsid w:val="008A46DD"/>
    <w:rsid w:val="008A4BC1"/>
    <w:rsid w:val="008A5761"/>
    <w:rsid w:val="008B4372"/>
    <w:rsid w:val="008C25B9"/>
    <w:rsid w:val="008C4430"/>
    <w:rsid w:val="008D1E0E"/>
    <w:rsid w:val="008E72B7"/>
    <w:rsid w:val="008F2493"/>
    <w:rsid w:val="008F7BCC"/>
    <w:rsid w:val="00905708"/>
    <w:rsid w:val="009065F1"/>
    <w:rsid w:val="00922427"/>
    <w:rsid w:val="00931740"/>
    <w:rsid w:val="00933FCB"/>
    <w:rsid w:val="00935917"/>
    <w:rsid w:val="00935FB0"/>
    <w:rsid w:val="009362C1"/>
    <w:rsid w:val="009507A8"/>
    <w:rsid w:val="00953CA9"/>
    <w:rsid w:val="00962C50"/>
    <w:rsid w:val="00965C2F"/>
    <w:rsid w:val="00965DA0"/>
    <w:rsid w:val="009761BC"/>
    <w:rsid w:val="00982D09"/>
    <w:rsid w:val="009923F5"/>
    <w:rsid w:val="00993713"/>
    <w:rsid w:val="009976C8"/>
    <w:rsid w:val="009A019A"/>
    <w:rsid w:val="009A7987"/>
    <w:rsid w:val="009B08D6"/>
    <w:rsid w:val="009B3F40"/>
    <w:rsid w:val="009B417B"/>
    <w:rsid w:val="009B6AC9"/>
    <w:rsid w:val="009B7212"/>
    <w:rsid w:val="009C45A9"/>
    <w:rsid w:val="009C7438"/>
    <w:rsid w:val="009D05B2"/>
    <w:rsid w:val="009D3B80"/>
    <w:rsid w:val="009E05EE"/>
    <w:rsid w:val="009E3905"/>
    <w:rsid w:val="00A0172B"/>
    <w:rsid w:val="00A01D61"/>
    <w:rsid w:val="00A11303"/>
    <w:rsid w:val="00A15D5B"/>
    <w:rsid w:val="00A21FC1"/>
    <w:rsid w:val="00A22ED7"/>
    <w:rsid w:val="00A2599B"/>
    <w:rsid w:val="00A3356C"/>
    <w:rsid w:val="00A335D3"/>
    <w:rsid w:val="00A35244"/>
    <w:rsid w:val="00A42937"/>
    <w:rsid w:val="00A44D27"/>
    <w:rsid w:val="00A453DB"/>
    <w:rsid w:val="00A5067F"/>
    <w:rsid w:val="00A50698"/>
    <w:rsid w:val="00A54154"/>
    <w:rsid w:val="00A54969"/>
    <w:rsid w:val="00A6012C"/>
    <w:rsid w:val="00A60678"/>
    <w:rsid w:val="00A60B40"/>
    <w:rsid w:val="00A63EB3"/>
    <w:rsid w:val="00A64918"/>
    <w:rsid w:val="00A64E64"/>
    <w:rsid w:val="00A714DC"/>
    <w:rsid w:val="00A765C1"/>
    <w:rsid w:val="00A76756"/>
    <w:rsid w:val="00A77B31"/>
    <w:rsid w:val="00A84564"/>
    <w:rsid w:val="00A87D25"/>
    <w:rsid w:val="00A91002"/>
    <w:rsid w:val="00A91B0E"/>
    <w:rsid w:val="00A93305"/>
    <w:rsid w:val="00A96AB0"/>
    <w:rsid w:val="00A970D6"/>
    <w:rsid w:val="00A97491"/>
    <w:rsid w:val="00AA521A"/>
    <w:rsid w:val="00AB2867"/>
    <w:rsid w:val="00AB31FA"/>
    <w:rsid w:val="00AC189A"/>
    <w:rsid w:val="00AC3FB7"/>
    <w:rsid w:val="00AC4AC8"/>
    <w:rsid w:val="00AE5C4E"/>
    <w:rsid w:val="00AE66C0"/>
    <w:rsid w:val="00AE6B3F"/>
    <w:rsid w:val="00AF00EB"/>
    <w:rsid w:val="00B0129D"/>
    <w:rsid w:val="00B01A7B"/>
    <w:rsid w:val="00B105DB"/>
    <w:rsid w:val="00B14C74"/>
    <w:rsid w:val="00B1638A"/>
    <w:rsid w:val="00B25A0C"/>
    <w:rsid w:val="00B26A54"/>
    <w:rsid w:val="00B33170"/>
    <w:rsid w:val="00B40C0C"/>
    <w:rsid w:val="00B47389"/>
    <w:rsid w:val="00B56A8A"/>
    <w:rsid w:val="00B56EE8"/>
    <w:rsid w:val="00B63DDD"/>
    <w:rsid w:val="00B63F51"/>
    <w:rsid w:val="00B64062"/>
    <w:rsid w:val="00B8006D"/>
    <w:rsid w:val="00B83879"/>
    <w:rsid w:val="00B94CA2"/>
    <w:rsid w:val="00B955A6"/>
    <w:rsid w:val="00BA3364"/>
    <w:rsid w:val="00BA3F30"/>
    <w:rsid w:val="00BB22B8"/>
    <w:rsid w:val="00BB35AF"/>
    <w:rsid w:val="00BB4380"/>
    <w:rsid w:val="00BB7673"/>
    <w:rsid w:val="00BC03AB"/>
    <w:rsid w:val="00BC27FB"/>
    <w:rsid w:val="00BC7DE8"/>
    <w:rsid w:val="00BC7FB5"/>
    <w:rsid w:val="00BD2A1A"/>
    <w:rsid w:val="00BD416B"/>
    <w:rsid w:val="00BE2138"/>
    <w:rsid w:val="00BF665F"/>
    <w:rsid w:val="00C03387"/>
    <w:rsid w:val="00C21D13"/>
    <w:rsid w:val="00C22295"/>
    <w:rsid w:val="00C344F4"/>
    <w:rsid w:val="00C3651E"/>
    <w:rsid w:val="00C40F34"/>
    <w:rsid w:val="00C41AC1"/>
    <w:rsid w:val="00C44D57"/>
    <w:rsid w:val="00C536A5"/>
    <w:rsid w:val="00C550F1"/>
    <w:rsid w:val="00C63CAE"/>
    <w:rsid w:val="00C77C8D"/>
    <w:rsid w:val="00C80BE1"/>
    <w:rsid w:val="00C840C2"/>
    <w:rsid w:val="00C9056B"/>
    <w:rsid w:val="00CA0476"/>
    <w:rsid w:val="00CA1638"/>
    <w:rsid w:val="00CA1A82"/>
    <w:rsid w:val="00CB12C6"/>
    <w:rsid w:val="00CB182C"/>
    <w:rsid w:val="00CB6082"/>
    <w:rsid w:val="00CC4D03"/>
    <w:rsid w:val="00CC50C1"/>
    <w:rsid w:val="00CD118F"/>
    <w:rsid w:val="00CD24EF"/>
    <w:rsid w:val="00CD2B8F"/>
    <w:rsid w:val="00CE203F"/>
    <w:rsid w:val="00CF259F"/>
    <w:rsid w:val="00CF4DCA"/>
    <w:rsid w:val="00CF4EEE"/>
    <w:rsid w:val="00CF530A"/>
    <w:rsid w:val="00D04DE3"/>
    <w:rsid w:val="00D051B6"/>
    <w:rsid w:val="00D13AD7"/>
    <w:rsid w:val="00D149A1"/>
    <w:rsid w:val="00D16FA8"/>
    <w:rsid w:val="00D248AF"/>
    <w:rsid w:val="00D300E3"/>
    <w:rsid w:val="00D33161"/>
    <w:rsid w:val="00D54E40"/>
    <w:rsid w:val="00D561CC"/>
    <w:rsid w:val="00D74151"/>
    <w:rsid w:val="00D8043A"/>
    <w:rsid w:val="00D84C44"/>
    <w:rsid w:val="00DA0A41"/>
    <w:rsid w:val="00DA38D4"/>
    <w:rsid w:val="00DC4CA2"/>
    <w:rsid w:val="00DD24D6"/>
    <w:rsid w:val="00DD26A1"/>
    <w:rsid w:val="00DD4845"/>
    <w:rsid w:val="00DD4924"/>
    <w:rsid w:val="00DE229E"/>
    <w:rsid w:val="00DE276D"/>
    <w:rsid w:val="00DF3F05"/>
    <w:rsid w:val="00DF62D2"/>
    <w:rsid w:val="00E073C9"/>
    <w:rsid w:val="00E10B08"/>
    <w:rsid w:val="00E11C29"/>
    <w:rsid w:val="00E21B62"/>
    <w:rsid w:val="00E22E7E"/>
    <w:rsid w:val="00E22F94"/>
    <w:rsid w:val="00E26498"/>
    <w:rsid w:val="00E379D1"/>
    <w:rsid w:val="00E411B1"/>
    <w:rsid w:val="00E42CDF"/>
    <w:rsid w:val="00E44CC0"/>
    <w:rsid w:val="00E604DF"/>
    <w:rsid w:val="00E708A4"/>
    <w:rsid w:val="00E715F1"/>
    <w:rsid w:val="00E71E4A"/>
    <w:rsid w:val="00E73966"/>
    <w:rsid w:val="00E73BA3"/>
    <w:rsid w:val="00E74F19"/>
    <w:rsid w:val="00E80FFA"/>
    <w:rsid w:val="00E81311"/>
    <w:rsid w:val="00E8529D"/>
    <w:rsid w:val="00E8620A"/>
    <w:rsid w:val="00E871EB"/>
    <w:rsid w:val="00E90884"/>
    <w:rsid w:val="00EA197C"/>
    <w:rsid w:val="00EA2219"/>
    <w:rsid w:val="00EA5537"/>
    <w:rsid w:val="00EB238E"/>
    <w:rsid w:val="00EB4897"/>
    <w:rsid w:val="00EB709D"/>
    <w:rsid w:val="00EC6BD5"/>
    <w:rsid w:val="00ED5D06"/>
    <w:rsid w:val="00EE36A7"/>
    <w:rsid w:val="00EF399E"/>
    <w:rsid w:val="00F0302A"/>
    <w:rsid w:val="00F04408"/>
    <w:rsid w:val="00F13E6C"/>
    <w:rsid w:val="00F1434F"/>
    <w:rsid w:val="00F2069C"/>
    <w:rsid w:val="00F234C0"/>
    <w:rsid w:val="00F26EA8"/>
    <w:rsid w:val="00F42898"/>
    <w:rsid w:val="00F47786"/>
    <w:rsid w:val="00F5190A"/>
    <w:rsid w:val="00F543B5"/>
    <w:rsid w:val="00F60788"/>
    <w:rsid w:val="00F6683F"/>
    <w:rsid w:val="00F72614"/>
    <w:rsid w:val="00F72983"/>
    <w:rsid w:val="00F73017"/>
    <w:rsid w:val="00F7670D"/>
    <w:rsid w:val="00F81B0E"/>
    <w:rsid w:val="00F867FA"/>
    <w:rsid w:val="00F87561"/>
    <w:rsid w:val="00F95A0A"/>
    <w:rsid w:val="00F97A41"/>
    <w:rsid w:val="00FA2925"/>
    <w:rsid w:val="00FA55D6"/>
    <w:rsid w:val="00FA70A8"/>
    <w:rsid w:val="00FB0117"/>
    <w:rsid w:val="00FB0776"/>
    <w:rsid w:val="00FB5080"/>
    <w:rsid w:val="00FB565E"/>
    <w:rsid w:val="00FC3FAE"/>
    <w:rsid w:val="00FE3C71"/>
    <w:rsid w:val="00FE698B"/>
    <w:rsid w:val="00FF516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276F"/>
    <w:rPr>
      <w:rFonts w:ascii="Trebuchet MS" w:eastAsia="PMingLiU" w:hAnsi="Trebuchet MS"/>
      <w:sz w:val="22"/>
      <w:szCs w:val="22"/>
    </w:rPr>
  </w:style>
  <w:style w:type="paragraph" w:styleId="Heading1">
    <w:name w:val="heading 1"/>
    <w:basedOn w:val="Normal"/>
    <w:next w:val="Normal"/>
    <w:autoRedefine/>
    <w:qFormat/>
    <w:rsid w:val="007B4A71"/>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2276F"/>
    <w:pPr>
      <w:keepNext/>
      <w:spacing w:before="240" w:after="60"/>
      <w:outlineLvl w:val="1"/>
    </w:pPr>
    <w:rPr>
      <w:rFonts w:cs="Arial"/>
      <w:b/>
      <w:bCs/>
      <w:iCs/>
      <w:sz w:val="28"/>
      <w:szCs w:val="28"/>
    </w:rPr>
  </w:style>
  <w:style w:type="paragraph" w:styleId="Heading3">
    <w:name w:val="heading 3"/>
    <w:basedOn w:val="Normal"/>
    <w:next w:val="Normal"/>
    <w:autoRedefine/>
    <w:qFormat/>
    <w:rsid w:val="00BE2138"/>
    <w:pPr>
      <w:jc w:val="right"/>
      <w:outlineLvl w:val="2"/>
    </w:pPr>
    <w:rPr>
      <w:rFonts w:ascii="Cambria" w:hAnsi="Cambria" w:cs="Arial"/>
      <w:b/>
      <w:bCs/>
      <w:sz w:val="20"/>
      <w:szCs w:val="20"/>
    </w:rPr>
  </w:style>
  <w:style w:type="paragraph" w:styleId="Heading4">
    <w:name w:val="heading 4"/>
    <w:basedOn w:val="Normal"/>
    <w:next w:val="Normal"/>
    <w:qFormat/>
    <w:rsid w:val="0072276F"/>
    <w:pPr>
      <w:keepNext/>
      <w:spacing w:before="240" w:after="60"/>
      <w:outlineLvl w:val="3"/>
    </w:pPr>
    <w:rPr>
      <w:b/>
      <w:bCs/>
      <w:i/>
      <w:szCs w:val="28"/>
    </w:rPr>
  </w:style>
  <w:style w:type="paragraph" w:styleId="Heading5">
    <w:name w:val="heading 5"/>
    <w:basedOn w:val="Normal"/>
    <w:next w:val="Normal"/>
    <w:autoRedefine/>
    <w:qFormat/>
    <w:rsid w:val="0072276F"/>
    <w:pPr>
      <w:spacing w:before="240" w:after="60"/>
      <w:outlineLvl w:val="4"/>
    </w:pPr>
    <w:rPr>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IGBBadge">
    <w:name w:val="IIGB Badge"/>
    <w:basedOn w:val="Normal"/>
    <w:autoRedefine/>
    <w:rsid w:val="0072276F"/>
    <w:pPr>
      <w:ind w:left="3600"/>
      <w:jc w:val="center"/>
    </w:pPr>
    <w:rPr>
      <w:rFonts w:ascii="Palatino Linotype" w:hAnsi="Palatino Linotype"/>
      <w:b/>
      <w:smallCaps/>
      <w:sz w:val="20"/>
    </w:rPr>
  </w:style>
  <w:style w:type="paragraph" w:customStyle="1" w:styleId="Heading1Titletext">
    <w:name w:val="Heading 1 Title text"/>
    <w:basedOn w:val="Heading1"/>
    <w:rsid w:val="0072276F"/>
  </w:style>
  <w:style w:type="paragraph" w:customStyle="1" w:styleId="Normalreportbodytext">
    <w:name w:val="Normal report body text"/>
    <w:basedOn w:val="Normal"/>
    <w:rsid w:val="0072276F"/>
  </w:style>
  <w:style w:type="table" w:styleId="TableGrid">
    <w:name w:val="Table Grid"/>
    <w:basedOn w:val="TableNormal"/>
    <w:rsid w:val="0072276F"/>
    <w:pPr>
      <w:spacing w:before="120" w:after="120"/>
    </w:pPr>
    <w:rPr>
      <w:rFonts w:ascii="Trebuchet MS" w:eastAsia="PMingLiU" w:hAnsi="Trebuchet MS"/>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center"/>
    </w:tcPr>
  </w:style>
  <w:style w:type="paragraph" w:customStyle="1" w:styleId="Recommendationtext">
    <w:name w:val="Recommendation text"/>
    <w:basedOn w:val="Normal"/>
    <w:rsid w:val="0072276F"/>
    <w:rPr>
      <w:b/>
      <w:i/>
    </w:rPr>
  </w:style>
  <w:style w:type="paragraph" w:styleId="Header">
    <w:name w:val="header"/>
    <w:basedOn w:val="Normal"/>
    <w:rsid w:val="0072276F"/>
    <w:pPr>
      <w:tabs>
        <w:tab w:val="center" w:pos="4153"/>
        <w:tab w:val="right" w:pos="8306"/>
      </w:tabs>
    </w:pPr>
  </w:style>
  <w:style w:type="paragraph" w:styleId="Footer">
    <w:name w:val="footer"/>
    <w:basedOn w:val="Normal"/>
    <w:link w:val="FooterChar"/>
    <w:autoRedefine/>
    <w:uiPriority w:val="99"/>
    <w:rsid w:val="0072276F"/>
    <w:pPr>
      <w:tabs>
        <w:tab w:val="center" w:pos="4153"/>
        <w:tab w:val="right" w:pos="8306"/>
      </w:tabs>
      <w:jc w:val="right"/>
    </w:pPr>
  </w:style>
  <w:style w:type="character" w:styleId="PageNumber">
    <w:name w:val="page number"/>
    <w:basedOn w:val="DefaultParagraphFont"/>
    <w:rsid w:val="0072276F"/>
    <w:rPr>
      <w:rFonts w:ascii="Trebuchet MS" w:hAnsi="Trebuchet MS"/>
      <w:sz w:val="20"/>
    </w:rPr>
  </w:style>
  <w:style w:type="character" w:customStyle="1" w:styleId="FooterChar">
    <w:name w:val="Footer Char"/>
    <w:basedOn w:val="DefaultParagraphFont"/>
    <w:link w:val="Footer"/>
    <w:uiPriority w:val="99"/>
    <w:rsid w:val="0072276F"/>
    <w:rPr>
      <w:rFonts w:ascii="Trebuchet MS" w:eastAsia="PMingLiU" w:hAnsi="Trebuchet MS"/>
      <w:sz w:val="22"/>
      <w:szCs w:val="22"/>
      <w:lang w:eastAsia="en-AU"/>
    </w:rPr>
  </w:style>
  <w:style w:type="character" w:styleId="CommentReference">
    <w:name w:val="annotation reference"/>
    <w:basedOn w:val="DefaultParagraphFont"/>
    <w:rsid w:val="0072276F"/>
    <w:rPr>
      <w:sz w:val="16"/>
      <w:szCs w:val="16"/>
    </w:rPr>
  </w:style>
  <w:style w:type="paragraph" w:styleId="CommentText">
    <w:name w:val="annotation text"/>
    <w:basedOn w:val="Normal"/>
    <w:link w:val="CommentTextChar"/>
    <w:rsid w:val="0072276F"/>
    <w:rPr>
      <w:sz w:val="20"/>
      <w:szCs w:val="20"/>
    </w:rPr>
  </w:style>
  <w:style w:type="character" w:customStyle="1" w:styleId="CommentTextChar">
    <w:name w:val="Comment Text Char"/>
    <w:basedOn w:val="DefaultParagraphFont"/>
    <w:link w:val="CommentText"/>
    <w:rsid w:val="0072276F"/>
    <w:rPr>
      <w:rFonts w:ascii="Trebuchet MS" w:eastAsia="PMingLiU" w:hAnsi="Trebuchet MS"/>
      <w:lang w:eastAsia="en-AU"/>
    </w:rPr>
  </w:style>
  <w:style w:type="paragraph" w:styleId="CommentSubject">
    <w:name w:val="annotation subject"/>
    <w:basedOn w:val="CommentText"/>
    <w:next w:val="CommentText"/>
    <w:link w:val="CommentSubjectChar"/>
    <w:rsid w:val="0072276F"/>
    <w:rPr>
      <w:b/>
      <w:bCs/>
    </w:rPr>
  </w:style>
  <w:style w:type="character" w:customStyle="1" w:styleId="CommentSubjectChar">
    <w:name w:val="Comment Subject Char"/>
    <w:basedOn w:val="CommentTextChar"/>
    <w:link w:val="CommentSubject"/>
    <w:rsid w:val="0072276F"/>
    <w:rPr>
      <w:b/>
      <w:bCs/>
    </w:rPr>
  </w:style>
  <w:style w:type="paragraph" w:styleId="BalloonText">
    <w:name w:val="Balloon Text"/>
    <w:basedOn w:val="Normal"/>
    <w:link w:val="BalloonTextChar"/>
    <w:rsid w:val="0072276F"/>
    <w:rPr>
      <w:rFonts w:ascii="Tahoma" w:hAnsi="Tahoma" w:cs="Tahoma"/>
      <w:sz w:val="16"/>
      <w:szCs w:val="16"/>
    </w:rPr>
  </w:style>
  <w:style w:type="character" w:customStyle="1" w:styleId="BalloonTextChar">
    <w:name w:val="Balloon Text Char"/>
    <w:basedOn w:val="DefaultParagraphFont"/>
    <w:link w:val="BalloonText"/>
    <w:rsid w:val="0072276F"/>
    <w:rPr>
      <w:rFonts w:ascii="Tahoma" w:eastAsia="PMingLiU" w:hAnsi="Tahoma" w:cs="Tahoma"/>
      <w:sz w:val="16"/>
      <w:szCs w:val="16"/>
      <w:lang w:eastAsia="en-AU"/>
    </w:rPr>
  </w:style>
  <w:style w:type="paragraph" w:styleId="FootnoteText">
    <w:name w:val="footnote text"/>
    <w:basedOn w:val="Normal"/>
    <w:link w:val="FootnoteTextChar"/>
    <w:rsid w:val="0072276F"/>
    <w:rPr>
      <w:sz w:val="20"/>
      <w:szCs w:val="20"/>
    </w:rPr>
  </w:style>
  <w:style w:type="character" w:customStyle="1" w:styleId="FootnoteTextChar">
    <w:name w:val="Footnote Text Char"/>
    <w:basedOn w:val="DefaultParagraphFont"/>
    <w:link w:val="FootnoteText"/>
    <w:rsid w:val="0072276F"/>
    <w:rPr>
      <w:rFonts w:ascii="Trebuchet MS" w:eastAsia="PMingLiU" w:hAnsi="Trebuchet MS"/>
      <w:lang w:eastAsia="en-AU"/>
    </w:rPr>
  </w:style>
  <w:style w:type="character" w:styleId="FootnoteReference">
    <w:name w:val="footnote reference"/>
    <w:basedOn w:val="DefaultParagraphFont"/>
    <w:rsid w:val="0072276F"/>
    <w:rPr>
      <w:vertAlign w:val="superscript"/>
    </w:rPr>
  </w:style>
  <w:style w:type="paragraph" w:customStyle="1" w:styleId="ColorfulList-Accent11">
    <w:name w:val="Colorful List - Accent 11"/>
    <w:basedOn w:val="Normal"/>
    <w:qFormat/>
    <w:rsid w:val="0072276F"/>
    <w:pPr>
      <w:ind w:left="720"/>
      <w:contextualSpacing/>
    </w:pPr>
    <w:rPr>
      <w:rFonts w:ascii="Cambria" w:eastAsia="Times New Roman" w:hAnsi="Cambria"/>
      <w:sz w:val="24"/>
      <w:szCs w:val="24"/>
      <w:lang w:eastAsia="en-US"/>
    </w:rPr>
  </w:style>
  <w:style w:type="paragraph" w:styleId="TOC1">
    <w:name w:val="toc 1"/>
    <w:basedOn w:val="Normal"/>
    <w:next w:val="Normal"/>
    <w:autoRedefine/>
    <w:uiPriority w:val="39"/>
    <w:rsid w:val="0072276F"/>
  </w:style>
  <w:style w:type="paragraph" w:styleId="TOC2">
    <w:name w:val="toc 2"/>
    <w:basedOn w:val="Normal"/>
    <w:next w:val="Normal"/>
    <w:autoRedefine/>
    <w:uiPriority w:val="39"/>
    <w:rsid w:val="001C3FBD"/>
    <w:pPr>
      <w:tabs>
        <w:tab w:val="right" w:leader="dot" w:pos="8539"/>
      </w:tabs>
      <w:ind w:left="220"/>
    </w:pPr>
    <w:rPr>
      <w:rFonts w:ascii="Calibri" w:hAnsi="Calibri"/>
      <w:noProof/>
    </w:rPr>
  </w:style>
  <w:style w:type="character" w:styleId="Hyperlink">
    <w:name w:val="Hyperlink"/>
    <w:basedOn w:val="DefaultParagraphFont"/>
    <w:uiPriority w:val="99"/>
    <w:rsid w:val="0072276F"/>
    <w:rPr>
      <w:color w:val="0000FF"/>
      <w:u w:val="single"/>
    </w:rPr>
  </w:style>
  <w:style w:type="paragraph" w:styleId="ListParagraph">
    <w:name w:val="List Paragraph"/>
    <w:basedOn w:val="Normal"/>
    <w:uiPriority w:val="99"/>
    <w:qFormat/>
    <w:rsid w:val="00C9056B"/>
    <w:pPr>
      <w:ind w:left="720"/>
    </w:pPr>
    <w:rPr>
      <w:rFonts w:ascii="Calibri" w:eastAsia="Calibri" w:hAnsi="Calibri"/>
    </w:rPr>
  </w:style>
  <w:style w:type="paragraph" w:customStyle="1" w:styleId="TitlePageHeading">
    <w:name w:val="Title Page Heading"/>
    <w:basedOn w:val="Normal"/>
    <w:qFormat/>
    <w:rsid w:val="00CC50C1"/>
    <w:pPr>
      <w:spacing w:before="120" w:after="200" w:line="360" w:lineRule="auto"/>
      <w:jc w:val="center"/>
    </w:pPr>
    <w:rPr>
      <w:rFonts w:ascii="Calibri" w:hAnsi="Calibri"/>
      <w:b/>
      <w:sz w:val="32"/>
      <w:szCs w:val="32"/>
    </w:rPr>
  </w:style>
  <w:style w:type="paragraph" w:customStyle="1" w:styleId="NormalNumbering">
    <w:name w:val="Normal Numbering"/>
    <w:basedOn w:val="Normal"/>
    <w:qFormat/>
    <w:rsid w:val="00CC50C1"/>
    <w:pPr>
      <w:numPr>
        <w:numId w:val="1"/>
      </w:numPr>
      <w:spacing w:before="120" w:after="200" w:line="360" w:lineRule="auto"/>
      <w:contextualSpacing/>
    </w:pPr>
    <w:rPr>
      <w:rFonts w:ascii="Calibri" w:hAnsi="Calibri"/>
    </w:rPr>
  </w:style>
  <w:style w:type="character" w:customStyle="1" w:styleId="Heading2Char">
    <w:name w:val="Heading 2 Char"/>
    <w:basedOn w:val="DefaultParagraphFont"/>
    <w:link w:val="Heading2"/>
    <w:rsid w:val="00423527"/>
    <w:rPr>
      <w:rFonts w:ascii="Trebuchet MS" w:eastAsia="PMingLiU" w:hAnsi="Trebuchet MS" w:cs="Arial"/>
      <w:b/>
      <w:bCs/>
      <w:iCs/>
      <w:sz w:val="28"/>
      <w:szCs w:val="28"/>
    </w:rPr>
  </w:style>
  <w:style w:type="paragraph" w:styleId="NormalWeb">
    <w:name w:val="Normal (Web)"/>
    <w:basedOn w:val="Normal"/>
    <w:uiPriority w:val="99"/>
    <w:unhideWhenUsed/>
    <w:rsid w:val="007B5B5D"/>
    <w:pPr>
      <w:spacing w:before="100" w:beforeAutospacing="1" w:after="100" w:afterAutospacing="1"/>
    </w:pPr>
    <w:rPr>
      <w:rFonts w:ascii="Times New Roman" w:eastAsia="Times New Roman" w:hAnsi="Times New Roman"/>
      <w:sz w:val="24"/>
      <w:szCs w:val="24"/>
    </w:rPr>
  </w:style>
  <w:style w:type="paragraph" w:styleId="TOCHeading">
    <w:name w:val="TOC Heading"/>
    <w:basedOn w:val="Heading1"/>
    <w:next w:val="Normal"/>
    <w:uiPriority w:val="39"/>
    <w:semiHidden/>
    <w:unhideWhenUsed/>
    <w:qFormat/>
    <w:rsid w:val="000F755B"/>
    <w:pPr>
      <w:keepLines/>
      <w:spacing w:before="480" w:after="0" w:line="276" w:lineRule="auto"/>
      <w:outlineLvl w:val="9"/>
    </w:pPr>
    <w:rPr>
      <w:rFonts w:ascii="Cambria" w:eastAsia="Times New Roman" w:hAnsi="Cambria" w:cs="Times New Roman"/>
      <w:color w:val="365F91"/>
      <w:kern w:val="0"/>
      <w:sz w:val="28"/>
      <w:szCs w:val="28"/>
      <w:lang w:val="en-US" w:eastAsia="en-US"/>
    </w:rPr>
  </w:style>
  <w:style w:type="paragraph" w:styleId="TOC3">
    <w:name w:val="toc 3"/>
    <w:basedOn w:val="Normal"/>
    <w:next w:val="Normal"/>
    <w:autoRedefine/>
    <w:uiPriority w:val="39"/>
    <w:rsid w:val="009B417B"/>
    <w:pPr>
      <w:tabs>
        <w:tab w:val="right" w:leader="dot" w:pos="8539"/>
      </w:tabs>
      <w:spacing w:after="100"/>
      <w:ind w:left="440"/>
    </w:pPr>
    <w:rPr>
      <w:rFonts w:ascii="Calibri Light" w:hAnsi="Calibri Light"/>
      <w:noProof/>
    </w:rPr>
  </w:style>
  <w:style w:type="character" w:styleId="Strong">
    <w:name w:val="Strong"/>
    <w:basedOn w:val="DefaultParagraphFont"/>
    <w:qFormat/>
    <w:rsid w:val="000F755B"/>
    <w:rPr>
      <w:b/>
      <w:bCs/>
    </w:rPr>
  </w:style>
  <w:style w:type="paragraph" w:customStyle="1" w:styleId="Default">
    <w:name w:val="Default"/>
    <w:rsid w:val="00655FA6"/>
    <w:pPr>
      <w:autoSpaceDE w:val="0"/>
      <w:autoSpaceDN w:val="0"/>
      <w:adjustRightInd w:val="0"/>
    </w:pPr>
    <w:rPr>
      <w:rFonts w:ascii="Trebuchet MS" w:hAnsi="Trebuchet MS" w:cs="Trebuchet MS"/>
      <w:color w:val="000000"/>
      <w:sz w:val="24"/>
      <w:szCs w:val="24"/>
    </w:rPr>
  </w:style>
</w:styles>
</file>

<file path=word/webSettings.xml><?xml version="1.0" encoding="utf-8"?>
<w:webSettings xmlns:r="http://schemas.openxmlformats.org/officeDocument/2006/relationships" xmlns:w="http://schemas.openxmlformats.org/wordprocessingml/2006/main">
  <w:divs>
    <w:div w:id="34503575">
      <w:bodyDiv w:val="1"/>
      <w:marLeft w:val="0"/>
      <w:marRight w:val="0"/>
      <w:marTop w:val="0"/>
      <w:marBottom w:val="0"/>
      <w:divBdr>
        <w:top w:val="none" w:sz="0" w:space="0" w:color="auto"/>
        <w:left w:val="none" w:sz="0" w:space="0" w:color="auto"/>
        <w:bottom w:val="none" w:sz="0" w:space="0" w:color="auto"/>
        <w:right w:val="none" w:sz="0" w:space="0" w:color="auto"/>
      </w:divBdr>
    </w:div>
    <w:div w:id="80220123">
      <w:bodyDiv w:val="1"/>
      <w:marLeft w:val="0"/>
      <w:marRight w:val="0"/>
      <w:marTop w:val="0"/>
      <w:marBottom w:val="0"/>
      <w:divBdr>
        <w:top w:val="none" w:sz="0" w:space="0" w:color="auto"/>
        <w:left w:val="none" w:sz="0" w:space="0" w:color="auto"/>
        <w:bottom w:val="none" w:sz="0" w:space="0" w:color="auto"/>
        <w:right w:val="none" w:sz="0" w:space="0" w:color="auto"/>
      </w:divBdr>
    </w:div>
    <w:div w:id="520625752">
      <w:bodyDiv w:val="1"/>
      <w:marLeft w:val="0"/>
      <w:marRight w:val="0"/>
      <w:marTop w:val="0"/>
      <w:marBottom w:val="0"/>
      <w:divBdr>
        <w:top w:val="none" w:sz="0" w:space="0" w:color="auto"/>
        <w:left w:val="none" w:sz="0" w:space="0" w:color="auto"/>
        <w:bottom w:val="none" w:sz="0" w:space="0" w:color="auto"/>
        <w:right w:val="none" w:sz="0" w:space="0" w:color="auto"/>
      </w:divBdr>
    </w:div>
    <w:div w:id="597297059">
      <w:bodyDiv w:val="1"/>
      <w:marLeft w:val="0"/>
      <w:marRight w:val="0"/>
      <w:marTop w:val="0"/>
      <w:marBottom w:val="0"/>
      <w:divBdr>
        <w:top w:val="none" w:sz="0" w:space="0" w:color="auto"/>
        <w:left w:val="none" w:sz="0" w:space="0" w:color="auto"/>
        <w:bottom w:val="none" w:sz="0" w:space="0" w:color="auto"/>
        <w:right w:val="none" w:sz="0" w:space="0" w:color="auto"/>
      </w:divBdr>
    </w:div>
    <w:div w:id="678897015">
      <w:bodyDiv w:val="1"/>
      <w:marLeft w:val="0"/>
      <w:marRight w:val="0"/>
      <w:marTop w:val="0"/>
      <w:marBottom w:val="0"/>
      <w:divBdr>
        <w:top w:val="none" w:sz="0" w:space="0" w:color="auto"/>
        <w:left w:val="none" w:sz="0" w:space="0" w:color="auto"/>
        <w:bottom w:val="none" w:sz="0" w:space="0" w:color="auto"/>
        <w:right w:val="none" w:sz="0" w:space="0" w:color="auto"/>
      </w:divBdr>
    </w:div>
    <w:div w:id="680543541">
      <w:bodyDiv w:val="1"/>
      <w:marLeft w:val="0"/>
      <w:marRight w:val="0"/>
      <w:marTop w:val="0"/>
      <w:marBottom w:val="0"/>
      <w:divBdr>
        <w:top w:val="none" w:sz="0" w:space="0" w:color="auto"/>
        <w:left w:val="none" w:sz="0" w:space="0" w:color="auto"/>
        <w:bottom w:val="none" w:sz="0" w:space="0" w:color="auto"/>
        <w:right w:val="none" w:sz="0" w:space="0" w:color="auto"/>
      </w:divBdr>
    </w:div>
    <w:div w:id="892084133">
      <w:bodyDiv w:val="1"/>
      <w:marLeft w:val="0"/>
      <w:marRight w:val="0"/>
      <w:marTop w:val="0"/>
      <w:marBottom w:val="0"/>
      <w:divBdr>
        <w:top w:val="none" w:sz="0" w:space="0" w:color="auto"/>
        <w:left w:val="none" w:sz="0" w:space="0" w:color="auto"/>
        <w:bottom w:val="none" w:sz="0" w:space="0" w:color="auto"/>
        <w:right w:val="none" w:sz="0" w:space="0" w:color="auto"/>
      </w:divBdr>
    </w:div>
    <w:div w:id="1044715291">
      <w:bodyDiv w:val="1"/>
      <w:marLeft w:val="0"/>
      <w:marRight w:val="0"/>
      <w:marTop w:val="0"/>
      <w:marBottom w:val="0"/>
      <w:divBdr>
        <w:top w:val="none" w:sz="0" w:space="0" w:color="auto"/>
        <w:left w:val="none" w:sz="0" w:space="0" w:color="auto"/>
        <w:bottom w:val="none" w:sz="0" w:space="0" w:color="auto"/>
        <w:right w:val="none" w:sz="0" w:space="0" w:color="auto"/>
      </w:divBdr>
    </w:div>
    <w:div w:id="1109667518">
      <w:bodyDiv w:val="1"/>
      <w:marLeft w:val="0"/>
      <w:marRight w:val="0"/>
      <w:marTop w:val="0"/>
      <w:marBottom w:val="0"/>
      <w:divBdr>
        <w:top w:val="none" w:sz="0" w:space="0" w:color="auto"/>
        <w:left w:val="none" w:sz="0" w:space="0" w:color="auto"/>
        <w:bottom w:val="none" w:sz="0" w:space="0" w:color="auto"/>
        <w:right w:val="none" w:sz="0" w:space="0" w:color="auto"/>
      </w:divBdr>
    </w:div>
    <w:div w:id="1191727796">
      <w:bodyDiv w:val="1"/>
      <w:marLeft w:val="0"/>
      <w:marRight w:val="0"/>
      <w:marTop w:val="0"/>
      <w:marBottom w:val="0"/>
      <w:divBdr>
        <w:top w:val="none" w:sz="0" w:space="0" w:color="auto"/>
        <w:left w:val="none" w:sz="0" w:space="0" w:color="auto"/>
        <w:bottom w:val="none" w:sz="0" w:space="0" w:color="auto"/>
        <w:right w:val="none" w:sz="0" w:space="0" w:color="auto"/>
      </w:divBdr>
    </w:div>
    <w:div w:id="1231579439">
      <w:bodyDiv w:val="1"/>
      <w:marLeft w:val="0"/>
      <w:marRight w:val="0"/>
      <w:marTop w:val="0"/>
      <w:marBottom w:val="0"/>
      <w:divBdr>
        <w:top w:val="none" w:sz="0" w:space="0" w:color="auto"/>
        <w:left w:val="none" w:sz="0" w:space="0" w:color="auto"/>
        <w:bottom w:val="none" w:sz="0" w:space="0" w:color="auto"/>
        <w:right w:val="none" w:sz="0" w:space="0" w:color="auto"/>
      </w:divBdr>
    </w:div>
    <w:div w:id="1262688331">
      <w:bodyDiv w:val="1"/>
      <w:marLeft w:val="0"/>
      <w:marRight w:val="0"/>
      <w:marTop w:val="0"/>
      <w:marBottom w:val="0"/>
      <w:divBdr>
        <w:top w:val="none" w:sz="0" w:space="0" w:color="auto"/>
        <w:left w:val="none" w:sz="0" w:space="0" w:color="auto"/>
        <w:bottom w:val="none" w:sz="0" w:space="0" w:color="auto"/>
        <w:right w:val="none" w:sz="0" w:space="0" w:color="auto"/>
      </w:divBdr>
    </w:div>
    <w:div w:id="1326324426">
      <w:bodyDiv w:val="1"/>
      <w:marLeft w:val="0"/>
      <w:marRight w:val="0"/>
      <w:marTop w:val="0"/>
      <w:marBottom w:val="0"/>
      <w:divBdr>
        <w:top w:val="none" w:sz="0" w:space="0" w:color="auto"/>
        <w:left w:val="none" w:sz="0" w:space="0" w:color="auto"/>
        <w:bottom w:val="none" w:sz="0" w:space="0" w:color="auto"/>
        <w:right w:val="none" w:sz="0" w:space="0" w:color="auto"/>
      </w:divBdr>
      <w:divsChild>
        <w:div w:id="1048529634">
          <w:marLeft w:val="0"/>
          <w:marRight w:val="0"/>
          <w:marTop w:val="0"/>
          <w:marBottom w:val="0"/>
          <w:divBdr>
            <w:top w:val="none" w:sz="0" w:space="0" w:color="auto"/>
            <w:left w:val="none" w:sz="0" w:space="0" w:color="auto"/>
            <w:bottom w:val="none" w:sz="0" w:space="0" w:color="auto"/>
            <w:right w:val="none" w:sz="0" w:space="0" w:color="auto"/>
          </w:divBdr>
          <w:divsChild>
            <w:div w:id="1994873130">
              <w:marLeft w:val="0"/>
              <w:marRight w:val="0"/>
              <w:marTop w:val="0"/>
              <w:marBottom w:val="169"/>
              <w:divBdr>
                <w:top w:val="none" w:sz="0" w:space="0" w:color="auto"/>
                <w:left w:val="none" w:sz="0" w:space="0" w:color="auto"/>
                <w:bottom w:val="none" w:sz="0" w:space="0" w:color="auto"/>
                <w:right w:val="none" w:sz="0" w:space="0" w:color="auto"/>
              </w:divBdr>
              <w:divsChild>
                <w:div w:id="1981766682">
                  <w:marLeft w:val="0"/>
                  <w:marRight w:val="0"/>
                  <w:marTop w:val="0"/>
                  <w:marBottom w:val="0"/>
                  <w:divBdr>
                    <w:top w:val="none" w:sz="0" w:space="0" w:color="auto"/>
                    <w:left w:val="none" w:sz="0" w:space="0" w:color="auto"/>
                    <w:bottom w:val="none" w:sz="0" w:space="0" w:color="auto"/>
                    <w:right w:val="none" w:sz="0" w:space="0" w:color="auto"/>
                  </w:divBdr>
                  <w:divsChild>
                    <w:div w:id="834539898">
                      <w:marLeft w:val="0"/>
                      <w:marRight w:val="0"/>
                      <w:marTop w:val="0"/>
                      <w:marBottom w:val="0"/>
                      <w:divBdr>
                        <w:top w:val="none" w:sz="0" w:space="0" w:color="auto"/>
                        <w:left w:val="none" w:sz="0" w:space="0" w:color="auto"/>
                        <w:bottom w:val="none" w:sz="0" w:space="0" w:color="auto"/>
                        <w:right w:val="none" w:sz="0" w:space="0" w:color="auto"/>
                      </w:divBdr>
                      <w:divsChild>
                        <w:div w:id="855727545">
                          <w:marLeft w:val="0"/>
                          <w:marRight w:val="0"/>
                          <w:marTop w:val="0"/>
                          <w:marBottom w:val="0"/>
                          <w:divBdr>
                            <w:top w:val="none" w:sz="0" w:space="0" w:color="auto"/>
                            <w:left w:val="none" w:sz="0" w:space="0" w:color="auto"/>
                            <w:bottom w:val="none" w:sz="0" w:space="0" w:color="auto"/>
                            <w:right w:val="none" w:sz="0" w:space="0" w:color="auto"/>
                          </w:divBdr>
                        </w:div>
                        <w:div w:id="1730105354">
                          <w:marLeft w:val="0"/>
                          <w:marRight w:val="0"/>
                          <w:marTop w:val="0"/>
                          <w:marBottom w:val="0"/>
                          <w:divBdr>
                            <w:top w:val="none" w:sz="0" w:space="0" w:color="auto"/>
                            <w:left w:val="none" w:sz="0" w:space="0" w:color="auto"/>
                            <w:bottom w:val="none" w:sz="0" w:space="0" w:color="auto"/>
                            <w:right w:val="none" w:sz="0" w:space="0" w:color="auto"/>
                          </w:divBdr>
                        </w:div>
                        <w:div w:id="20948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328874">
      <w:bodyDiv w:val="1"/>
      <w:marLeft w:val="0"/>
      <w:marRight w:val="0"/>
      <w:marTop w:val="0"/>
      <w:marBottom w:val="0"/>
      <w:divBdr>
        <w:top w:val="none" w:sz="0" w:space="0" w:color="auto"/>
        <w:left w:val="none" w:sz="0" w:space="0" w:color="auto"/>
        <w:bottom w:val="none" w:sz="0" w:space="0" w:color="auto"/>
        <w:right w:val="none" w:sz="0" w:space="0" w:color="auto"/>
      </w:divBdr>
    </w:div>
    <w:div w:id="1400708826">
      <w:bodyDiv w:val="1"/>
      <w:marLeft w:val="0"/>
      <w:marRight w:val="0"/>
      <w:marTop w:val="0"/>
      <w:marBottom w:val="0"/>
      <w:divBdr>
        <w:top w:val="none" w:sz="0" w:space="0" w:color="auto"/>
        <w:left w:val="none" w:sz="0" w:space="0" w:color="auto"/>
        <w:bottom w:val="none" w:sz="0" w:space="0" w:color="auto"/>
        <w:right w:val="none" w:sz="0" w:space="0" w:color="auto"/>
      </w:divBdr>
      <w:divsChild>
        <w:div w:id="1120031812">
          <w:marLeft w:val="0"/>
          <w:marRight w:val="0"/>
          <w:marTop w:val="0"/>
          <w:marBottom w:val="0"/>
          <w:divBdr>
            <w:top w:val="none" w:sz="0" w:space="0" w:color="auto"/>
            <w:left w:val="none" w:sz="0" w:space="0" w:color="auto"/>
            <w:bottom w:val="none" w:sz="0" w:space="0" w:color="auto"/>
            <w:right w:val="none" w:sz="0" w:space="0" w:color="auto"/>
          </w:divBdr>
          <w:divsChild>
            <w:div w:id="1300962051">
              <w:marLeft w:val="0"/>
              <w:marRight w:val="0"/>
              <w:marTop w:val="0"/>
              <w:marBottom w:val="0"/>
              <w:divBdr>
                <w:top w:val="none" w:sz="0" w:space="0" w:color="auto"/>
                <w:left w:val="none" w:sz="0" w:space="0" w:color="auto"/>
                <w:bottom w:val="none" w:sz="0" w:space="0" w:color="auto"/>
                <w:right w:val="none" w:sz="0" w:space="0" w:color="auto"/>
              </w:divBdr>
              <w:divsChild>
                <w:div w:id="2075229201">
                  <w:marLeft w:val="0"/>
                  <w:marRight w:val="0"/>
                  <w:marTop w:val="0"/>
                  <w:marBottom w:val="0"/>
                  <w:divBdr>
                    <w:top w:val="none" w:sz="0" w:space="0" w:color="auto"/>
                    <w:left w:val="none" w:sz="0" w:space="0" w:color="auto"/>
                    <w:bottom w:val="none" w:sz="0" w:space="0" w:color="auto"/>
                    <w:right w:val="none" w:sz="0" w:space="0" w:color="auto"/>
                  </w:divBdr>
                  <w:divsChild>
                    <w:div w:id="151682163">
                      <w:marLeft w:val="0"/>
                      <w:marRight w:val="0"/>
                      <w:marTop w:val="0"/>
                      <w:marBottom w:val="0"/>
                      <w:divBdr>
                        <w:top w:val="none" w:sz="0" w:space="0" w:color="auto"/>
                        <w:left w:val="none" w:sz="0" w:space="0" w:color="auto"/>
                        <w:bottom w:val="none" w:sz="0" w:space="0" w:color="auto"/>
                        <w:right w:val="none" w:sz="0" w:space="0" w:color="auto"/>
                      </w:divBdr>
                      <w:divsChild>
                        <w:div w:id="173600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274226">
      <w:bodyDiv w:val="1"/>
      <w:marLeft w:val="0"/>
      <w:marRight w:val="0"/>
      <w:marTop w:val="0"/>
      <w:marBottom w:val="0"/>
      <w:divBdr>
        <w:top w:val="none" w:sz="0" w:space="0" w:color="auto"/>
        <w:left w:val="none" w:sz="0" w:space="0" w:color="auto"/>
        <w:bottom w:val="none" w:sz="0" w:space="0" w:color="auto"/>
        <w:right w:val="none" w:sz="0" w:space="0" w:color="auto"/>
      </w:divBdr>
    </w:div>
    <w:div w:id="1565410985">
      <w:bodyDiv w:val="1"/>
      <w:marLeft w:val="0"/>
      <w:marRight w:val="0"/>
      <w:marTop w:val="0"/>
      <w:marBottom w:val="0"/>
      <w:divBdr>
        <w:top w:val="none" w:sz="0" w:space="0" w:color="auto"/>
        <w:left w:val="none" w:sz="0" w:space="0" w:color="auto"/>
        <w:bottom w:val="none" w:sz="0" w:space="0" w:color="auto"/>
        <w:right w:val="none" w:sz="0" w:space="0" w:color="auto"/>
      </w:divBdr>
    </w:div>
    <w:div w:id="1577545436">
      <w:bodyDiv w:val="1"/>
      <w:marLeft w:val="0"/>
      <w:marRight w:val="0"/>
      <w:marTop w:val="0"/>
      <w:marBottom w:val="0"/>
      <w:divBdr>
        <w:top w:val="none" w:sz="0" w:space="0" w:color="auto"/>
        <w:left w:val="none" w:sz="0" w:space="0" w:color="auto"/>
        <w:bottom w:val="none" w:sz="0" w:space="0" w:color="auto"/>
        <w:right w:val="none" w:sz="0" w:space="0" w:color="auto"/>
      </w:divBdr>
    </w:div>
    <w:div w:id="1618439577">
      <w:bodyDiv w:val="1"/>
      <w:marLeft w:val="0"/>
      <w:marRight w:val="0"/>
      <w:marTop w:val="0"/>
      <w:marBottom w:val="0"/>
      <w:divBdr>
        <w:top w:val="none" w:sz="0" w:space="0" w:color="auto"/>
        <w:left w:val="none" w:sz="0" w:space="0" w:color="auto"/>
        <w:bottom w:val="none" w:sz="0" w:space="0" w:color="auto"/>
        <w:right w:val="none" w:sz="0" w:space="0" w:color="auto"/>
      </w:divBdr>
    </w:div>
    <w:div w:id="1624579720">
      <w:bodyDiv w:val="1"/>
      <w:marLeft w:val="0"/>
      <w:marRight w:val="0"/>
      <w:marTop w:val="0"/>
      <w:marBottom w:val="0"/>
      <w:divBdr>
        <w:top w:val="none" w:sz="0" w:space="0" w:color="auto"/>
        <w:left w:val="none" w:sz="0" w:space="0" w:color="auto"/>
        <w:bottom w:val="none" w:sz="0" w:space="0" w:color="auto"/>
        <w:right w:val="none" w:sz="0" w:space="0" w:color="auto"/>
      </w:divBdr>
    </w:div>
    <w:div w:id="1657227895">
      <w:bodyDiv w:val="1"/>
      <w:marLeft w:val="0"/>
      <w:marRight w:val="0"/>
      <w:marTop w:val="0"/>
      <w:marBottom w:val="0"/>
      <w:divBdr>
        <w:top w:val="none" w:sz="0" w:space="0" w:color="auto"/>
        <w:left w:val="none" w:sz="0" w:space="0" w:color="auto"/>
        <w:bottom w:val="none" w:sz="0" w:space="0" w:color="auto"/>
        <w:right w:val="none" w:sz="0" w:space="0" w:color="auto"/>
      </w:divBdr>
    </w:div>
    <w:div w:id="1764302083">
      <w:bodyDiv w:val="1"/>
      <w:marLeft w:val="0"/>
      <w:marRight w:val="0"/>
      <w:marTop w:val="0"/>
      <w:marBottom w:val="0"/>
      <w:divBdr>
        <w:top w:val="none" w:sz="0" w:space="0" w:color="auto"/>
        <w:left w:val="none" w:sz="0" w:space="0" w:color="auto"/>
        <w:bottom w:val="none" w:sz="0" w:space="0" w:color="auto"/>
        <w:right w:val="none" w:sz="0" w:space="0" w:color="auto"/>
      </w:divBdr>
    </w:div>
    <w:div w:id="1980039264">
      <w:bodyDiv w:val="1"/>
      <w:marLeft w:val="0"/>
      <w:marRight w:val="0"/>
      <w:marTop w:val="0"/>
      <w:marBottom w:val="0"/>
      <w:divBdr>
        <w:top w:val="none" w:sz="0" w:space="0" w:color="auto"/>
        <w:left w:val="none" w:sz="0" w:space="0" w:color="auto"/>
        <w:bottom w:val="none" w:sz="0" w:space="0" w:color="auto"/>
        <w:right w:val="none" w:sz="0" w:space="0" w:color="auto"/>
      </w:divBdr>
      <w:divsChild>
        <w:div w:id="1142887592">
          <w:marLeft w:val="0"/>
          <w:marRight w:val="0"/>
          <w:marTop w:val="0"/>
          <w:marBottom w:val="0"/>
          <w:divBdr>
            <w:top w:val="none" w:sz="0" w:space="0" w:color="auto"/>
            <w:left w:val="none" w:sz="0" w:space="0" w:color="auto"/>
            <w:bottom w:val="none" w:sz="0" w:space="0" w:color="auto"/>
            <w:right w:val="none" w:sz="0" w:space="0" w:color="auto"/>
          </w:divBdr>
          <w:divsChild>
            <w:div w:id="670645054">
              <w:marLeft w:val="0"/>
              <w:marRight w:val="0"/>
              <w:marTop w:val="0"/>
              <w:marBottom w:val="0"/>
              <w:divBdr>
                <w:top w:val="none" w:sz="0" w:space="0" w:color="auto"/>
                <w:left w:val="none" w:sz="0" w:space="0" w:color="auto"/>
                <w:bottom w:val="none" w:sz="0" w:space="0" w:color="auto"/>
                <w:right w:val="none" w:sz="0" w:space="0" w:color="auto"/>
              </w:divBdr>
              <w:divsChild>
                <w:div w:id="1979872535">
                  <w:marLeft w:val="0"/>
                  <w:marRight w:val="0"/>
                  <w:marTop w:val="0"/>
                  <w:marBottom w:val="0"/>
                  <w:divBdr>
                    <w:top w:val="none" w:sz="0" w:space="0" w:color="auto"/>
                    <w:left w:val="none" w:sz="0" w:space="0" w:color="auto"/>
                    <w:bottom w:val="none" w:sz="0" w:space="0" w:color="auto"/>
                    <w:right w:val="none" w:sz="0" w:space="0" w:color="auto"/>
                  </w:divBdr>
                  <w:divsChild>
                    <w:div w:id="1334449513">
                      <w:marLeft w:val="0"/>
                      <w:marRight w:val="0"/>
                      <w:marTop w:val="0"/>
                      <w:marBottom w:val="0"/>
                      <w:divBdr>
                        <w:top w:val="none" w:sz="0" w:space="0" w:color="auto"/>
                        <w:left w:val="none" w:sz="0" w:space="0" w:color="auto"/>
                        <w:bottom w:val="none" w:sz="0" w:space="0" w:color="auto"/>
                        <w:right w:val="none" w:sz="0" w:space="0" w:color="auto"/>
                      </w:divBdr>
                      <w:divsChild>
                        <w:div w:id="38360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552000">
      <w:bodyDiv w:val="1"/>
      <w:marLeft w:val="0"/>
      <w:marRight w:val="0"/>
      <w:marTop w:val="0"/>
      <w:marBottom w:val="0"/>
      <w:divBdr>
        <w:top w:val="none" w:sz="0" w:space="0" w:color="auto"/>
        <w:left w:val="none" w:sz="0" w:space="0" w:color="auto"/>
        <w:bottom w:val="none" w:sz="0" w:space="0" w:color="auto"/>
        <w:right w:val="none" w:sz="0" w:space="0" w:color="auto"/>
      </w:divBdr>
    </w:div>
    <w:div w:id="202998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7E813A778C1B4BAD7753BE6071BE58" ma:contentTypeVersion="1" ma:contentTypeDescription="Create a new document." ma:contentTypeScope="" ma:versionID="d0303b744bc782e292a6ab8d29c03290">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9F7B6B-949E-4F55-B996-6198928E6185}"/>
</file>

<file path=customXml/itemProps2.xml><?xml version="1.0" encoding="utf-8"?>
<ds:datastoreItem xmlns:ds="http://schemas.openxmlformats.org/officeDocument/2006/customXml" ds:itemID="{C7ECB911-CB5E-4914-89E5-7A0590B3F3CD}"/>
</file>

<file path=customXml/itemProps3.xml><?xml version="1.0" encoding="utf-8"?>
<ds:datastoreItem xmlns:ds="http://schemas.openxmlformats.org/officeDocument/2006/customXml" ds:itemID="{0D4A940D-9EE0-4C47-A1B5-3C17B0E8B0EE}"/>
</file>

<file path=customXml/itemProps4.xml><?xml version="1.0" encoding="utf-8"?>
<ds:datastoreItem xmlns:ds="http://schemas.openxmlformats.org/officeDocument/2006/customXml" ds:itemID="{C9DA69CA-CB27-4BF7-893B-5C29DBD4C092}"/>
</file>

<file path=docProps/app.xml><?xml version="1.0" encoding="utf-8"?>
<Properties xmlns="http://schemas.openxmlformats.org/officeDocument/2006/extended-properties" xmlns:vt="http://schemas.openxmlformats.org/officeDocument/2006/docPropsVTypes">
  <Template>Normal.dotm</Template>
  <TotalTime>0</TotalTime>
  <Pages>18</Pages>
  <Words>5505</Words>
  <Characters>33267</Characters>
  <Application>Microsoft Office Word</Application>
  <DocSecurity>4</DocSecurity>
  <Lines>277</Lines>
  <Paragraphs>77</Paragraphs>
  <ScaleCrop>false</ScaleCrop>
  <LinksUpToDate>false</LinksUpToDate>
  <CharactersWithSpaces>38695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2010-08-10T06:02:00Z</cp:lastPrinted>
  <dcterms:created xsi:type="dcterms:W3CDTF">2015-08-23T23:10:00Z</dcterms:created>
  <dcterms:modified xsi:type="dcterms:W3CDTF">2015-08-23T23:10:00Z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0x010100717E813A778C1B4BAD7753BE6071BE58</vt:lpwstr>
  </property>
</Properties>
</file>