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E1EE2" w14:textId="77777777" w:rsidR="00B91FBE" w:rsidRPr="00CB49EE" w:rsidRDefault="00E9013F" w:rsidP="00405364">
      <w:pPr>
        <w:spacing w:before="480"/>
        <w:jc w:val="center"/>
        <w:rPr>
          <w:rFonts w:asciiTheme="majorHAnsi" w:hAnsiTheme="majorHAnsi" w:cstheme="majorHAnsi"/>
          <w:sz w:val="52"/>
          <w:szCs w:val="52"/>
        </w:rPr>
      </w:pPr>
      <w:r w:rsidRPr="00CB49EE">
        <w:rPr>
          <w:rFonts w:asciiTheme="majorHAnsi" w:hAnsiTheme="majorHAnsi" w:cstheme="majorHAnsi"/>
          <w:b/>
          <w:sz w:val="52"/>
          <w:szCs w:val="52"/>
        </w:rPr>
        <w:t>Inspector-General of Biosecurity</w:t>
      </w:r>
    </w:p>
    <w:p w14:paraId="50B37FF8" w14:textId="5A78519E" w:rsidR="00B91FBE" w:rsidRPr="0032470A" w:rsidRDefault="00E9013F" w:rsidP="0032470A">
      <w:pPr>
        <w:pStyle w:val="Heading1"/>
        <w:spacing w:before="120"/>
        <w:jc w:val="center"/>
        <w:rPr>
          <w:rFonts w:cstheme="majorHAnsi"/>
          <w:sz w:val="72"/>
          <w:szCs w:val="72"/>
        </w:rPr>
      </w:pPr>
      <w:r w:rsidRPr="0032470A">
        <w:rPr>
          <w:rFonts w:cstheme="majorHAnsi"/>
          <w:sz w:val="72"/>
          <w:szCs w:val="72"/>
        </w:rPr>
        <w:t>Strategy 202</w:t>
      </w:r>
      <w:r w:rsidR="00124CB1">
        <w:rPr>
          <w:rFonts w:cstheme="majorHAnsi"/>
          <w:sz w:val="72"/>
          <w:szCs w:val="72"/>
        </w:rPr>
        <w:t>5</w:t>
      </w:r>
      <w:r w:rsidRPr="0032470A">
        <w:rPr>
          <w:rFonts w:cstheme="majorHAnsi"/>
          <w:sz w:val="72"/>
          <w:szCs w:val="72"/>
        </w:rPr>
        <w:t>–3</w:t>
      </w:r>
      <w:r w:rsidR="00124CB1">
        <w:rPr>
          <w:rFonts w:cstheme="majorHAnsi"/>
          <w:sz w:val="72"/>
          <w:szCs w:val="72"/>
        </w:rPr>
        <w:t>0</w:t>
      </w:r>
    </w:p>
    <w:p w14:paraId="4E46C10B" w14:textId="77777777" w:rsidR="00A7345D" w:rsidRDefault="00A7345D">
      <w:pPr>
        <w:jc w:val="center"/>
        <w:rPr>
          <w:rFonts w:asciiTheme="majorHAnsi" w:hAnsiTheme="majorHAnsi" w:cstheme="majorHAnsi"/>
          <w:iCs/>
          <w:sz w:val="40"/>
          <w:szCs w:val="40"/>
        </w:rPr>
      </w:pPr>
    </w:p>
    <w:p w14:paraId="4832E575" w14:textId="77777777" w:rsidR="00A7345D" w:rsidRDefault="00A7345D">
      <w:pPr>
        <w:jc w:val="center"/>
        <w:rPr>
          <w:rFonts w:asciiTheme="majorHAnsi" w:hAnsiTheme="majorHAnsi" w:cstheme="majorHAnsi"/>
          <w:iCs/>
          <w:sz w:val="40"/>
          <w:szCs w:val="40"/>
        </w:rPr>
      </w:pPr>
    </w:p>
    <w:p w14:paraId="14159B65" w14:textId="77777777" w:rsidR="00A7345D" w:rsidRDefault="00A7345D">
      <w:pPr>
        <w:jc w:val="center"/>
        <w:rPr>
          <w:rFonts w:asciiTheme="majorHAnsi" w:hAnsiTheme="majorHAnsi" w:cstheme="majorHAnsi"/>
          <w:iCs/>
          <w:sz w:val="40"/>
          <w:szCs w:val="40"/>
        </w:rPr>
      </w:pPr>
    </w:p>
    <w:p w14:paraId="76986EEA" w14:textId="77777777" w:rsidR="00A7345D" w:rsidRDefault="00A7345D">
      <w:pPr>
        <w:jc w:val="center"/>
        <w:rPr>
          <w:rFonts w:asciiTheme="majorHAnsi" w:hAnsiTheme="majorHAnsi" w:cstheme="majorHAnsi"/>
          <w:iCs/>
          <w:sz w:val="40"/>
          <w:szCs w:val="40"/>
        </w:rPr>
      </w:pPr>
    </w:p>
    <w:p w14:paraId="56A21830" w14:textId="77777777" w:rsidR="00A7345D" w:rsidRDefault="00A7345D">
      <w:pPr>
        <w:jc w:val="center"/>
        <w:rPr>
          <w:rFonts w:asciiTheme="majorHAnsi" w:hAnsiTheme="majorHAnsi" w:cstheme="majorHAnsi"/>
          <w:iCs/>
          <w:sz w:val="40"/>
          <w:szCs w:val="40"/>
        </w:rPr>
      </w:pPr>
    </w:p>
    <w:p w14:paraId="06AD4D8F" w14:textId="77777777" w:rsidR="00A7345D" w:rsidRDefault="00A7345D">
      <w:pPr>
        <w:jc w:val="center"/>
        <w:rPr>
          <w:rFonts w:asciiTheme="majorHAnsi" w:hAnsiTheme="majorHAnsi" w:cstheme="majorHAnsi"/>
          <w:iCs/>
          <w:sz w:val="40"/>
          <w:szCs w:val="40"/>
        </w:rPr>
      </w:pPr>
    </w:p>
    <w:p w14:paraId="2C226473" w14:textId="77777777" w:rsidR="00A7345D" w:rsidRDefault="00A7345D">
      <w:pPr>
        <w:jc w:val="center"/>
        <w:rPr>
          <w:rFonts w:asciiTheme="majorHAnsi" w:hAnsiTheme="majorHAnsi" w:cstheme="majorHAnsi"/>
          <w:iCs/>
          <w:sz w:val="40"/>
          <w:szCs w:val="40"/>
        </w:rPr>
      </w:pPr>
    </w:p>
    <w:p w14:paraId="11415861" w14:textId="77777777" w:rsidR="00A7345D" w:rsidRDefault="00A7345D">
      <w:pPr>
        <w:jc w:val="center"/>
        <w:rPr>
          <w:rFonts w:asciiTheme="majorHAnsi" w:hAnsiTheme="majorHAnsi" w:cstheme="majorHAnsi"/>
          <w:iCs/>
          <w:sz w:val="40"/>
          <w:szCs w:val="40"/>
        </w:rPr>
      </w:pPr>
    </w:p>
    <w:p w14:paraId="421543F6" w14:textId="77777777" w:rsidR="00A7345D" w:rsidRDefault="00A7345D">
      <w:pPr>
        <w:jc w:val="center"/>
        <w:rPr>
          <w:rFonts w:asciiTheme="majorHAnsi" w:hAnsiTheme="majorHAnsi" w:cstheme="majorHAnsi"/>
          <w:iCs/>
          <w:sz w:val="40"/>
          <w:szCs w:val="40"/>
        </w:rPr>
      </w:pPr>
    </w:p>
    <w:p w14:paraId="1ACA0196" w14:textId="77777777" w:rsidR="00A7345D" w:rsidRDefault="00A7345D">
      <w:pPr>
        <w:jc w:val="center"/>
        <w:rPr>
          <w:rFonts w:asciiTheme="majorHAnsi" w:hAnsiTheme="majorHAnsi" w:cstheme="majorHAnsi"/>
          <w:iCs/>
          <w:sz w:val="40"/>
          <w:szCs w:val="40"/>
        </w:rPr>
      </w:pPr>
    </w:p>
    <w:p w14:paraId="70638BD9" w14:textId="77777777" w:rsidR="00A7345D" w:rsidRDefault="00A7345D">
      <w:pPr>
        <w:jc w:val="center"/>
        <w:rPr>
          <w:rFonts w:asciiTheme="majorHAnsi" w:hAnsiTheme="majorHAnsi" w:cstheme="majorHAnsi"/>
          <w:iCs/>
          <w:sz w:val="40"/>
          <w:szCs w:val="40"/>
        </w:rPr>
      </w:pPr>
    </w:p>
    <w:p w14:paraId="2D5EBC1E" w14:textId="77777777" w:rsidR="00A7345D" w:rsidRDefault="00A7345D">
      <w:pPr>
        <w:jc w:val="center"/>
        <w:rPr>
          <w:rFonts w:asciiTheme="majorHAnsi" w:hAnsiTheme="majorHAnsi" w:cstheme="majorHAnsi"/>
          <w:iCs/>
          <w:sz w:val="40"/>
          <w:szCs w:val="40"/>
        </w:rPr>
      </w:pPr>
    </w:p>
    <w:p w14:paraId="11412BF5" w14:textId="0403A535" w:rsidR="00B91FBE" w:rsidRPr="00D95227" w:rsidRDefault="00CB49EE">
      <w:pPr>
        <w:jc w:val="center"/>
        <w:rPr>
          <w:rFonts w:asciiTheme="majorHAnsi" w:hAnsiTheme="majorHAnsi" w:cstheme="majorHAnsi"/>
          <w:iCs/>
          <w:sz w:val="40"/>
          <w:szCs w:val="40"/>
        </w:rPr>
      </w:pPr>
      <w:r>
        <w:rPr>
          <w:rFonts w:asciiTheme="majorHAnsi" w:hAnsiTheme="majorHAnsi" w:cstheme="majorHAnsi"/>
          <w:iCs/>
          <w:sz w:val="40"/>
          <w:szCs w:val="40"/>
        </w:rPr>
        <w:t>6</w:t>
      </w:r>
      <w:r w:rsidR="009D3D4E">
        <w:rPr>
          <w:rFonts w:asciiTheme="majorHAnsi" w:hAnsiTheme="majorHAnsi" w:cstheme="majorHAnsi"/>
          <w:iCs/>
          <w:sz w:val="40"/>
          <w:szCs w:val="40"/>
        </w:rPr>
        <w:t xml:space="preserve"> May</w:t>
      </w:r>
      <w:r w:rsidR="00E9013F" w:rsidRPr="00D95227">
        <w:rPr>
          <w:rFonts w:asciiTheme="majorHAnsi" w:hAnsiTheme="majorHAnsi" w:cstheme="majorHAnsi"/>
          <w:iCs/>
          <w:sz w:val="40"/>
          <w:szCs w:val="40"/>
        </w:rPr>
        <w:t xml:space="preserve"> 2026</w:t>
      </w:r>
    </w:p>
    <w:p w14:paraId="0F794834" w14:textId="77777777" w:rsidR="00B91FBE" w:rsidRPr="00536C7E" w:rsidRDefault="00B91FBE">
      <w:pPr>
        <w:rPr>
          <w:rFonts w:asciiTheme="majorHAnsi" w:hAnsiTheme="majorHAnsi" w:cstheme="majorHAnsi"/>
        </w:rPr>
      </w:pPr>
    </w:p>
    <w:p w14:paraId="2F6B4FEF" w14:textId="243721F7" w:rsidR="00B91FBE" w:rsidRPr="00405364" w:rsidRDefault="00E9013F">
      <w:pPr>
        <w:jc w:val="center"/>
        <w:rPr>
          <w:rFonts w:asciiTheme="majorHAnsi" w:hAnsiTheme="majorHAnsi" w:cstheme="majorHAnsi"/>
          <w:sz w:val="22"/>
        </w:rPr>
      </w:pPr>
      <w:r w:rsidRPr="00405364">
        <w:rPr>
          <w:rFonts w:asciiTheme="majorHAnsi" w:hAnsiTheme="majorHAnsi" w:cstheme="majorHAnsi"/>
          <w:sz w:val="22"/>
        </w:rPr>
        <w:t>This strategy sets the direction for the Inspector-General of Biosecurity from 202</w:t>
      </w:r>
      <w:r w:rsidR="00124CB1">
        <w:rPr>
          <w:rFonts w:asciiTheme="majorHAnsi" w:hAnsiTheme="majorHAnsi" w:cstheme="majorHAnsi"/>
          <w:sz w:val="22"/>
        </w:rPr>
        <w:t>5</w:t>
      </w:r>
      <w:r w:rsidRPr="00405364">
        <w:rPr>
          <w:rFonts w:asciiTheme="majorHAnsi" w:hAnsiTheme="majorHAnsi" w:cstheme="majorHAnsi"/>
          <w:sz w:val="22"/>
        </w:rPr>
        <w:t xml:space="preserve"> to 203</w:t>
      </w:r>
      <w:r w:rsidR="00124CB1">
        <w:rPr>
          <w:rFonts w:asciiTheme="majorHAnsi" w:hAnsiTheme="majorHAnsi" w:cstheme="majorHAnsi"/>
          <w:sz w:val="22"/>
        </w:rPr>
        <w:t>0</w:t>
      </w:r>
      <w:r w:rsidRPr="00405364">
        <w:rPr>
          <w:rFonts w:asciiTheme="majorHAnsi" w:hAnsiTheme="majorHAnsi" w:cstheme="majorHAnsi"/>
          <w:sz w:val="22"/>
        </w:rPr>
        <w:t>. It is intended to provide a clear, current and practical statement of purpose, priorities and ways of working.</w:t>
      </w:r>
    </w:p>
    <w:p w14:paraId="42E661DC" w14:textId="2BB0E91E" w:rsidR="00B91FBE" w:rsidRPr="00536C7E" w:rsidRDefault="00E9013F">
      <w:pPr>
        <w:jc w:val="center"/>
        <w:rPr>
          <w:rFonts w:asciiTheme="majorHAnsi" w:hAnsiTheme="majorHAnsi" w:cstheme="majorHAnsi"/>
        </w:rPr>
      </w:pPr>
      <w:r w:rsidRPr="00536C7E">
        <w:rPr>
          <w:rFonts w:asciiTheme="majorHAnsi" w:hAnsiTheme="majorHAnsi" w:cstheme="majorHAnsi"/>
          <w:sz w:val="20"/>
        </w:rPr>
        <w:t xml:space="preserve">Contact: </w:t>
      </w:r>
      <w:hyperlink r:id="rId11" w:history="1">
        <w:r w:rsidR="00A7345D" w:rsidRPr="00083D8C">
          <w:rPr>
            <w:rStyle w:val="Hyperlink"/>
            <w:rFonts w:asciiTheme="majorHAnsi" w:hAnsiTheme="majorHAnsi" w:cstheme="majorHAnsi"/>
            <w:sz w:val="20"/>
          </w:rPr>
          <w:t>InspGenBiosecurity@aff.gov.au</w:t>
        </w:r>
      </w:hyperlink>
      <w:r w:rsidR="00A7345D">
        <w:rPr>
          <w:rFonts w:asciiTheme="majorHAnsi" w:hAnsiTheme="majorHAnsi" w:cstheme="majorHAnsi"/>
          <w:sz w:val="20"/>
        </w:rPr>
        <w:t xml:space="preserve"> </w:t>
      </w:r>
      <w:r w:rsidRPr="00536C7E">
        <w:rPr>
          <w:rFonts w:asciiTheme="majorHAnsi" w:hAnsiTheme="majorHAnsi" w:cstheme="majorHAnsi"/>
          <w:sz w:val="20"/>
        </w:rPr>
        <w:t xml:space="preserve">| </w:t>
      </w:r>
      <w:hyperlink r:id="rId12" w:history="1">
        <w:r w:rsidR="00A7345D" w:rsidRPr="00083D8C">
          <w:rPr>
            <w:rStyle w:val="Hyperlink"/>
            <w:rFonts w:asciiTheme="majorHAnsi" w:hAnsiTheme="majorHAnsi" w:cstheme="majorHAnsi"/>
            <w:sz w:val="20"/>
          </w:rPr>
          <w:t>www.igb.gov.au</w:t>
        </w:r>
      </w:hyperlink>
    </w:p>
    <w:p w14:paraId="1B450D31" w14:textId="77777777" w:rsidR="00B91FBE" w:rsidRPr="00536C7E" w:rsidRDefault="00B91FBE">
      <w:pPr>
        <w:rPr>
          <w:rFonts w:asciiTheme="majorHAnsi" w:hAnsiTheme="majorHAnsi" w:cstheme="majorHAnsi"/>
        </w:rPr>
        <w:sectPr w:rsidR="00B91FBE" w:rsidRPr="00536C7E" w:rsidSect="0032470A">
          <w:headerReference w:type="even" r:id="rId13"/>
          <w:headerReference w:type="default" r:id="rId14"/>
          <w:footerReference w:type="even" r:id="rId15"/>
          <w:footerReference w:type="default" r:id="rId16"/>
          <w:headerReference w:type="first" r:id="rId17"/>
          <w:footerReference w:type="first" r:id="rId18"/>
          <w:pgSz w:w="12240" w:h="15840"/>
          <w:pgMar w:top="1296" w:right="1440" w:bottom="1152" w:left="1440" w:header="720" w:footer="720" w:gutter="0"/>
          <w:cols w:space="720"/>
          <w:titlePg/>
          <w:docGrid w:linePitch="360"/>
        </w:sectPr>
      </w:pPr>
    </w:p>
    <w:p w14:paraId="4317C33A" w14:textId="2418A6F8" w:rsidR="00B91FBE" w:rsidRPr="00536C7E" w:rsidRDefault="00D27C1F" w:rsidP="00337DC1">
      <w:pPr>
        <w:pStyle w:val="Heading1"/>
        <w:spacing w:before="120"/>
        <w:rPr>
          <w:rFonts w:cstheme="majorHAnsi"/>
        </w:rPr>
      </w:pPr>
      <w:r>
        <w:rPr>
          <w:rFonts w:cstheme="majorHAnsi"/>
        </w:rPr>
        <w:lastRenderedPageBreak/>
        <w:t>V</w:t>
      </w:r>
      <w:r w:rsidR="00E9013F" w:rsidRPr="00536C7E">
        <w:rPr>
          <w:rFonts w:cstheme="majorHAnsi"/>
        </w:rPr>
        <w:t>ision</w:t>
      </w:r>
    </w:p>
    <w:p w14:paraId="01A96B48" w14:textId="6D993CC0" w:rsidR="00B91FBE" w:rsidRPr="00C20425" w:rsidRDefault="0011698F" w:rsidP="00337DC1">
      <w:pPr>
        <w:spacing w:before="60"/>
      </w:pPr>
      <w:r>
        <w:t xml:space="preserve">An effective and efficient </w:t>
      </w:r>
      <w:r w:rsidR="00E9013F">
        <w:t>biosecurity system</w:t>
      </w:r>
      <w:r w:rsidR="00291A1A">
        <w:t xml:space="preserve"> that</w:t>
      </w:r>
      <w:r w:rsidR="142E4CB3">
        <w:t xml:space="preserve"> benefits all Australians</w:t>
      </w:r>
      <w:r w:rsidR="00E9013F">
        <w:t>.</w:t>
      </w:r>
    </w:p>
    <w:p w14:paraId="5B854926" w14:textId="4ABC2642" w:rsidR="00B91FBE" w:rsidRPr="00536C7E" w:rsidRDefault="00D27C1F" w:rsidP="00337DC1">
      <w:pPr>
        <w:pStyle w:val="Heading1"/>
        <w:spacing w:before="120"/>
        <w:rPr>
          <w:rFonts w:cstheme="majorHAnsi"/>
        </w:rPr>
      </w:pPr>
      <w:r>
        <w:rPr>
          <w:rFonts w:cstheme="majorHAnsi"/>
        </w:rPr>
        <w:t>P</w:t>
      </w:r>
      <w:r w:rsidR="00E9013F" w:rsidRPr="00536C7E">
        <w:rPr>
          <w:rFonts w:cstheme="majorHAnsi"/>
        </w:rPr>
        <w:t>urpose</w:t>
      </w:r>
    </w:p>
    <w:p w14:paraId="23542627" w14:textId="128D23FD" w:rsidR="00B91FBE" w:rsidRPr="00C20425" w:rsidRDefault="00E9013F" w:rsidP="00337DC1">
      <w:pPr>
        <w:spacing w:before="60"/>
      </w:pPr>
      <w:r w:rsidRPr="00C20425">
        <w:t xml:space="preserve">The Inspector-General of Biosecurity </w:t>
      </w:r>
      <w:r w:rsidR="007654B7">
        <w:t xml:space="preserve">and her office </w:t>
      </w:r>
      <w:r w:rsidRPr="00C20425">
        <w:t>provide assurance over Australia’s preventative biosecurity risk management systems through independent reviews of the performance of functions, and the exercise of powers, by biosecurity officials of the Department of Agriculture, Fisheries and Forestry</w:t>
      </w:r>
      <w:r w:rsidR="00C20425" w:rsidRPr="00C20425">
        <w:t xml:space="preserve"> (the department)</w:t>
      </w:r>
      <w:r w:rsidRPr="00C20425">
        <w:t>.</w:t>
      </w:r>
    </w:p>
    <w:p w14:paraId="6E4861F5" w14:textId="77777777" w:rsidR="00B91FBE" w:rsidRPr="00C20425" w:rsidRDefault="00E9013F" w:rsidP="00C20425">
      <w:r w:rsidRPr="00C20425">
        <w:t>Our work supports continuous improvement of the national biosecurity system by identifying what is working well, where gaps or risks remain, and where practical improvements are needed.</w:t>
      </w:r>
    </w:p>
    <w:p w14:paraId="69E2F241" w14:textId="41A96995" w:rsidR="00B91FBE" w:rsidRPr="00536C7E" w:rsidRDefault="00D27C1F" w:rsidP="00337DC1">
      <w:pPr>
        <w:pStyle w:val="Heading1"/>
        <w:spacing w:before="120"/>
        <w:rPr>
          <w:rFonts w:cstheme="majorHAnsi"/>
        </w:rPr>
      </w:pPr>
      <w:r>
        <w:rPr>
          <w:rFonts w:cstheme="majorHAnsi"/>
        </w:rPr>
        <w:t>I</w:t>
      </w:r>
      <w:r w:rsidR="00E9013F" w:rsidRPr="00536C7E">
        <w:rPr>
          <w:rFonts w:cstheme="majorHAnsi"/>
        </w:rPr>
        <w:t>ndependence</w:t>
      </w:r>
    </w:p>
    <w:p w14:paraId="4274AA5D" w14:textId="77777777" w:rsidR="00B91FBE" w:rsidRPr="00536C7E" w:rsidRDefault="00E9013F" w:rsidP="00337DC1">
      <w:pPr>
        <w:spacing w:before="60"/>
      </w:pPr>
      <w:r w:rsidRPr="00536C7E">
        <w:t xml:space="preserve">The Inspector-General of Biosecurity is an independent statutory officer appointed under the </w:t>
      </w:r>
      <w:r w:rsidRPr="00536C7E">
        <w:rPr>
          <w:i/>
          <w:iCs/>
        </w:rPr>
        <w:t>Biosecurity Act 2015</w:t>
      </w:r>
      <w:r w:rsidRPr="00536C7E">
        <w:t>.</w:t>
      </w:r>
    </w:p>
    <w:p w14:paraId="10B88A34" w14:textId="385F14A2" w:rsidR="00B91FBE" w:rsidRPr="00536C7E" w:rsidRDefault="00E9013F" w:rsidP="00C20425">
      <w:r w:rsidRPr="00536C7E">
        <w:t xml:space="preserve">The Inspector-General is independent of the Minister for Agriculture, Fisheries and Forestry, the Director of Biosecurity and other biosecurity officials </w:t>
      </w:r>
      <w:r w:rsidR="00156CE3">
        <w:t>with</w:t>
      </w:r>
      <w:r w:rsidRPr="00536C7E">
        <w:t xml:space="preserve">in the </w:t>
      </w:r>
      <w:r w:rsidR="00156CE3">
        <w:t>d</w:t>
      </w:r>
      <w:r w:rsidRPr="00536C7E">
        <w:t>epartment in deciding what to review, how reviews are conducted and the priority given to each review.</w:t>
      </w:r>
    </w:p>
    <w:p w14:paraId="129AAD42" w14:textId="77777777" w:rsidR="00B91FBE" w:rsidRPr="00536C7E" w:rsidRDefault="00E9013F" w:rsidP="00C20425">
      <w:r w:rsidRPr="00536C7E">
        <w:t>That independence is central to the credibility of the role. It gives stakeholders confidence that review findings and recommendations are impartial, evidence-based and focused on strengthening the system as a whole.</w:t>
      </w:r>
    </w:p>
    <w:p w14:paraId="52F57193" w14:textId="77777777" w:rsidR="00B91FBE" w:rsidRPr="00536C7E" w:rsidRDefault="00E9013F" w:rsidP="00337DC1">
      <w:pPr>
        <w:pStyle w:val="Heading1"/>
        <w:spacing w:before="120"/>
        <w:rPr>
          <w:rFonts w:cstheme="majorHAnsi"/>
        </w:rPr>
      </w:pPr>
      <w:r w:rsidRPr="00536C7E">
        <w:rPr>
          <w:rFonts w:cstheme="majorHAnsi"/>
        </w:rPr>
        <w:t>Strategic context</w:t>
      </w:r>
    </w:p>
    <w:p w14:paraId="67E2F475" w14:textId="59C3C269" w:rsidR="00986FEC" w:rsidRPr="00986FEC" w:rsidRDefault="00986FEC" w:rsidP="00986FEC">
      <w:pPr>
        <w:rPr>
          <w:lang w:val="en-AU"/>
        </w:rPr>
      </w:pPr>
      <w:r w:rsidRPr="7C9DCA32">
        <w:rPr>
          <w:lang w:val="en-AU"/>
        </w:rPr>
        <w:t>Australia’s biosecurity system operat</w:t>
      </w:r>
      <w:r w:rsidR="049423C0" w:rsidRPr="7C9DCA32">
        <w:rPr>
          <w:lang w:val="en-AU"/>
        </w:rPr>
        <w:t>es</w:t>
      </w:r>
      <w:r w:rsidRPr="7C9DCA32">
        <w:rPr>
          <w:lang w:val="en-AU"/>
        </w:rPr>
        <w:t xml:space="preserve"> in a</w:t>
      </w:r>
      <w:r w:rsidR="2B7046BC" w:rsidRPr="7C9DCA32">
        <w:rPr>
          <w:lang w:val="en-AU"/>
        </w:rPr>
        <w:t>n environment</w:t>
      </w:r>
      <w:r w:rsidR="00900318">
        <w:rPr>
          <w:lang w:val="en-AU"/>
        </w:rPr>
        <w:t>,</w:t>
      </w:r>
      <w:r w:rsidR="2B7046BC" w:rsidRPr="7C9DCA32">
        <w:rPr>
          <w:lang w:val="en-AU"/>
        </w:rPr>
        <w:t xml:space="preserve"> which is growing</w:t>
      </w:r>
      <w:r w:rsidRPr="7C9DCA32">
        <w:rPr>
          <w:lang w:val="en-AU"/>
        </w:rPr>
        <w:t xml:space="preserve"> more volatile and demanding. Risks are becoming more complex, more interconnected and faster moving, shaped by changing trade patterns, increasingly complex supply chains, technological change, rising expectations for transparency and accountability, and the need for stronger coordination across policy, regulation, operations and assurance. Growth in cargo volumes, mail, aircraft movements and international traveller numbers is increasing pressure on the system, while the rising incidence and spread of pests and diseases globally</w:t>
      </w:r>
      <w:r w:rsidR="008C728C" w:rsidRPr="7C9DCA32">
        <w:rPr>
          <w:lang w:val="en-AU"/>
        </w:rPr>
        <w:t>,</w:t>
      </w:r>
      <w:r w:rsidRPr="7C9DCA32">
        <w:rPr>
          <w:lang w:val="en-AU"/>
        </w:rPr>
        <w:t xml:space="preserve"> including in key trading partners and our broader region</w:t>
      </w:r>
      <w:r w:rsidR="008C728C" w:rsidRPr="7C9DCA32">
        <w:rPr>
          <w:lang w:val="en-AU"/>
        </w:rPr>
        <w:t>,</w:t>
      </w:r>
      <w:r w:rsidRPr="7C9DCA32">
        <w:rPr>
          <w:lang w:val="en-AU"/>
        </w:rPr>
        <w:t xml:space="preserve"> is increasing the likelihood of threats emerging across multiple pathways and in new forms.</w:t>
      </w:r>
    </w:p>
    <w:p w14:paraId="08C91316" w14:textId="6E0BDE26" w:rsidR="00986FEC" w:rsidRPr="00986FEC" w:rsidRDefault="00986FEC" w:rsidP="00986FEC">
      <w:pPr>
        <w:rPr>
          <w:lang w:val="en-AU"/>
        </w:rPr>
      </w:pPr>
      <w:r w:rsidRPr="00986FEC">
        <w:rPr>
          <w:lang w:val="en-AU"/>
        </w:rPr>
        <w:t>In that environment, the Inspector-General’s role is to provide trusted, independent and system-level assurance over the effectiveness, integrity and resilience of Australia’s preventative biosecurity arrangements. Our reviews must remain rigorous and evidence-based, while also being practical, proportionate and forward-looking. They must be able to assess whether the system is keeping pace with changing risks, whether key controls are working as intended and whether policy, regulatory, operational, intelligence and assurance functions are working together in a coherent and effective way.</w:t>
      </w:r>
    </w:p>
    <w:p w14:paraId="6887C72A" w14:textId="7CE3620C" w:rsidR="004039FD" w:rsidRPr="00986FEC" w:rsidRDefault="00986FEC" w:rsidP="00C20425">
      <w:pPr>
        <w:rPr>
          <w:lang w:val="en-AU"/>
        </w:rPr>
      </w:pPr>
      <w:r w:rsidRPr="00986FEC">
        <w:rPr>
          <w:lang w:val="en-AU"/>
        </w:rPr>
        <w:t>We will continue to focus on the areas that matter most to the strength of Australia’s biosecurity system, including the capacity of pre-border, border and immediate post-border arrangements to prevent, detect and respond to emerging threats. In doing so, we will support continuous improvement across the system and help ensure Australia’s biosecurity arrangements remain fit for purpose in a more dynamic and risk-exposed global environment.</w:t>
      </w:r>
    </w:p>
    <w:p w14:paraId="05E7C0E9" w14:textId="700773DD" w:rsidR="00B91FBE" w:rsidRPr="00536C7E" w:rsidRDefault="00E9013F" w:rsidP="00337DC1">
      <w:pPr>
        <w:pStyle w:val="Heading1"/>
        <w:spacing w:before="120"/>
        <w:rPr>
          <w:rFonts w:cstheme="majorHAnsi"/>
        </w:rPr>
      </w:pPr>
      <w:r w:rsidRPr="00536C7E">
        <w:rPr>
          <w:rFonts w:cstheme="majorHAnsi"/>
        </w:rPr>
        <w:lastRenderedPageBreak/>
        <w:t>Our strategic priorities</w:t>
      </w:r>
      <w:r w:rsidR="00C20425">
        <w:rPr>
          <w:rFonts w:cstheme="majorHAnsi"/>
        </w:rPr>
        <w:t>,</w:t>
      </w:r>
      <w:r w:rsidRPr="00536C7E">
        <w:rPr>
          <w:rFonts w:cstheme="majorHAnsi"/>
        </w:rPr>
        <w:t xml:space="preserve"> 202</w:t>
      </w:r>
      <w:r w:rsidR="00124CB1">
        <w:rPr>
          <w:rFonts w:cstheme="majorHAnsi"/>
        </w:rPr>
        <w:t>5</w:t>
      </w:r>
      <w:r w:rsidRPr="00536C7E">
        <w:rPr>
          <w:rFonts w:cstheme="majorHAnsi"/>
        </w:rPr>
        <w:t>–3</w:t>
      </w:r>
      <w:r w:rsidR="00124CB1">
        <w:rPr>
          <w:rFonts w:cstheme="majorHAnsi"/>
        </w:rPr>
        <w:t>0</w:t>
      </w:r>
    </w:p>
    <w:p w14:paraId="26E067F0" w14:textId="50A6729F" w:rsidR="00B91FBE" w:rsidRPr="00536C7E" w:rsidRDefault="00E9013F" w:rsidP="00516ADF">
      <w:pPr>
        <w:pStyle w:val="ListParagraph"/>
        <w:numPr>
          <w:ilvl w:val="0"/>
          <w:numId w:val="13"/>
        </w:numPr>
        <w:spacing w:before="60"/>
        <w:ind w:left="357" w:hanging="357"/>
        <w:contextualSpacing w:val="0"/>
      </w:pPr>
      <w:r w:rsidRPr="00C20425">
        <w:rPr>
          <w:b/>
        </w:rPr>
        <w:t>Deliver trusted, independent assurance</w:t>
      </w:r>
      <w:r w:rsidR="00817661">
        <w:rPr>
          <w:b/>
        </w:rPr>
        <w:t xml:space="preserve">: </w:t>
      </w:r>
      <w:r w:rsidRPr="00536C7E">
        <w:t>We will undertake high-quality reviews that are evidence-based, balanced and focused on system performance. Our work will test whether biosecurity arrangements are operating effectively, efficiently and as intended, and whether they are positioned to meet current and emerging risks.</w:t>
      </w:r>
    </w:p>
    <w:p w14:paraId="0A002BFF" w14:textId="1C8825FD" w:rsidR="00B91FBE" w:rsidRPr="00536C7E" w:rsidRDefault="00E9013F" w:rsidP="00516ADF">
      <w:pPr>
        <w:pStyle w:val="ListParagraph"/>
        <w:numPr>
          <w:ilvl w:val="0"/>
          <w:numId w:val="13"/>
        </w:numPr>
        <w:spacing w:before="60"/>
        <w:ind w:left="357" w:hanging="357"/>
        <w:contextualSpacing w:val="0"/>
      </w:pPr>
      <w:r w:rsidRPr="00C20425">
        <w:rPr>
          <w:b/>
        </w:rPr>
        <w:t>Focus on system-wide risks and emerging issues</w:t>
      </w:r>
      <w:r w:rsidR="00817661">
        <w:rPr>
          <w:b/>
        </w:rPr>
        <w:t>:</w:t>
      </w:r>
      <w:r w:rsidRPr="00C20425">
        <w:rPr>
          <w:b/>
        </w:rPr>
        <w:t xml:space="preserve"> </w:t>
      </w:r>
      <w:r w:rsidRPr="00536C7E">
        <w:t>We will prioritise review topics that have the greatest potential to strengthen the biosecurity system. This includes issues that cut across the biosecurity continuum, emerging risks that may not yet be well understood, and areas where integration, governance, technology, capability or implementation can be improved.</w:t>
      </w:r>
    </w:p>
    <w:p w14:paraId="43A485E4" w14:textId="2E2627CA" w:rsidR="00B91FBE" w:rsidRPr="00536C7E" w:rsidRDefault="00E9013F" w:rsidP="00516ADF">
      <w:pPr>
        <w:pStyle w:val="ListParagraph"/>
        <w:numPr>
          <w:ilvl w:val="0"/>
          <w:numId w:val="13"/>
        </w:numPr>
        <w:spacing w:before="60"/>
        <w:ind w:left="357" w:hanging="357"/>
        <w:contextualSpacing w:val="0"/>
      </w:pPr>
      <w:r w:rsidRPr="00C20425">
        <w:rPr>
          <w:b/>
        </w:rPr>
        <w:t>Support practical improvement</w:t>
      </w:r>
      <w:r w:rsidR="00817661">
        <w:rPr>
          <w:b/>
        </w:rPr>
        <w:t>:</w:t>
      </w:r>
      <w:r w:rsidRPr="00C20425">
        <w:rPr>
          <w:b/>
        </w:rPr>
        <w:t xml:space="preserve"> </w:t>
      </w:r>
      <w:r w:rsidRPr="00536C7E">
        <w:t>We will produce findings and recommendations that are clear, well-founded and capable of supporting action. We will focus on improvements that are realistic, proportionate and directed to better outcomes for the biosecurity system, rather than change for its own sake.</w:t>
      </w:r>
    </w:p>
    <w:p w14:paraId="19B154C5" w14:textId="08D131CD" w:rsidR="00B91FBE" w:rsidRPr="00536C7E" w:rsidRDefault="00E9013F" w:rsidP="00516ADF">
      <w:pPr>
        <w:pStyle w:val="ListParagraph"/>
        <w:numPr>
          <w:ilvl w:val="0"/>
          <w:numId w:val="13"/>
        </w:numPr>
        <w:spacing w:before="60"/>
        <w:ind w:left="357" w:hanging="357"/>
        <w:contextualSpacing w:val="0"/>
      </w:pPr>
      <w:r w:rsidRPr="00C20425">
        <w:rPr>
          <w:b/>
        </w:rPr>
        <w:t>Strengthen transparency and stakeholder confidence</w:t>
      </w:r>
      <w:r w:rsidR="00817661">
        <w:rPr>
          <w:b/>
        </w:rPr>
        <w:t>:</w:t>
      </w:r>
      <w:r w:rsidRPr="00C20425">
        <w:rPr>
          <w:b/>
        </w:rPr>
        <w:t xml:space="preserve"> </w:t>
      </w:r>
      <w:r w:rsidRPr="00536C7E">
        <w:t>We will communicate clearly about our role, our review program and the purpose of our work. We will engage constructively with stakeholders across government, industry and the broader biosecurity system, and we will continue to publish review reports to support transparency and public confidence, subject to legislative requirements.</w:t>
      </w:r>
    </w:p>
    <w:p w14:paraId="430DD458" w14:textId="5C70288A" w:rsidR="00B91FBE" w:rsidRPr="00536C7E" w:rsidRDefault="00E9013F" w:rsidP="00516ADF">
      <w:pPr>
        <w:pStyle w:val="ListParagraph"/>
        <w:numPr>
          <w:ilvl w:val="0"/>
          <w:numId w:val="13"/>
        </w:numPr>
        <w:spacing w:before="60"/>
        <w:ind w:left="357" w:hanging="357"/>
        <w:contextualSpacing w:val="0"/>
      </w:pPr>
      <w:r w:rsidRPr="00C20425">
        <w:rPr>
          <w:b/>
        </w:rPr>
        <w:t>Take a future-focused approach</w:t>
      </w:r>
      <w:r w:rsidR="00817661">
        <w:rPr>
          <w:b/>
        </w:rPr>
        <w:t>:</w:t>
      </w:r>
      <w:r w:rsidRPr="00C20425">
        <w:rPr>
          <w:b/>
        </w:rPr>
        <w:t xml:space="preserve"> </w:t>
      </w:r>
      <w:r w:rsidRPr="00536C7E">
        <w:t>We will not only assess whether the system is working now; we will also consider whether it is adapting to future needs. This includes whether the system is making effective use of technology, information, data, capability, governance and assurance to respond to the risks and opportunities ahead.</w:t>
      </w:r>
    </w:p>
    <w:p w14:paraId="04981874" w14:textId="55D01045" w:rsidR="00B91FBE" w:rsidRPr="00536C7E" w:rsidRDefault="00E9013F" w:rsidP="00516ADF">
      <w:pPr>
        <w:pStyle w:val="ListParagraph"/>
        <w:numPr>
          <w:ilvl w:val="0"/>
          <w:numId w:val="13"/>
        </w:numPr>
        <w:spacing w:before="60"/>
        <w:ind w:left="357" w:hanging="357"/>
        <w:contextualSpacing w:val="0"/>
      </w:pPr>
      <w:r w:rsidRPr="00C20425">
        <w:rPr>
          <w:b/>
        </w:rPr>
        <w:t>Work efficiently and minimise disruption</w:t>
      </w:r>
      <w:r w:rsidR="00817661">
        <w:rPr>
          <w:b/>
        </w:rPr>
        <w:t>:</w:t>
      </w:r>
      <w:r w:rsidRPr="00C20425">
        <w:rPr>
          <w:b/>
        </w:rPr>
        <w:t xml:space="preserve"> </w:t>
      </w:r>
      <w:r w:rsidRPr="00536C7E">
        <w:t>We will conduct our work in a way that is organised, targeted and respectful of operational pressures. We will have regard to minimising disruption to the performance of functions and the exercise of powers by biosecurity officials and other stakeholders during reviews.</w:t>
      </w:r>
    </w:p>
    <w:p w14:paraId="59EEBD81" w14:textId="77777777" w:rsidR="00B91FBE" w:rsidRPr="00536C7E" w:rsidRDefault="00E9013F" w:rsidP="00337DC1">
      <w:pPr>
        <w:pStyle w:val="Heading1"/>
        <w:spacing w:before="120"/>
        <w:rPr>
          <w:rFonts w:cstheme="majorHAnsi"/>
        </w:rPr>
      </w:pPr>
      <w:r w:rsidRPr="00536C7E">
        <w:rPr>
          <w:rFonts w:cstheme="majorHAnsi"/>
        </w:rPr>
        <w:t>How we will work</w:t>
      </w:r>
    </w:p>
    <w:p w14:paraId="36E8F3E0" w14:textId="77777777" w:rsidR="00B91FBE" w:rsidRPr="00536C7E" w:rsidRDefault="00E9013F" w:rsidP="00337DC1">
      <w:pPr>
        <w:spacing w:before="60"/>
      </w:pPr>
      <w:r w:rsidRPr="00536C7E">
        <w:t>We will be guided by the following principles in everything we do:</w:t>
      </w:r>
    </w:p>
    <w:p w14:paraId="21E0B570" w14:textId="39EECE41" w:rsidR="00B91FBE" w:rsidRPr="00536C7E" w:rsidRDefault="00E9013F" w:rsidP="005A6DA0">
      <w:pPr>
        <w:pStyle w:val="ListParagraph"/>
        <w:numPr>
          <w:ilvl w:val="0"/>
          <w:numId w:val="18"/>
        </w:numPr>
        <w:spacing w:before="60"/>
      </w:pPr>
      <w:r w:rsidRPr="005A6DA0">
        <w:rPr>
          <w:b/>
        </w:rPr>
        <w:t>Consultative</w:t>
      </w:r>
      <w:r w:rsidR="005A6DA0">
        <w:rPr>
          <w:b/>
        </w:rPr>
        <w:t>:</w:t>
      </w:r>
      <w:r w:rsidRPr="005A6DA0">
        <w:rPr>
          <w:b/>
        </w:rPr>
        <w:t xml:space="preserve"> </w:t>
      </w:r>
      <w:r w:rsidRPr="00536C7E">
        <w:t>We will listen carefully and engage respectfully with those who operate within, depend on and contribute to the biosecurity system.</w:t>
      </w:r>
    </w:p>
    <w:p w14:paraId="449D5417" w14:textId="196B5A80" w:rsidR="00B91FBE" w:rsidRPr="00536C7E" w:rsidRDefault="00E9013F" w:rsidP="005A6DA0">
      <w:pPr>
        <w:pStyle w:val="ListParagraph"/>
        <w:numPr>
          <w:ilvl w:val="0"/>
          <w:numId w:val="18"/>
        </w:numPr>
        <w:spacing w:before="60"/>
      </w:pPr>
      <w:r w:rsidRPr="00536C7E">
        <w:rPr>
          <w:b/>
        </w:rPr>
        <w:t>Evidence-based</w:t>
      </w:r>
      <w:r w:rsidR="005A6DA0">
        <w:rPr>
          <w:b/>
        </w:rPr>
        <w:t>:</w:t>
      </w:r>
      <w:r w:rsidRPr="00536C7E">
        <w:rPr>
          <w:b/>
        </w:rPr>
        <w:t xml:space="preserve"> </w:t>
      </w:r>
      <w:r w:rsidRPr="00536C7E">
        <w:t>Our findings and recommendations will be grounded in relevant evidence, sound analysis and fair consideration of different perspectives.</w:t>
      </w:r>
    </w:p>
    <w:p w14:paraId="62AFDE5B" w14:textId="467B8D88" w:rsidR="00B91FBE" w:rsidRPr="00536C7E" w:rsidRDefault="00E9013F" w:rsidP="005A6DA0">
      <w:pPr>
        <w:pStyle w:val="ListParagraph"/>
        <w:numPr>
          <w:ilvl w:val="0"/>
          <w:numId w:val="18"/>
        </w:numPr>
        <w:spacing w:before="60"/>
      </w:pPr>
      <w:r w:rsidRPr="00536C7E">
        <w:rPr>
          <w:b/>
        </w:rPr>
        <w:t>Independent</w:t>
      </w:r>
      <w:r w:rsidR="005A6DA0">
        <w:rPr>
          <w:b/>
        </w:rPr>
        <w:t>:</w:t>
      </w:r>
      <w:r w:rsidRPr="00536C7E">
        <w:rPr>
          <w:b/>
        </w:rPr>
        <w:t xml:space="preserve"> </w:t>
      </w:r>
      <w:r w:rsidRPr="00536C7E">
        <w:t>We will maintain our independence in selecting, planning and conducting reviews, and in forming our findings and recommendations.</w:t>
      </w:r>
    </w:p>
    <w:p w14:paraId="0FF22766" w14:textId="0CF17A9E" w:rsidR="00B91FBE" w:rsidRPr="00536C7E" w:rsidRDefault="00E9013F" w:rsidP="005A6DA0">
      <w:pPr>
        <w:pStyle w:val="ListParagraph"/>
        <w:numPr>
          <w:ilvl w:val="0"/>
          <w:numId w:val="18"/>
        </w:numPr>
        <w:spacing w:before="60"/>
      </w:pPr>
      <w:r w:rsidRPr="00536C7E">
        <w:rPr>
          <w:b/>
        </w:rPr>
        <w:t>Constructive</w:t>
      </w:r>
      <w:r w:rsidR="005A6DA0">
        <w:rPr>
          <w:b/>
        </w:rPr>
        <w:t>:</w:t>
      </w:r>
      <w:r w:rsidRPr="00536C7E">
        <w:rPr>
          <w:b/>
        </w:rPr>
        <w:t xml:space="preserve"> </w:t>
      </w:r>
      <w:r w:rsidRPr="00536C7E">
        <w:t>We will focus on practical improvement and clear insight, recognising that the aim of independent assurance is to strengthen the system.</w:t>
      </w:r>
    </w:p>
    <w:p w14:paraId="57DE1B77" w14:textId="26F9BB91" w:rsidR="00B91FBE" w:rsidRPr="00536C7E" w:rsidRDefault="00E9013F" w:rsidP="005A6DA0">
      <w:pPr>
        <w:pStyle w:val="ListParagraph"/>
        <w:numPr>
          <w:ilvl w:val="0"/>
          <w:numId w:val="18"/>
        </w:numPr>
        <w:spacing w:before="60"/>
      </w:pPr>
      <w:r w:rsidRPr="00536C7E">
        <w:rPr>
          <w:b/>
        </w:rPr>
        <w:t>Transparent</w:t>
      </w:r>
      <w:r w:rsidR="005A6DA0">
        <w:rPr>
          <w:b/>
        </w:rPr>
        <w:t>:</w:t>
      </w:r>
      <w:r w:rsidRPr="00536C7E">
        <w:rPr>
          <w:b/>
        </w:rPr>
        <w:t xml:space="preserve"> </w:t>
      </w:r>
      <w:r w:rsidRPr="00536C7E">
        <w:t>We will explain our role, our review priorities and the basis for our conclusions as clearly as possible, while meeting legislative requirements.</w:t>
      </w:r>
    </w:p>
    <w:p w14:paraId="7ED092E5" w14:textId="05B7D3DF" w:rsidR="00B91FBE" w:rsidRPr="00536C7E" w:rsidRDefault="00E9013F" w:rsidP="005A6DA0">
      <w:pPr>
        <w:pStyle w:val="ListParagraph"/>
        <w:numPr>
          <w:ilvl w:val="0"/>
          <w:numId w:val="18"/>
        </w:numPr>
        <w:spacing w:before="60"/>
      </w:pPr>
      <w:r w:rsidRPr="00536C7E">
        <w:rPr>
          <w:b/>
        </w:rPr>
        <w:t>Proportionate</w:t>
      </w:r>
      <w:r w:rsidR="007F07B3">
        <w:rPr>
          <w:b/>
        </w:rPr>
        <w:t>:</w:t>
      </w:r>
      <w:r w:rsidRPr="00536C7E">
        <w:rPr>
          <w:b/>
        </w:rPr>
        <w:t xml:space="preserve"> </w:t>
      </w:r>
      <w:r w:rsidRPr="00536C7E">
        <w:t>We will be mindful of operational impacts, request information reasonably and tailor our approach to the scale and significance of the topic under review.</w:t>
      </w:r>
    </w:p>
    <w:p w14:paraId="22A06643" w14:textId="7847B6F3" w:rsidR="00B91FBE" w:rsidRPr="00536C7E" w:rsidRDefault="00E9013F" w:rsidP="005A6DA0">
      <w:pPr>
        <w:pStyle w:val="ListParagraph"/>
        <w:numPr>
          <w:ilvl w:val="0"/>
          <w:numId w:val="18"/>
        </w:numPr>
        <w:spacing w:before="60"/>
      </w:pPr>
      <w:r w:rsidRPr="00536C7E">
        <w:rPr>
          <w:b/>
        </w:rPr>
        <w:t>Future-focused</w:t>
      </w:r>
      <w:r w:rsidR="007F07B3">
        <w:rPr>
          <w:b/>
        </w:rPr>
        <w:t>:</w:t>
      </w:r>
      <w:r w:rsidRPr="00536C7E">
        <w:rPr>
          <w:b/>
        </w:rPr>
        <w:t xml:space="preserve"> </w:t>
      </w:r>
      <w:r w:rsidRPr="00536C7E">
        <w:t>We will look beyond immediate issues to consider whether the system is positioned for long-term effectiveness, resilience and trust.</w:t>
      </w:r>
    </w:p>
    <w:p w14:paraId="7E7FD09C" w14:textId="77777777" w:rsidR="00B91FBE" w:rsidRPr="00536C7E" w:rsidRDefault="00E9013F" w:rsidP="00337DC1">
      <w:pPr>
        <w:pStyle w:val="Heading1"/>
        <w:spacing w:before="120"/>
        <w:rPr>
          <w:rFonts w:cstheme="majorHAnsi"/>
        </w:rPr>
      </w:pPr>
      <w:r w:rsidRPr="00536C7E">
        <w:rPr>
          <w:rFonts w:cstheme="majorHAnsi"/>
        </w:rPr>
        <w:lastRenderedPageBreak/>
        <w:t>Our focus across the biosecurity system</w:t>
      </w:r>
    </w:p>
    <w:p w14:paraId="747055D9" w14:textId="739E5D1E" w:rsidR="0009012B" w:rsidRDefault="00DD4E72" w:rsidP="00F65C0A">
      <w:pPr>
        <w:spacing w:before="60"/>
        <w:rPr>
          <w:lang w:val="en-AU"/>
        </w:rPr>
      </w:pPr>
      <w:r w:rsidRPr="7C9DCA32">
        <w:rPr>
          <w:lang w:val="en-AU"/>
        </w:rPr>
        <w:t xml:space="preserve">The </w:t>
      </w:r>
      <w:r w:rsidRPr="00F65C0A">
        <w:t>Inspector</w:t>
      </w:r>
      <w:r w:rsidR="111FD897" w:rsidRPr="7C9DCA32">
        <w:rPr>
          <w:lang w:val="en-AU"/>
        </w:rPr>
        <w:t>-</w:t>
      </w:r>
      <w:r w:rsidRPr="7C9DCA32">
        <w:rPr>
          <w:lang w:val="en-AU"/>
        </w:rPr>
        <w:t>General’s work is grounded in viewing biosecurity as an integrated system.</w:t>
      </w:r>
      <w:r w:rsidR="766AD8AC" w:rsidRPr="7C9DCA32">
        <w:rPr>
          <w:lang w:val="en-AU"/>
        </w:rPr>
        <w:t xml:space="preserve"> As a system, it is critical that the parts</w:t>
      </w:r>
      <w:r w:rsidR="69EB7BDC" w:rsidRPr="7C9DCA32">
        <w:rPr>
          <w:lang w:val="en-AU"/>
        </w:rPr>
        <w:t xml:space="preserve"> work effectively together. </w:t>
      </w:r>
      <w:r w:rsidR="0009012B" w:rsidRPr="7C9DCA32">
        <w:rPr>
          <w:lang w:val="en-AU"/>
        </w:rPr>
        <w:t xml:space="preserve">The Inspector-General reviews may examine matters including governance and accountability, regulatory frameworks and policy settings, strategy, operational delivery, assurance and verification, technology and digital enablement, infrastructure, workforce capability and capacity, information and data management, stakeholder engagement, and the implementation and </w:t>
      </w:r>
      <w:r w:rsidR="00EE4EA9" w:rsidRPr="7C9DCA32">
        <w:rPr>
          <w:lang w:val="en-AU"/>
        </w:rPr>
        <w:t>follow-up</w:t>
      </w:r>
      <w:r w:rsidR="0009012B" w:rsidRPr="7C9DCA32">
        <w:rPr>
          <w:lang w:val="en-AU"/>
        </w:rPr>
        <w:t xml:space="preserve"> of plans and recommendations.</w:t>
      </w:r>
    </w:p>
    <w:p w14:paraId="0D7A6A60" w14:textId="28A93D3C" w:rsidR="72D16A7D" w:rsidRDefault="72D16A7D" w:rsidP="7C9DCA32">
      <w:pPr>
        <w:rPr>
          <w:lang w:val="en-AU"/>
        </w:rPr>
      </w:pPr>
      <w:r w:rsidRPr="7C9DCA32">
        <w:rPr>
          <w:lang w:val="en-AU"/>
        </w:rPr>
        <w:t>The Inspector-General's key focus will be</w:t>
      </w:r>
      <w:r w:rsidR="00CC4952">
        <w:rPr>
          <w:lang w:val="en-AU"/>
        </w:rPr>
        <w:t xml:space="preserve"> on</w:t>
      </w:r>
      <w:r w:rsidRPr="7C9DCA32">
        <w:rPr>
          <w:lang w:val="en-AU"/>
        </w:rPr>
        <w:t>:</w:t>
      </w:r>
    </w:p>
    <w:p w14:paraId="6D250446" w14:textId="1782C2DC" w:rsidR="3B7CAD0B" w:rsidRDefault="3B7CAD0B" w:rsidP="00EE4EA9">
      <w:pPr>
        <w:pStyle w:val="ListParagraph"/>
        <w:numPr>
          <w:ilvl w:val="0"/>
          <w:numId w:val="1"/>
        </w:numPr>
        <w:rPr>
          <w:lang w:val="en-AU"/>
        </w:rPr>
      </w:pPr>
      <w:r w:rsidRPr="003265D0">
        <w:rPr>
          <w:b/>
          <w:bCs/>
          <w:lang w:val="en-AU"/>
        </w:rPr>
        <w:t>Systems</w:t>
      </w:r>
      <w:r w:rsidRPr="007F07B3">
        <w:rPr>
          <w:b/>
          <w:bCs/>
          <w:lang w:val="en-AU"/>
        </w:rPr>
        <w:t>:</w:t>
      </w:r>
      <w:r w:rsidRPr="7C9DCA32">
        <w:rPr>
          <w:lang w:val="en-AU"/>
        </w:rPr>
        <w:t xml:space="preserve"> </w:t>
      </w:r>
      <w:r w:rsidR="00B12349">
        <w:rPr>
          <w:lang w:val="en-AU"/>
        </w:rPr>
        <w:t>Is the</w:t>
      </w:r>
      <w:r w:rsidRPr="7C9DCA32">
        <w:rPr>
          <w:lang w:val="en-AU"/>
        </w:rPr>
        <w:t xml:space="preserve"> system </w:t>
      </w:r>
      <w:r w:rsidR="00B12349">
        <w:rPr>
          <w:lang w:val="en-AU"/>
        </w:rPr>
        <w:t xml:space="preserve">working </w:t>
      </w:r>
      <w:r w:rsidR="008D4E75">
        <w:rPr>
          <w:lang w:val="en-AU"/>
        </w:rPr>
        <w:t>effectively and efficiently? D</w:t>
      </w:r>
      <w:r w:rsidRPr="7C9DCA32">
        <w:rPr>
          <w:lang w:val="en-AU"/>
        </w:rPr>
        <w:t>o the parts operate together or against each other</w:t>
      </w:r>
      <w:r w:rsidR="007D483C">
        <w:rPr>
          <w:lang w:val="en-AU"/>
        </w:rPr>
        <w:t>?</w:t>
      </w:r>
    </w:p>
    <w:p w14:paraId="6EB3BE1A" w14:textId="3ED61B0F" w:rsidR="0426EE26" w:rsidRDefault="0426EE26" w:rsidP="00EE4EA9">
      <w:pPr>
        <w:pStyle w:val="ListParagraph"/>
        <w:numPr>
          <w:ilvl w:val="0"/>
          <w:numId w:val="1"/>
        </w:numPr>
        <w:rPr>
          <w:lang w:val="en-AU"/>
        </w:rPr>
      </w:pPr>
      <w:r w:rsidRPr="003265D0">
        <w:rPr>
          <w:b/>
          <w:bCs/>
          <w:lang w:val="en-AU"/>
        </w:rPr>
        <w:t>People</w:t>
      </w:r>
      <w:r w:rsidR="00EE4EA9" w:rsidRPr="007F07B3">
        <w:rPr>
          <w:b/>
          <w:bCs/>
          <w:lang w:val="en-AU"/>
        </w:rPr>
        <w:t>:</w:t>
      </w:r>
      <w:r w:rsidRPr="7C9DCA32">
        <w:rPr>
          <w:lang w:val="en-AU"/>
        </w:rPr>
        <w:t xml:space="preserve"> </w:t>
      </w:r>
      <w:r w:rsidR="00EE4EA9">
        <w:rPr>
          <w:lang w:val="en-AU"/>
        </w:rPr>
        <w:t>H</w:t>
      </w:r>
      <w:r w:rsidRPr="7C9DCA32">
        <w:rPr>
          <w:lang w:val="en-AU"/>
        </w:rPr>
        <w:t xml:space="preserve">ow do people operate within this system? What are the key elements of the capability, capacity, behaviours and </w:t>
      </w:r>
      <w:r w:rsidR="42268CD7" w:rsidRPr="7C9DCA32">
        <w:rPr>
          <w:lang w:val="en-AU"/>
        </w:rPr>
        <w:t>decision-making</w:t>
      </w:r>
      <w:r w:rsidRPr="7C9DCA32">
        <w:rPr>
          <w:lang w:val="en-AU"/>
        </w:rPr>
        <w:t xml:space="preserve"> of people </w:t>
      </w:r>
      <w:r w:rsidR="71EE1CFA" w:rsidRPr="7C9DCA32">
        <w:rPr>
          <w:lang w:val="en-AU"/>
        </w:rPr>
        <w:t xml:space="preserve">within </w:t>
      </w:r>
      <w:r w:rsidRPr="7C9DCA32">
        <w:rPr>
          <w:lang w:val="en-AU"/>
        </w:rPr>
        <w:t xml:space="preserve">the </w:t>
      </w:r>
      <w:r w:rsidR="007D483C" w:rsidRPr="7C9DCA32">
        <w:rPr>
          <w:lang w:val="en-AU"/>
        </w:rPr>
        <w:t>system and</w:t>
      </w:r>
      <w:r w:rsidR="29146A92" w:rsidRPr="7C9DCA32">
        <w:rPr>
          <w:lang w:val="en-AU"/>
        </w:rPr>
        <w:t xml:space="preserve"> how do we </w:t>
      </w:r>
      <w:r w:rsidR="0C11174A" w:rsidRPr="7C9DCA32">
        <w:rPr>
          <w:lang w:val="en-AU"/>
        </w:rPr>
        <w:t xml:space="preserve">influence </w:t>
      </w:r>
      <w:r w:rsidR="29146A92" w:rsidRPr="7C9DCA32">
        <w:rPr>
          <w:lang w:val="en-AU"/>
        </w:rPr>
        <w:t xml:space="preserve">these to ensure the system </w:t>
      </w:r>
      <w:r w:rsidRPr="7C9DCA32">
        <w:rPr>
          <w:lang w:val="en-AU"/>
        </w:rPr>
        <w:t>operat</w:t>
      </w:r>
      <w:r w:rsidR="0334C06F" w:rsidRPr="7C9DCA32">
        <w:rPr>
          <w:lang w:val="en-AU"/>
        </w:rPr>
        <w:t>es</w:t>
      </w:r>
      <w:r w:rsidRPr="7C9DCA32">
        <w:rPr>
          <w:lang w:val="en-AU"/>
        </w:rPr>
        <w:t xml:space="preserve"> efficiently, consistently and as intended</w:t>
      </w:r>
      <w:r w:rsidR="007D483C">
        <w:rPr>
          <w:lang w:val="en-AU"/>
        </w:rPr>
        <w:t>?</w:t>
      </w:r>
    </w:p>
    <w:p w14:paraId="548926EB" w14:textId="6784D1C6" w:rsidR="0CE18006" w:rsidRDefault="0CE18006" w:rsidP="7C9DCA32">
      <w:pPr>
        <w:pStyle w:val="ListParagraph"/>
        <w:numPr>
          <w:ilvl w:val="0"/>
          <w:numId w:val="1"/>
        </w:numPr>
        <w:rPr>
          <w:lang w:val="en-AU"/>
        </w:rPr>
      </w:pPr>
      <w:r w:rsidRPr="003265D0">
        <w:rPr>
          <w:b/>
          <w:bCs/>
          <w:lang w:val="en-AU"/>
        </w:rPr>
        <w:t>Problems</w:t>
      </w:r>
      <w:r w:rsidR="00EE4EA9" w:rsidRPr="007F07B3">
        <w:rPr>
          <w:b/>
          <w:bCs/>
          <w:lang w:val="en-AU"/>
        </w:rPr>
        <w:t>:</w:t>
      </w:r>
      <w:r w:rsidRPr="7C9DCA32">
        <w:rPr>
          <w:lang w:val="en-AU"/>
        </w:rPr>
        <w:t xml:space="preserve"> </w:t>
      </w:r>
      <w:r w:rsidR="00EE4EA9">
        <w:rPr>
          <w:lang w:val="en-AU"/>
        </w:rPr>
        <w:t>W</w:t>
      </w:r>
      <w:r w:rsidRPr="7C9DCA32">
        <w:rPr>
          <w:lang w:val="en-AU"/>
        </w:rPr>
        <w:t>hat are the big issues within the system</w:t>
      </w:r>
      <w:r w:rsidR="007D483C">
        <w:rPr>
          <w:lang w:val="en-AU"/>
        </w:rPr>
        <w:t xml:space="preserve"> </w:t>
      </w:r>
      <w:r w:rsidR="007D483C" w:rsidRPr="7C9DCA32">
        <w:rPr>
          <w:lang w:val="en-AU"/>
        </w:rPr>
        <w:t>–</w:t>
      </w:r>
      <w:r w:rsidRPr="7C9DCA32">
        <w:rPr>
          <w:lang w:val="en-AU"/>
        </w:rPr>
        <w:t xml:space="preserve"> the </w:t>
      </w:r>
      <w:r w:rsidRPr="0C0220FF">
        <w:rPr>
          <w:lang w:val="en-AU"/>
        </w:rPr>
        <w:t xml:space="preserve">problems that stop the system operating as intended. </w:t>
      </w:r>
      <w:r w:rsidR="69458402" w:rsidRPr="0C0220FF">
        <w:rPr>
          <w:lang w:val="en-AU"/>
        </w:rPr>
        <w:t>Will these problems change in the future and have some of them been persistent and difficult to move?</w:t>
      </w:r>
    </w:p>
    <w:p w14:paraId="799F9C8C" w14:textId="36041CCB" w:rsidR="69458402" w:rsidRDefault="69458402" w:rsidP="0C0220FF">
      <w:pPr>
        <w:pStyle w:val="ListParagraph"/>
        <w:numPr>
          <w:ilvl w:val="0"/>
          <w:numId w:val="1"/>
        </w:numPr>
        <w:rPr>
          <w:lang w:val="en-AU"/>
        </w:rPr>
      </w:pPr>
      <w:r w:rsidRPr="003265D0">
        <w:rPr>
          <w:b/>
          <w:bCs/>
          <w:lang w:val="en-AU"/>
        </w:rPr>
        <w:t>Regulation</w:t>
      </w:r>
      <w:r w:rsidR="00BE08E4" w:rsidRPr="007F07B3">
        <w:rPr>
          <w:b/>
          <w:bCs/>
          <w:lang w:val="en-AU"/>
        </w:rPr>
        <w:t>:</w:t>
      </w:r>
      <w:r w:rsidRPr="0C0220FF">
        <w:rPr>
          <w:lang w:val="en-AU"/>
        </w:rPr>
        <w:t xml:space="preserve"> </w:t>
      </w:r>
      <w:r w:rsidR="00BE08E4">
        <w:rPr>
          <w:lang w:val="en-AU"/>
        </w:rPr>
        <w:t>H</w:t>
      </w:r>
      <w:r w:rsidRPr="0C0220FF">
        <w:rPr>
          <w:lang w:val="en-AU"/>
        </w:rPr>
        <w:t xml:space="preserve">ow aligned </w:t>
      </w:r>
      <w:r w:rsidR="00BE08E4">
        <w:rPr>
          <w:lang w:val="en-AU"/>
        </w:rPr>
        <w:t>are</w:t>
      </w:r>
      <w:r w:rsidRPr="0C0220FF">
        <w:rPr>
          <w:lang w:val="en-AU"/>
        </w:rPr>
        <w:t xml:space="preserve"> current biosecu</w:t>
      </w:r>
      <w:r w:rsidR="55B5A63E" w:rsidRPr="0C0220FF">
        <w:rPr>
          <w:lang w:val="en-AU"/>
        </w:rPr>
        <w:t>rity regulatory approaches with best practice regulation?</w:t>
      </w:r>
    </w:p>
    <w:p w14:paraId="2D856C69" w14:textId="34F0A03D" w:rsidR="00DD4E72" w:rsidRPr="00DD4E72" w:rsidRDefault="00DD4E72" w:rsidP="00C20425">
      <w:pPr>
        <w:rPr>
          <w:lang w:val="en-AU"/>
        </w:rPr>
      </w:pPr>
      <w:r w:rsidRPr="00DD4E72">
        <w:rPr>
          <w:lang w:val="en-AU"/>
        </w:rPr>
        <w:t>The Inspector</w:t>
      </w:r>
      <w:r w:rsidRPr="00DD4E72">
        <w:rPr>
          <w:lang w:val="en-AU"/>
        </w:rPr>
        <w:noBreakHyphen/>
        <w:t xml:space="preserve">General may also review the process for conducting a Biosecurity Import Risk Analysis </w:t>
      </w:r>
      <w:r w:rsidR="00704F9F">
        <w:rPr>
          <w:lang w:val="en-AU"/>
        </w:rPr>
        <w:t xml:space="preserve">(aka BIRA) </w:t>
      </w:r>
      <w:r w:rsidRPr="00DD4E72">
        <w:rPr>
          <w:lang w:val="en-AU"/>
        </w:rPr>
        <w:t>when requested under the legislative framework.</w:t>
      </w:r>
    </w:p>
    <w:p w14:paraId="510D76B9" w14:textId="5D33D11D" w:rsidR="00B91FBE" w:rsidRPr="00536C7E" w:rsidRDefault="00E9013F" w:rsidP="00337DC1">
      <w:pPr>
        <w:pStyle w:val="Heading1"/>
        <w:spacing w:before="120"/>
        <w:rPr>
          <w:rFonts w:cstheme="majorHAnsi"/>
        </w:rPr>
      </w:pPr>
      <w:r w:rsidRPr="00536C7E">
        <w:rPr>
          <w:rFonts w:cstheme="majorHAnsi"/>
        </w:rPr>
        <w:t xml:space="preserve">What success looks like </w:t>
      </w:r>
      <w:r w:rsidR="00F3285C">
        <w:rPr>
          <w:rFonts w:cstheme="majorHAnsi"/>
        </w:rPr>
        <w:t>to</w:t>
      </w:r>
      <w:r w:rsidR="00C20425">
        <w:rPr>
          <w:rFonts w:cstheme="majorHAnsi"/>
        </w:rPr>
        <w:t xml:space="preserve"> us</w:t>
      </w:r>
    </w:p>
    <w:p w14:paraId="0C907BEA" w14:textId="00B1D4D7" w:rsidR="00B91FBE" w:rsidRPr="00536C7E" w:rsidRDefault="00C20425" w:rsidP="00337DC1">
      <w:pPr>
        <w:spacing w:before="60"/>
      </w:pPr>
      <w:r>
        <w:t>W</w:t>
      </w:r>
      <w:r w:rsidR="00E9013F" w:rsidRPr="00536C7E">
        <w:t>e aim to be recognised as a trusted source of independent assurance and practical insight for Australia’s biosecurity system.</w:t>
      </w:r>
    </w:p>
    <w:p w14:paraId="1DEE7848" w14:textId="77777777" w:rsidR="00B91FBE" w:rsidRPr="00536C7E" w:rsidRDefault="00E9013F" w:rsidP="00C20425">
      <w:r w:rsidRPr="00536C7E">
        <w:t>Success will be reflected in the following outcomes:</w:t>
      </w:r>
    </w:p>
    <w:p w14:paraId="61D71A7A" w14:textId="531EF92F" w:rsidR="00B91FBE" w:rsidRPr="00536C7E" w:rsidRDefault="1CF0F3A7" w:rsidP="00002F41">
      <w:pPr>
        <w:pStyle w:val="ListBullet"/>
        <w:spacing w:before="40"/>
        <w:ind w:left="357" w:hanging="357"/>
        <w:contextualSpacing w:val="0"/>
      </w:pPr>
      <w:r>
        <w:t>findings and recommendations contribute to stronger governance, better decision-making and more effective biosecurity arrangements</w:t>
      </w:r>
      <w:r w:rsidR="00C21FAB" w:rsidRPr="00C21FAB">
        <w:t>, and are seriously considered, responded to and used to inform improvement by the department</w:t>
      </w:r>
    </w:p>
    <w:p w14:paraId="60892571" w14:textId="67917EB4" w:rsidR="00B91FBE" w:rsidRPr="00536C7E" w:rsidRDefault="00E9013F" w:rsidP="00002F41">
      <w:pPr>
        <w:pStyle w:val="ListBullet"/>
        <w:spacing w:before="40"/>
        <w:ind w:left="357" w:hanging="357"/>
        <w:contextualSpacing w:val="0"/>
      </w:pPr>
      <w:r w:rsidRPr="00536C7E">
        <w:t>review topics are targeted to the areas of greatest strategic value and system risk</w:t>
      </w:r>
    </w:p>
    <w:p w14:paraId="086E3E3D" w14:textId="42BF3930" w:rsidR="00B91FBE" w:rsidRPr="00536C7E" w:rsidRDefault="00E9013F" w:rsidP="00002F41">
      <w:pPr>
        <w:pStyle w:val="ListBullet"/>
        <w:spacing w:before="40"/>
        <w:contextualSpacing w:val="0"/>
      </w:pPr>
      <w:r w:rsidRPr="00536C7E">
        <w:t>review reports are timely, clear, credible and useful</w:t>
      </w:r>
    </w:p>
    <w:p w14:paraId="08566A01" w14:textId="13978ADF" w:rsidR="00B91FBE" w:rsidRPr="00536C7E" w:rsidRDefault="00E9013F" w:rsidP="00002F41">
      <w:pPr>
        <w:pStyle w:val="ListBullet"/>
        <w:spacing w:before="40"/>
        <w:contextualSpacing w:val="0"/>
      </w:pPr>
      <w:r w:rsidRPr="00536C7E">
        <w:t>stakeholders understand the Inspector-General’s role and have confidence in the quality and</w:t>
      </w:r>
      <w:r w:rsidR="00536C7E" w:rsidRPr="00536C7E">
        <w:t xml:space="preserve"> </w:t>
      </w:r>
      <w:r w:rsidRPr="00536C7E">
        <w:t>independence of our work</w:t>
      </w:r>
    </w:p>
    <w:p w14:paraId="43C4A8D0" w14:textId="68B172FF" w:rsidR="00B91FBE" w:rsidRPr="00536C7E" w:rsidRDefault="00E9013F" w:rsidP="00002F41">
      <w:pPr>
        <w:pStyle w:val="ListBullet"/>
        <w:spacing w:before="40"/>
        <w:contextualSpacing w:val="0"/>
      </w:pPr>
      <w:r w:rsidRPr="00536C7E">
        <w:t>our work helps the system remain adaptive, resilient and ready for future challenges.</w:t>
      </w:r>
    </w:p>
    <w:p w14:paraId="6A8D1963" w14:textId="77777777" w:rsidR="00B91FBE" w:rsidRPr="00536C7E" w:rsidRDefault="00E9013F" w:rsidP="00337DC1">
      <w:pPr>
        <w:pStyle w:val="Heading1"/>
        <w:spacing w:before="120"/>
        <w:rPr>
          <w:rFonts w:cstheme="majorHAnsi"/>
        </w:rPr>
      </w:pPr>
      <w:r w:rsidRPr="00536C7E">
        <w:rPr>
          <w:rFonts w:cstheme="majorHAnsi"/>
        </w:rPr>
        <w:t>How we will measure progress</w:t>
      </w:r>
    </w:p>
    <w:p w14:paraId="4213E566" w14:textId="77777777" w:rsidR="00B91FBE" w:rsidRPr="00536C7E" w:rsidRDefault="00E9013F" w:rsidP="00337DC1">
      <w:pPr>
        <w:spacing w:before="60"/>
      </w:pPr>
      <w:r w:rsidRPr="00536C7E">
        <w:t>We will monitor our performance through practical indicators such as:</w:t>
      </w:r>
    </w:p>
    <w:p w14:paraId="10544C41" w14:textId="267FA3E7" w:rsidR="00B91FBE" w:rsidRPr="00C20425" w:rsidRDefault="00E9013F" w:rsidP="00C20425">
      <w:pPr>
        <w:pStyle w:val="ListBullet"/>
        <w:spacing w:before="60"/>
        <w:ind w:left="357" w:hanging="357"/>
        <w:contextualSpacing w:val="0"/>
      </w:pPr>
      <w:r w:rsidRPr="00C20425">
        <w:t>publication of a clear review program and timely updates where priorities change</w:t>
      </w:r>
    </w:p>
    <w:p w14:paraId="0CFE170F" w14:textId="18A60567" w:rsidR="00B91FBE" w:rsidRPr="00C20425" w:rsidRDefault="00E9013F" w:rsidP="00002F41">
      <w:pPr>
        <w:pStyle w:val="ListBullet"/>
        <w:spacing w:before="40"/>
        <w:contextualSpacing w:val="0"/>
      </w:pPr>
      <w:r w:rsidRPr="00C20425">
        <w:t>completion of reviews to an appropriate standard and within planned or agreed timeframes, where feasible</w:t>
      </w:r>
    </w:p>
    <w:p w14:paraId="0AC74BD5" w14:textId="4A69F3C0" w:rsidR="00B91FBE" w:rsidRPr="00C20425" w:rsidRDefault="00E9013F" w:rsidP="00002F41">
      <w:pPr>
        <w:pStyle w:val="ListBullet"/>
        <w:spacing w:before="40"/>
        <w:contextualSpacing w:val="0"/>
      </w:pPr>
      <w:r w:rsidRPr="00C20425">
        <w:t>quality, clarity and accessibility of published reports</w:t>
      </w:r>
    </w:p>
    <w:p w14:paraId="1AB4D265" w14:textId="174279C0" w:rsidR="00B91FBE" w:rsidRPr="00C20425" w:rsidRDefault="00E9013F" w:rsidP="00002F41">
      <w:pPr>
        <w:pStyle w:val="ListBullet"/>
        <w:spacing w:before="40"/>
        <w:contextualSpacing w:val="0"/>
      </w:pPr>
      <w:r w:rsidRPr="00C20425">
        <w:t>breadth and quality of stakeholder engagement during reviews</w:t>
      </w:r>
    </w:p>
    <w:p w14:paraId="25F82005" w14:textId="3E439D03" w:rsidR="00B91FBE" w:rsidRPr="00C20425" w:rsidRDefault="00E9013F" w:rsidP="00002F41">
      <w:pPr>
        <w:pStyle w:val="ListBullet"/>
        <w:spacing w:before="40"/>
        <w:contextualSpacing w:val="0"/>
      </w:pPr>
      <w:r w:rsidRPr="00C20425">
        <w:lastRenderedPageBreak/>
        <w:t>the practical relevance and actionability of review findings and recommendations</w:t>
      </w:r>
    </w:p>
    <w:p w14:paraId="3AF1238D" w14:textId="56A03BE9" w:rsidR="00B91FBE" w:rsidRPr="00C20425" w:rsidRDefault="00E9013F" w:rsidP="00002F41">
      <w:pPr>
        <w:pStyle w:val="ListBullet"/>
        <w:spacing w:before="40"/>
        <w:contextualSpacing w:val="0"/>
      </w:pPr>
      <w:r w:rsidRPr="00C20425">
        <w:t>evidence that our work is informing discussion, accountability and improvement across the biosecurity system.</w:t>
      </w:r>
    </w:p>
    <w:p w14:paraId="4FEDB9DB" w14:textId="77777777" w:rsidR="00B91FBE" w:rsidRPr="00536C7E" w:rsidRDefault="00E9013F" w:rsidP="00337DC1">
      <w:pPr>
        <w:pStyle w:val="Heading1"/>
        <w:spacing w:before="120"/>
        <w:rPr>
          <w:rFonts w:cstheme="majorHAnsi"/>
        </w:rPr>
      </w:pPr>
      <w:r w:rsidRPr="00536C7E">
        <w:rPr>
          <w:rFonts w:cstheme="majorHAnsi"/>
        </w:rPr>
        <w:t>Review and refresh</w:t>
      </w:r>
    </w:p>
    <w:p w14:paraId="6DFFD408" w14:textId="77777777" w:rsidR="00B91FBE" w:rsidRPr="00536C7E" w:rsidRDefault="00E9013F" w:rsidP="00337DC1">
      <w:pPr>
        <w:spacing w:before="60"/>
      </w:pPr>
      <w:r w:rsidRPr="00536C7E">
        <w:t>This strategy will be reviewed periodically to ensure it remains current, practical and aligned with the legislative framework, the Inspector-General’s review program and the evolving needs of Australia’s biosecurity system.</w:t>
      </w:r>
    </w:p>
    <w:p w14:paraId="0A763012" w14:textId="77777777" w:rsidR="00B91FBE" w:rsidRPr="00536C7E" w:rsidRDefault="00E9013F" w:rsidP="00C20425">
      <w:r w:rsidRPr="00536C7E">
        <w:t>A formal refresh should be considered at least every 2 years, or earlier if there is a significant change in context, priorities or operating arrangements.</w:t>
      </w:r>
    </w:p>
    <w:p w14:paraId="731ECB13" w14:textId="77777777" w:rsidR="00B91FBE" w:rsidRPr="00536C7E" w:rsidRDefault="00E9013F" w:rsidP="00337DC1">
      <w:pPr>
        <w:pStyle w:val="Heading1"/>
        <w:spacing w:before="120"/>
        <w:rPr>
          <w:rFonts w:cstheme="majorHAnsi"/>
        </w:rPr>
      </w:pPr>
      <w:r w:rsidRPr="00536C7E">
        <w:rPr>
          <w:rFonts w:cstheme="majorHAnsi"/>
        </w:rPr>
        <w:t>Contact</w:t>
      </w:r>
    </w:p>
    <w:p w14:paraId="7F617C01" w14:textId="77777777" w:rsidR="00B91FBE" w:rsidRPr="00536C7E" w:rsidRDefault="00E9013F" w:rsidP="00C20425">
      <w:r w:rsidRPr="00536C7E">
        <w:t>Inspector-General of Biosecurity</w:t>
      </w:r>
    </w:p>
    <w:p w14:paraId="59DF25FA" w14:textId="33E3CDCD" w:rsidR="00B91FBE" w:rsidRPr="00536C7E" w:rsidRDefault="00E9013F" w:rsidP="005E6B71">
      <w:pPr>
        <w:spacing w:before="60"/>
      </w:pPr>
      <w:r w:rsidRPr="00536C7E">
        <w:t xml:space="preserve">Email: </w:t>
      </w:r>
      <w:hyperlink r:id="rId19" w:history="1">
        <w:r w:rsidR="00536C7E" w:rsidRPr="00536C7E">
          <w:rPr>
            <w:rStyle w:val="Hyperlink"/>
            <w:rFonts w:asciiTheme="majorHAnsi" w:hAnsiTheme="majorHAnsi" w:cstheme="majorHAnsi"/>
            <w:szCs w:val="24"/>
          </w:rPr>
          <w:t>InspGenBiosecurity@aff.gov.au</w:t>
        </w:r>
      </w:hyperlink>
    </w:p>
    <w:p w14:paraId="5F64AFF6" w14:textId="26710E56" w:rsidR="00B91FBE" w:rsidRPr="00536C7E" w:rsidRDefault="00E9013F" w:rsidP="00043EFF">
      <w:pPr>
        <w:spacing w:before="60"/>
      </w:pPr>
      <w:r w:rsidRPr="00536C7E">
        <w:t xml:space="preserve">Website: </w:t>
      </w:r>
      <w:hyperlink r:id="rId20" w:history="1">
        <w:r w:rsidR="00536C7E" w:rsidRPr="00536C7E">
          <w:rPr>
            <w:rStyle w:val="Hyperlink"/>
            <w:rFonts w:asciiTheme="majorHAnsi" w:hAnsiTheme="majorHAnsi" w:cstheme="majorHAnsi"/>
            <w:szCs w:val="24"/>
          </w:rPr>
          <w:t>www.igb.gov.au</w:t>
        </w:r>
      </w:hyperlink>
    </w:p>
    <w:sectPr w:rsidR="00B91FBE" w:rsidRPr="00536C7E" w:rsidSect="00124CB1">
      <w:pgSz w:w="12240" w:h="15840"/>
      <w:pgMar w:top="1134" w:right="1304" w:bottom="1134" w:left="136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CE3BF" w14:textId="77777777" w:rsidR="003F7A4C" w:rsidRDefault="003F7A4C">
      <w:pPr>
        <w:spacing w:before="0"/>
      </w:pPr>
      <w:r>
        <w:separator/>
      </w:r>
    </w:p>
  </w:endnote>
  <w:endnote w:type="continuationSeparator" w:id="0">
    <w:p w14:paraId="26EAE9B1" w14:textId="77777777" w:rsidR="003F7A4C" w:rsidRDefault="003F7A4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2DC2" w14:textId="50BA923E" w:rsidR="00536C7E" w:rsidRDefault="00536C7E">
    <w:pPr>
      <w:pStyle w:val="Footer"/>
    </w:pPr>
    <w:r>
      <w:rPr>
        <w:noProof/>
      </w:rPr>
      <mc:AlternateContent>
        <mc:Choice Requires="wps">
          <w:drawing>
            <wp:anchor distT="0" distB="0" distL="0" distR="0" simplePos="0" relativeHeight="251658244" behindDoc="0" locked="0" layoutInCell="1" allowOverlap="1" wp14:anchorId="20892E84" wp14:editId="35FE1882">
              <wp:simplePos x="635" y="635"/>
              <wp:positionH relativeFrom="page">
                <wp:align>center</wp:align>
              </wp:positionH>
              <wp:positionV relativeFrom="page">
                <wp:align>bottom</wp:align>
              </wp:positionV>
              <wp:extent cx="622300" cy="404495"/>
              <wp:effectExtent l="0" t="0" r="6350" b="0"/>
              <wp:wrapNone/>
              <wp:docPr id="84917432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E536BD3" w14:textId="215C4283" w:rsidR="00536C7E" w:rsidRPr="00536C7E" w:rsidRDefault="00536C7E" w:rsidP="00536C7E">
                          <w:pPr>
                            <w:rPr>
                              <w:rFonts w:ascii="Aptos" w:eastAsia="Aptos" w:hAnsi="Aptos" w:cs="Aptos"/>
                              <w:noProof/>
                              <w:color w:val="FF0000"/>
                              <w:szCs w:val="24"/>
                            </w:rPr>
                          </w:pPr>
                          <w:r w:rsidRPr="00536C7E">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892E84" id="_x0000_t202" coordsize="21600,21600" o:spt="202" path="m,l,21600r21600,l21600,xe">
              <v:stroke joinstyle="miter"/>
              <v:path gradientshapeok="t" o:connecttype="rect"/>
            </v:shapetype>
            <v:shape id="Text Box 5" o:spid="_x0000_s1028" type="#_x0000_t202" alt="OFFICIAL" style="position:absolute;margin-left:0;margin-top:0;width:49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textbox style="mso-fit-shape-to-text:t" inset="0,0,0,15pt">
                <w:txbxContent>
                  <w:p w14:paraId="3E536BD3" w14:textId="215C4283" w:rsidR="00536C7E" w:rsidRPr="00536C7E" w:rsidRDefault="00536C7E" w:rsidP="00536C7E">
                    <w:pPr>
                      <w:rPr>
                        <w:rFonts w:ascii="Aptos" w:eastAsia="Aptos" w:hAnsi="Aptos" w:cs="Aptos"/>
                        <w:noProof/>
                        <w:color w:val="FF0000"/>
                        <w:szCs w:val="24"/>
                      </w:rPr>
                    </w:pPr>
                    <w:r w:rsidRPr="00536C7E">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8758804"/>
      <w:docPartObj>
        <w:docPartGallery w:val="Page Numbers (Bottom of Page)"/>
        <w:docPartUnique/>
      </w:docPartObj>
    </w:sdtPr>
    <w:sdtContent>
      <w:sdt>
        <w:sdtPr>
          <w:id w:val="-1769616900"/>
          <w:docPartObj>
            <w:docPartGallery w:val="Page Numbers (Top of Page)"/>
            <w:docPartUnique/>
          </w:docPartObj>
        </w:sdtPr>
        <w:sdtContent>
          <w:p w14:paraId="04494433" w14:textId="7BF4E011" w:rsidR="00B91FBE" w:rsidRDefault="00536C7E" w:rsidP="009D1336">
            <w:pPr>
              <w:pStyle w:val="Footer"/>
              <w:pBdr>
                <w:top w:val="single" w:sz="4" w:space="1" w:color="auto"/>
              </w:pBdr>
              <w:tabs>
                <w:tab w:val="clear" w:pos="4680"/>
                <w:tab w:val="clear" w:pos="9360"/>
              </w:tabs>
            </w:pPr>
            <w:r>
              <w:t>Inspector-General of Biosecurity Strategy 202</w:t>
            </w:r>
            <w:r w:rsidR="00124CB1">
              <w:t>5</w:t>
            </w:r>
            <w:r>
              <w:t>–3</w:t>
            </w:r>
            <w:r w:rsidR="00124CB1">
              <w:t>0</w:t>
            </w:r>
            <w:r w:rsidR="009D1336">
              <w:tab/>
            </w:r>
            <w:r w:rsidR="009D1336">
              <w:tab/>
            </w:r>
            <w:r w:rsidR="009D1336">
              <w:tab/>
            </w:r>
            <w:r w:rsidR="009D3D4E">
              <w:tab/>
            </w:r>
            <w:r w:rsidR="009D3D4E">
              <w:tab/>
              <w:t xml:space="preserve">         </w:t>
            </w: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FA8B4" w14:textId="7A34B76F" w:rsidR="00536C7E" w:rsidRDefault="00536C7E">
    <w:pPr>
      <w:pStyle w:val="Footer"/>
    </w:pPr>
    <w:r>
      <w:rPr>
        <w:noProof/>
      </w:rPr>
      <mc:AlternateContent>
        <mc:Choice Requires="wps">
          <w:drawing>
            <wp:anchor distT="0" distB="0" distL="0" distR="0" simplePos="0" relativeHeight="251658243" behindDoc="0" locked="0" layoutInCell="1" allowOverlap="1" wp14:anchorId="536E20AC" wp14:editId="3644F2F1">
              <wp:simplePos x="635" y="635"/>
              <wp:positionH relativeFrom="page">
                <wp:align>center</wp:align>
              </wp:positionH>
              <wp:positionV relativeFrom="page">
                <wp:align>bottom</wp:align>
              </wp:positionV>
              <wp:extent cx="622300" cy="404495"/>
              <wp:effectExtent l="0" t="0" r="6350" b="0"/>
              <wp:wrapNone/>
              <wp:docPr id="11457938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175D9A5" w14:textId="412B609D" w:rsidR="00536C7E" w:rsidRPr="00536C7E" w:rsidRDefault="00536C7E" w:rsidP="00536C7E">
                          <w:pPr>
                            <w:rPr>
                              <w:rFonts w:ascii="Aptos" w:eastAsia="Aptos" w:hAnsi="Aptos" w:cs="Aptos"/>
                              <w:noProof/>
                              <w:color w:val="FF0000"/>
                              <w:szCs w:val="24"/>
                            </w:rPr>
                          </w:pPr>
                          <w:r w:rsidRPr="00536C7E">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6E20AC" id="_x0000_t202" coordsize="21600,21600" o:spt="202" path="m,l,21600r21600,l21600,xe">
              <v:stroke joinstyle="miter"/>
              <v:path gradientshapeok="t" o:connecttype="rect"/>
            </v:shapetype>
            <v:shape id="Text Box 4" o:spid="_x0000_s1030" type="#_x0000_t202" alt="OFFICIAL" style="position:absolute;margin-left:0;margin-top:0;width:49pt;height:31.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V2b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yoqPna/g+pEQyEM+/ZOrhsqvRE+PAmkBVO3JNrw&#10;SIc20JUczhZnNeDPv/ljPvFOUc46EkzJLSmaM/Pd0j6itkYDR2OXjOlNfhXpsYf2DkiGU3oRTiaT&#10;vBjMaGqE9oXkvIqFKCSspHIl343mXRiUS89BqtUqJZGMnAgbu3UyQke6IpfP/YtAdyY80KYeYFST&#10;KN7xPuTGm96tDoHYT0uJ1A5EnhknCaa1np9L1Pjb/5R1edTLXwA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GaNXZsNAgAAHAQA&#10;AA4AAAAAAAAAAAAAAAAALgIAAGRycy9lMm9Eb2MueG1sUEsBAi0AFAAGAAgAAAAhAFanuMraAAAA&#10;AwEAAA8AAAAAAAAAAAAAAAAAZwQAAGRycy9kb3ducmV2LnhtbFBLBQYAAAAABAAEAPMAAABuBQAA&#10;AAA=&#10;" filled="f" stroked="f">
              <v:textbox style="mso-fit-shape-to-text:t" inset="0,0,0,15pt">
                <w:txbxContent>
                  <w:p w14:paraId="2175D9A5" w14:textId="412B609D" w:rsidR="00536C7E" w:rsidRPr="00536C7E" w:rsidRDefault="00536C7E" w:rsidP="00536C7E">
                    <w:pPr>
                      <w:rPr>
                        <w:rFonts w:ascii="Aptos" w:eastAsia="Aptos" w:hAnsi="Aptos" w:cs="Aptos"/>
                        <w:noProof/>
                        <w:color w:val="FF0000"/>
                        <w:szCs w:val="24"/>
                      </w:rPr>
                    </w:pPr>
                    <w:r w:rsidRPr="00536C7E">
                      <w:rPr>
                        <w:rFonts w:ascii="Aptos" w:eastAsia="Aptos" w:hAnsi="Aptos" w:cs="Aptos"/>
                        <w:noProof/>
                        <w:color w:val="FF0000"/>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27A3D" w14:textId="77777777" w:rsidR="003F7A4C" w:rsidRDefault="003F7A4C">
      <w:pPr>
        <w:spacing w:before="0"/>
      </w:pPr>
      <w:r>
        <w:separator/>
      </w:r>
    </w:p>
  </w:footnote>
  <w:footnote w:type="continuationSeparator" w:id="0">
    <w:p w14:paraId="592BF852" w14:textId="77777777" w:rsidR="003F7A4C" w:rsidRDefault="003F7A4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AF72" w14:textId="5B58EF19" w:rsidR="00536C7E" w:rsidRDefault="00536C7E">
    <w:pPr>
      <w:pStyle w:val="Header"/>
    </w:pPr>
    <w:r>
      <w:rPr>
        <w:noProof/>
      </w:rPr>
      <mc:AlternateContent>
        <mc:Choice Requires="wps">
          <w:drawing>
            <wp:anchor distT="0" distB="0" distL="0" distR="0" simplePos="0" relativeHeight="251658241" behindDoc="0" locked="0" layoutInCell="1" allowOverlap="1" wp14:anchorId="15A7E16B" wp14:editId="482866A4">
              <wp:simplePos x="635" y="635"/>
              <wp:positionH relativeFrom="page">
                <wp:align>center</wp:align>
              </wp:positionH>
              <wp:positionV relativeFrom="page">
                <wp:align>top</wp:align>
              </wp:positionV>
              <wp:extent cx="622300" cy="404495"/>
              <wp:effectExtent l="0" t="0" r="6350" b="14605"/>
              <wp:wrapNone/>
              <wp:docPr id="3121494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E68CE91" w14:textId="55C96665" w:rsidR="00536C7E" w:rsidRPr="00536C7E" w:rsidRDefault="00536C7E" w:rsidP="00536C7E">
                          <w:pPr>
                            <w:rPr>
                              <w:rFonts w:ascii="Aptos" w:eastAsia="Aptos" w:hAnsi="Aptos" w:cs="Aptos"/>
                              <w:noProof/>
                              <w:color w:val="FF0000"/>
                              <w:szCs w:val="24"/>
                            </w:rPr>
                          </w:pPr>
                          <w:r w:rsidRPr="00536C7E">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A7E16B"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3E68CE91" w14:textId="55C96665" w:rsidR="00536C7E" w:rsidRPr="00536C7E" w:rsidRDefault="00536C7E" w:rsidP="00536C7E">
                    <w:pPr>
                      <w:rPr>
                        <w:rFonts w:ascii="Aptos" w:eastAsia="Aptos" w:hAnsi="Aptos" w:cs="Aptos"/>
                        <w:noProof/>
                        <w:color w:val="FF0000"/>
                        <w:szCs w:val="24"/>
                      </w:rPr>
                    </w:pPr>
                    <w:r w:rsidRPr="00536C7E">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9FA16" w14:textId="7DD96FBD" w:rsidR="00536C7E" w:rsidRDefault="00536C7E" w:rsidP="0032470A">
    <w:pPr>
      <w:pStyle w:val="Header"/>
    </w:pPr>
    <w:r>
      <w:rPr>
        <w:noProof/>
      </w:rPr>
      <mc:AlternateContent>
        <mc:Choice Requires="wps">
          <w:drawing>
            <wp:anchor distT="0" distB="0" distL="0" distR="0" simplePos="0" relativeHeight="251658240" behindDoc="0" locked="0" layoutInCell="1" allowOverlap="1" wp14:anchorId="4F28C8FB" wp14:editId="2D7EE547">
              <wp:simplePos x="914400" y="457200"/>
              <wp:positionH relativeFrom="page">
                <wp:align>center</wp:align>
              </wp:positionH>
              <wp:positionV relativeFrom="page">
                <wp:align>top</wp:align>
              </wp:positionV>
              <wp:extent cx="622300" cy="404495"/>
              <wp:effectExtent l="0" t="0" r="6350" b="14605"/>
              <wp:wrapNone/>
              <wp:docPr id="40725486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77AE803" w14:textId="31238E09" w:rsidR="00536C7E" w:rsidRPr="00536C7E" w:rsidRDefault="00536C7E" w:rsidP="00536C7E">
                          <w:pPr>
                            <w:rPr>
                              <w:rFonts w:ascii="Aptos" w:eastAsia="Aptos" w:hAnsi="Aptos" w:cs="Aptos"/>
                              <w:noProof/>
                              <w:color w:val="FF0000"/>
                              <w:szCs w:val="24"/>
                            </w:rPr>
                          </w:pPr>
                          <w:r w:rsidRPr="00536C7E">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28C8FB" id="_x0000_t202" coordsize="21600,21600" o:spt="202" path="m,l,21600r21600,l21600,xe">
              <v:stroke joinstyle="miter"/>
              <v:path gradientshapeok="t" o:connecttype="rect"/>
            </v:shapetype>
            <v:shape id="Text Box 3" o:spid="_x0000_s1027" type="#_x0000_t202" alt="OFFICIAL" style="position:absolute;margin-left:0;margin-top:0;width:49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filled="f" stroked="f">
              <v:textbox style="mso-fit-shape-to-text:t" inset="0,15pt,0,0">
                <w:txbxContent>
                  <w:p w14:paraId="277AE803" w14:textId="31238E09" w:rsidR="00536C7E" w:rsidRPr="00536C7E" w:rsidRDefault="00536C7E" w:rsidP="00536C7E">
                    <w:pPr>
                      <w:rPr>
                        <w:rFonts w:ascii="Aptos" w:eastAsia="Aptos" w:hAnsi="Aptos" w:cs="Aptos"/>
                        <w:noProof/>
                        <w:color w:val="FF0000"/>
                        <w:szCs w:val="24"/>
                      </w:rPr>
                    </w:pPr>
                    <w:r w:rsidRPr="00536C7E">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5363E" w14:textId="4662E787" w:rsidR="00536C7E" w:rsidRDefault="0032470A">
    <w:pPr>
      <w:pStyle w:val="Header"/>
    </w:pPr>
    <w:r>
      <w:rPr>
        <w:noProof/>
      </w:rPr>
      <w:drawing>
        <wp:inline distT="0" distB="0" distL="0" distR="0" wp14:anchorId="44EB5A46" wp14:editId="13F3152F">
          <wp:extent cx="2036068" cy="1042418"/>
          <wp:effectExtent l="0" t="0" r="254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GB_cres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6068" cy="1042418"/>
                  </a:xfrm>
                  <a:prstGeom prst="rect">
                    <a:avLst/>
                  </a:prstGeom>
                </pic:spPr>
              </pic:pic>
            </a:graphicData>
          </a:graphic>
        </wp:inline>
      </w:drawing>
    </w:r>
    <w:r w:rsidR="00536C7E">
      <w:rPr>
        <w:noProof/>
      </w:rPr>
      <mc:AlternateContent>
        <mc:Choice Requires="wps">
          <w:drawing>
            <wp:anchor distT="0" distB="0" distL="0" distR="0" simplePos="0" relativeHeight="251658242" behindDoc="0" locked="0" layoutInCell="1" allowOverlap="1" wp14:anchorId="03FB3AAA" wp14:editId="6B987DBE">
              <wp:simplePos x="635" y="635"/>
              <wp:positionH relativeFrom="page">
                <wp:align>center</wp:align>
              </wp:positionH>
              <wp:positionV relativeFrom="page">
                <wp:align>top</wp:align>
              </wp:positionV>
              <wp:extent cx="622300" cy="404495"/>
              <wp:effectExtent l="0" t="0" r="6350" b="14605"/>
              <wp:wrapNone/>
              <wp:docPr id="7216878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9B768D9" w14:textId="4C3E1E47" w:rsidR="00536C7E" w:rsidRPr="00536C7E" w:rsidRDefault="00536C7E" w:rsidP="00536C7E">
                          <w:pPr>
                            <w:rPr>
                              <w:rFonts w:ascii="Aptos" w:eastAsia="Aptos" w:hAnsi="Aptos" w:cs="Aptos"/>
                              <w:noProof/>
                              <w:color w:val="FF0000"/>
                              <w:szCs w:val="24"/>
                            </w:rPr>
                          </w:pPr>
                          <w:r w:rsidRPr="00536C7E">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FB3AAA" id="_x0000_t202" coordsize="21600,21600" o:spt="202" path="m,l,21600r21600,l21600,xe">
              <v:stroke joinstyle="miter"/>
              <v:path gradientshapeok="t" o:connecttype="rect"/>
            </v:shapetype>
            <v:shape id="Text Box 1" o:spid="_x0000_s1029" type="#_x0000_t202" alt="OFFICIAL" style="position:absolute;margin-left:0;margin-top:0;width:49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" filled="f" stroked="f">
              <v:textbox style="mso-fit-shape-to-text:t" inset="0,15pt,0,0">
                <w:txbxContent>
                  <w:p w14:paraId="39B768D9" w14:textId="4C3E1E47" w:rsidR="00536C7E" w:rsidRPr="00536C7E" w:rsidRDefault="00536C7E" w:rsidP="00536C7E">
                    <w:pPr>
                      <w:rPr>
                        <w:rFonts w:ascii="Aptos" w:eastAsia="Aptos" w:hAnsi="Aptos" w:cs="Aptos"/>
                        <w:noProof/>
                        <w:color w:val="FF0000"/>
                        <w:szCs w:val="24"/>
                      </w:rPr>
                    </w:pPr>
                    <w:r w:rsidRPr="00536C7E">
                      <w:rPr>
                        <w:rFonts w:ascii="Aptos" w:eastAsia="Aptos" w:hAnsi="Aptos" w:cs="Aptos"/>
                        <w:noProof/>
                        <w:color w:val="FF0000"/>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5B167C8"/>
    <w:multiLevelType w:val="hybridMultilevel"/>
    <w:tmpl w:val="657A6B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43BAC6E"/>
    <w:multiLevelType w:val="hybridMultilevel"/>
    <w:tmpl w:val="FFFFFFFF"/>
    <w:lvl w:ilvl="0" w:tplc="702846BE">
      <w:start w:val="1"/>
      <w:numFmt w:val="bullet"/>
      <w:lvlText w:val=""/>
      <w:lvlJc w:val="left"/>
      <w:pPr>
        <w:ind w:left="720" w:hanging="360"/>
      </w:pPr>
      <w:rPr>
        <w:rFonts w:ascii="Symbol" w:hAnsi="Symbol" w:hint="default"/>
      </w:rPr>
    </w:lvl>
    <w:lvl w:ilvl="1" w:tplc="573ABC36">
      <w:start w:val="1"/>
      <w:numFmt w:val="bullet"/>
      <w:lvlText w:val="o"/>
      <w:lvlJc w:val="left"/>
      <w:pPr>
        <w:ind w:left="1440" w:hanging="360"/>
      </w:pPr>
      <w:rPr>
        <w:rFonts w:ascii="Courier New" w:hAnsi="Courier New" w:hint="default"/>
      </w:rPr>
    </w:lvl>
    <w:lvl w:ilvl="2" w:tplc="F628FB48">
      <w:start w:val="1"/>
      <w:numFmt w:val="bullet"/>
      <w:lvlText w:val=""/>
      <w:lvlJc w:val="left"/>
      <w:pPr>
        <w:ind w:left="2160" w:hanging="360"/>
      </w:pPr>
      <w:rPr>
        <w:rFonts w:ascii="Wingdings" w:hAnsi="Wingdings" w:hint="default"/>
      </w:rPr>
    </w:lvl>
    <w:lvl w:ilvl="3" w:tplc="8806CA02">
      <w:start w:val="1"/>
      <w:numFmt w:val="bullet"/>
      <w:lvlText w:val=""/>
      <w:lvlJc w:val="left"/>
      <w:pPr>
        <w:ind w:left="2880" w:hanging="360"/>
      </w:pPr>
      <w:rPr>
        <w:rFonts w:ascii="Symbol" w:hAnsi="Symbol" w:hint="default"/>
      </w:rPr>
    </w:lvl>
    <w:lvl w:ilvl="4" w:tplc="6DD295DC">
      <w:start w:val="1"/>
      <w:numFmt w:val="bullet"/>
      <w:lvlText w:val="o"/>
      <w:lvlJc w:val="left"/>
      <w:pPr>
        <w:ind w:left="3600" w:hanging="360"/>
      </w:pPr>
      <w:rPr>
        <w:rFonts w:ascii="Courier New" w:hAnsi="Courier New" w:hint="default"/>
      </w:rPr>
    </w:lvl>
    <w:lvl w:ilvl="5" w:tplc="A6D60830">
      <w:start w:val="1"/>
      <w:numFmt w:val="bullet"/>
      <w:lvlText w:val=""/>
      <w:lvlJc w:val="left"/>
      <w:pPr>
        <w:ind w:left="4320" w:hanging="360"/>
      </w:pPr>
      <w:rPr>
        <w:rFonts w:ascii="Wingdings" w:hAnsi="Wingdings" w:hint="default"/>
      </w:rPr>
    </w:lvl>
    <w:lvl w:ilvl="6" w:tplc="610C9020">
      <w:start w:val="1"/>
      <w:numFmt w:val="bullet"/>
      <w:lvlText w:val=""/>
      <w:lvlJc w:val="left"/>
      <w:pPr>
        <w:ind w:left="5040" w:hanging="360"/>
      </w:pPr>
      <w:rPr>
        <w:rFonts w:ascii="Symbol" w:hAnsi="Symbol" w:hint="default"/>
      </w:rPr>
    </w:lvl>
    <w:lvl w:ilvl="7" w:tplc="9BF6C586">
      <w:start w:val="1"/>
      <w:numFmt w:val="bullet"/>
      <w:lvlText w:val="o"/>
      <w:lvlJc w:val="left"/>
      <w:pPr>
        <w:ind w:left="5760" w:hanging="360"/>
      </w:pPr>
      <w:rPr>
        <w:rFonts w:ascii="Courier New" w:hAnsi="Courier New" w:hint="default"/>
      </w:rPr>
    </w:lvl>
    <w:lvl w:ilvl="8" w:tplc="1D2683E8">
      <w:start w:val="1"/>
      <w:numFmt w:val="bullet"/>
      <w:lvlText w:val=""/>
      <w:lvlJc w:val="left"/>
      <w:pPr>
        <w:ind w:left="6480" w:hanging="360"/>
      </w:pPr>
      <w:rPr>
        <w:rFonts w:ascii="Wingdings" w:hAnsi="Wingdings" w:hint="default"/>
      </w:rPr>
    </w:lvl>
  </w:abstractNum>
  <w:abstractNum w:abstractNumId="11" w15:restartNumberingAfterBreak="0">
    <w:nsid w:val="36431EEE"/>
    <w:multiLevelType w:val="hybridMultilevel"/>
    <w:tmpl w:val="FFFFFFFF"/>
    <w:lvl w:ilvl="0" w:tplc="CA022F66">
      <w:start w:val="1"/>
      <w:numFmt w:val="bullet"/>
      <w:lvlText w:val=""/>
      <w:lvlJc w:val="left"/>
      <w:pPr>
        <w:ind w:left="360" w:hanging="360"/>
      </w:pPr>
      <w:rPr>
        <w:rFonts w:ascii="Symbol" w:hAnsi="Symbol" w:hint="default"/>
      </w:rPr>
    </w:lvl>
    <w:lvl w:ilvl="1" w:tplc="DECCEBE6">
      <w:start w:val="1"/>
      <w:numFmt w:val="bullet"/>
      <w:lvlText w:val="o"/>
      <w:lvlJc w:val="left"/>
      <w:pPr>
        <w:ind w:left="1080" w:hanging="360"/>
      </w:pPr>
      <w:rPr>
        <w:rFonts w:ascii="Courier New" w:hAnsi="Courier New" w:hint="default"/>
      </w:rPr>
    </w:lvl>
    <w:lvl w:ilvl="2" w:tplc="6E3095AC">
      <w:start w:val="1"/>
      <w:numFmt w:val="bullet"/>
      <w:lvlText w:val=""/>
      <w:lvlJc w:val="left"/>
      <w:pPr>
        <w:ind w:left="1800" w:hanging="360"/>
      </w:pPr>
      <w:rPr>
        <w:rFonts w:ascii="Wingdings" w:hAnsi="Wingdings" w:hint="default"/>
      </w:rPr>
    </w:lvl>
    <w:lvl w:ilvl="3" w:tplc="6C348EEA">
      <w:start w:val="1"/>
      <w:numFmt w:val="bullet"/>
      <w:lvlText w:val=""/>
      <w:lvlJc w:val="left"/>
      <w:pPr>
        <w:ind w:left="2520" w:hanging="360"/>
      </w:pPr>
      <w:rPr>
        <w:rFonts w:ascii="Symbol" w:hAnsi="Symbol" w:hint="default"/>
      </w:rPr>
    </w:lvl>
    <w:lvl w:ilvl="4" w:tplc="397A7FFC">
      <w:start w:val="1"/>
      <w:numFmt w:val="bullet"/>
      <w:lvlText w:val="o"/>
      <w:lvlJc w:val="left"/>
      <w:pPr>
        <w:ind w:left="3240" w:hanging="360"/>
      </w:pPr>
      <w:rPr>
        <w:rFonts w:ascii="Courier New" w:hAnsi="Courier New" w:hint="default"/>
      </w:rPr>
    </w:lvl>
    <w:lvl w:ilvl="5" w:tplc="8222B49E">
      <w:start w:val="1"/>
      <w:numFmt w:val="bullet"/>
      <w:lvlText w:val=""/>
      <w:lvlJc w:val="left"/>
      <w:pPr>
        <w:ind w:left="3960" w:hanging="360"/>
      </w:pPr>
      <w:rPr>
        <w:rFonts w:ascii="Wingdings" w:hAnsi="Wingdings" w:hint="default"/>
      </w:rPr>
    </w:lvl>
    <w:lvl w:ilvl="6" w:tplc="BF90A8F4">
      <w:start w:val="1"/>
      <w:numFmt w:val="bullet"/>
      <w:lvlText w:val=""/>
      <w:lvlJc w:val="left"/>
      <w:pPr>
        <w:ind w:left="4680" w:hanging="360"/>
      </w:pPr>
      <w:rPr>
        <w:rFonts w:ascii="Symbol" w:hAnsi="Symbol" w:hint="default"/>
      </w:rPr>
    </w:lvl>
    <w:lvl w:ilvl="7" w:tplc="241A7E76">
      <w:start w:val="1"/>
      <w:numFmt w:val="bullet"/>
      <w:lvlText w:val="o"/>
      <w:lvlJc w:val="left"/>
      <w:pPr>
        <w:ind w:left="5400" w:hanging="360"/>
      </w:pPr>
      <w:rPr>
        <w:rFonts w:ascii="Courier New" w:hAnsi="Courier New" w:hint="default"/>
      </w:rPr>
    </w:lvl>
    <w:lvl w:ilvl="8" w:tplc="E390A5FC">
      <w:start w:val="1"/>
      <w:numFmt w:val="bullet"/>
      <w:lvlText w:val=""/>
      <w:lvlJc w:val="left"/>
      <w:pPr>
        <w:ind w:left="6120" w:hanging="360"/>
      </w:pPr>
      <w:rPr>
        <w:rFonts w:ascii="Wingdings" w:hAnsi="Wingdings" w:hint="default"/>
      </w:rPr>
    </w:lvl>
  </w:abstractNum>
  <w:abstractNum w:abstractNumId="12" w15:restartNumberingAfterBreak="0">
    <w:nsid w:val="3B90E3D6"/>
    <w:multiLevelType w:val="hybridMultilevel"/>
    <w:tmpl w:val="FFFFFFFF"/>
    <w:lvl w:ilvl="0" w:tplc="F0E671C2">
      <w:start w:val="1"/>
      <w:numFmt w:val="bullet"/>
      <w:lvlText w:val="-"/>
      <w:lvlJc w:val="left"/>
      <w:pPr>
        <w:ind w:left="720" w:hanging="360"/>
      </w:pPr>
      <w:rPr>
        <w:rFonts w:ascii="Aptos" w:hAnsi="Aptos" w:hint="default"/>
      </w:rPr>
    </w:lvl>
    <w:lvl w:ilvl="1" w:tplc="94FC1D0C">
      <w:start w:val="1"/>
      <w:numFmt w:val="bullet"/>
      <w:lvlText w:val="o"/>
      <w:lvlJc w:val="left"/>
      <w:pPr>
        <w:ind w:left="1440" w:hanging="360"/>
      </w:pPr>
      <w:rPr>
        <w:rFonts w:ascii="Courier New" w:hAnsi="Courier New" w:hint="default"/>
      </w:rPr>
    </w:lvl>
    <w:lvl w:ilvl="2" w:tplc="B4CA4D22">
      <w:start w:val="1"/>
      <w:numFmt w:val="bullet"/>
      <w:lvlText w:val=""/>
      <w:lvlJc w:val="left"/>
      <w:pPr>
        <w:ind w:left="2160" w:hanging="360"/>
      </w:pPr>
      <w:rPr>
        <w:rFonts w:ascii="Wingdings" w:hAnsi="Wingdings" w:hint="default"/>
      </w:rPr>
    </w:lvl>
    <w:lvl w:ilvl="3" w:tplc="77DCA6C0">
      <w:start w:val="1"/>
      <w:numFmt w:val="bullet"/>
      <w:lvlText w:val=""/>
      <w:lvlJc w:val="left"/>
      <w:pPr>
        <w:ind w:left="2880" w:hanging="360"/>
      </w:pPr>
      <w:rPr>
        <w:rFonts w:ascii="Symbol" w:hAnsi="Symbol" w:hint="default"/>
      </w:rPr>
    </w:lvl>
    <w:lvl w:ilvl="4" w:tplc="801C1C4E">
      <w:start w:val="1"/>
      <w:numFmt w:val="bullet"/>
      <w:lvlText w:val="o"/>
      <w:lvlJc w:val="left"/>
      <w:pPr>
        <w:ind w:left="3600" w:hanging="360"/>
      </w:pPr>
      <w:rPr>
        <w:rFonts w:ascii="Courier New" w:hAnsi="Courier New" w:hint="default"/>
      </w:rPr>
    </w:lvl>
    <w:lvl w:ilvl="5" w:tplc="57DACCA6">
      <w:start w:val="1"/>
      <w:numFmt w:val="bullet"/>
      <w:lvlText w:val=""/>
      <w:lvlJc w:val="left"/>
      <w:pPr>
        <w:ind w:left="4320" w:hanging="360"/>
      </w:pPr>
      <w:rPr>
        <w:rFonts w:ascii="Wingdings" w:hAnsi="Wingdings" w:hint="default"/>
      </w:rPr>
    </w:lvl>
    <w:lvl w:ilvl="6" w:tplc="AC245B44">
      <w:start w:val="1"/>
      <w:numFmt w:val="bullet"/>
      <w:lvlText w:val=""/>
      <w:lvlJc w:val="left"/>
      <w:pPr>
        <w:ind w:left="5040" w:hanging="360"/>
      </w:pPr>
      <w:rPr>
        <w:rFonts w:ascii="Symbol" w:hAnsi="Symbol" w:hint="default"/>
      </w:rPr>
    </w:lvl>
    <w:lvl w:ilvl="7" w:tplc="A588DE0A">
      <w:start w:val="1"/>
      <w:numFmt w:val="bullet"/>
      <w:lvlText w:val="o"/>
      <w:lvlJc w:val="left"/>
      <w:pPr>
        <w:ind w:left="5760" w:hanging="360"/>
      </w:pPr>
      <w:rPr>
        <w:rFonts w:ascii="Courier New" w:hAnsi="Courier New" w:hint="default"/>
      </w:rPr>
    </w:lvl>
    <w:lvl w:ilvl="8" w:tplc="C204BBE0">
      <w:start w:val="1"/>
      <w:numFmt w:val="bullet"/>
      <w:lvlText w:val=""/>
      <w:lvlJc w:val="left"/>
      <w:pPr>
        <w:ind w:left="6480" w:hanging="360"/>
      </w:pPr>
      <w:rPr>
        <w:rFonts w:ascii="Wingdings" w:hAnsi="Wingdings" w:hint="default"/>
      </w:rPr>
    </w:lvl>
  </w:abstractNum>
  <w:abstractNum w:abstractNumId="13" w15:restartNumberingAfterBreak="0">
    <w:nsid w:val="5B9E0940"/>
    <w:multiLevelType w:val="hybridMultilevel"/>
    <w:tmpl w:val="FC54DC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72761E5"/>
    <w:multiLevelType w:val="hybridMultilevel"/>
    <w:tmpl w:val="98B26666"/>
    <w:lvl w:ilvl="0" w:tplc="C92A051C">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208494107">
    <w:abstractNumId w:val="11"/>
  </w:num>
  <w:num w:numId="2" w16cid:durableId="1229458862">
    <w:abstractNumId w:val="12"/>
  </w:num>
  <w:num w:numId="3" w16cid:durableId="2123841885">
    <w:abstractNumId w:val="8"/>
  </w:num>
  <w:num w:numId="4" w16cid:durableId="2070837817">
    <w:abstractNumId w:val="6"/>
  </w:num>
  <w:num w:numId="5" w16cid:durableId="169101634">
    <w:abstractNumId w:val="5"/>
  </w:num>
  <w:num w:numId="6" w16cid:durableId="2052458032">
    <w:abstractNumId w:val="4"/>
  </w:num>
  <w:num w:numId="7" w16cid:durableId="1969165379">
    <w:abstractNumId w:val="7"/>
  </w:num>
  <w:num w:numId="8" w16cid:durableId="989528526">
    <w:abstractNumId w:val="3"/>
  </w:num>
  <w:num w:numId="9" w16cid:durableId="388384870">
    <w:abstractNumId w:val="2"/>
  </w:num>
  <w:num w:numId="10" w16cid:durableId="1270118705">
    <w:abstractNumId w:val="1"/>
  </w:num>
  <w:num w:numId="11" w16cid:durableId="28380742">
    <w:abstractNumId w:val="0"/>
  </w:num>
  <w:num w:numId="12" w16cid:durableId="490028785">
    <w:abstractNumId w:val="13"/>
  </w:num>
  <w:num w:numId="13" w16cid:durableId="334891928">
    <w:abstractNumId w:val="14"/>
  </w:num>
  <w:num w:numId="14" w16cid:durableId="1224832170">
    <w:abstractNumId w:val="8"/>
  </w:num>
  <w:num w:numId="15" w16cid:durableId="546916628">
    <w:abstractNumId w:val="8"/>
  </w:num>
  <w:num w:numId="16" w16cid:durableId="890573575">
    <w:abstractNumId w:val="8"/>
  </w:num>
  <w:num w:numId="17" w16cid:durableId="1517646211">
    <w:abstractNumId w:val="10"/>
  </w:num>
  <w:num w:numId="18" w16cid:durableId="3181174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F41"/>
    <w:rsid w:val="00034616"/>
    <w:rsid w:val="00043EFF"/>
    <w:rsid w:val="0006063C"/>
    <w:rsid w:val="00076724"/>
    <w:rsid w:val="00085B5C"/>
    <w:rsid w:val="0009012B"/>
    <w:rsid w:val="000A03D5"/>
    <w:rsid w:val="000C288F"/>
    <w:rsid w:val="000D5471"/>
    <w:rsid w:val="000F0AB0"/>
    <w:rsid w:val="000F1D42"/>
    <w:rsid w:val="0011698F"/>
    <w:rsid w:val="00124CB1"/>
    <w:rsid w:val="0015074B"/>
    <w:rsid w:val="00156CE3"/>
    <w:rsid w:val="00184E1E"/>
    <w:rsid w:val="001923CA"/>
    <w:rsid w:val="00197BDB"/>
    <w:rsid w:val="001B01A0"/>
    <w:rsid w:val="001D0B81"/>
    <w:rsid w:val="001E3E78"/>
    <w:rsid w:val="00205979"/>
    <w:rsid w:val="00272FB4"/>
    <w:rsid w:val="00291A1A"/>
    <w:rsid w:val="0029639D"/>
    <w:rsid w:val="002E7A42"/>
    <w:rsid w:val="0032223D"/>
    <w:rsid w:val="0032470A"/>
    <w:rsid w:val="003265D0"/>
    <w:rsid w:val="00326F90"/>
    <w:rsid w:val="00337DC1"/>
    <w:rsid w:val="0034653E"/>
    <w:rsid w:val="003816A0"/>
    <w:rsid w:val="00393D8F"/>
    <w:rsid w:val="003B3205"/>
    <w:rsid w:val="003C229F"/>
    <w:rsid w:val="003F58EC"/>
    <w:rsid w:val="003F7A4C"/>
    <w:rsid w:val="004039FD"/>
    <w:rsid w:val="00405364"/>
    <w:rsid w:val="00470EC0"/>
    <w:rsid w:val="00480EE5"/>
    <w:rsid w:val="004821B3"/>
    <w:rsid w:val="004C202E"/>
    <w:rsid w:val="004E08AC"/>
    <w:rsid w:val="00516ADF"/>
    <w:rsid w:val="00535D28"/>
    <w:rsid w:val="00536C7E"/>
    <w:rsid w:val="005A6DA0"/>
    <w:rsid w:val="005B021B"/>
    <w:rsid w:val="005E1EB3"/>
    <w:rsid w:val="005E6B71"/>
    <w:rsid w:val="005F7A3A"/>
    <w:rsid w:val="0060360E"/>
    <w:rsid w:val="00605E39"/>
    <w:rsid w:val="00636572"/>
    <w:rsid w:val="006419A0"/>
    <w:rsid w:val="006C636C"/>
    <w:rsid w:val="0070065A"/>
    <w:rsid w:val="00704F9F"/>
    <w:rsid w:val="007347EB"/>
    <w:rsid w:val="00764B1E"/>
    <w:rsid w:val="007654B7"/>
    <w:rsid w:val="00766A25"/>
    <w:rsid w:val="007738C2"/>
    <w:rsid w:val="007D3CF6"/>
    <w:rsid w:val="007D483C"/>
    <w:rsid w:val="007F07B3"/>
    <w:rsid w:val="007F5F50"/>
    <w:rsid w:val="0081587C"/>
    <w:rsid w:val="00817661"/>
    <w:rsid w:val="00852362"/>
    <w:rsid w:val="00852F16"/>
    <w:rsid w:val="008C728C"/>
    <w:rsid w:val="008D4E75"/>
    <w:rsid w:val="00900318"/>
    <w:rsid w:val="00986FEC"/>
    <w:rsid w:val="009D1336"/>
    <w:rsid w:val="009D18EA"/>
    <w:rsid w:val="009D3D4E"/>
    <w:rsid w:val="009D7F77"/>
    <w:rsid w:val="009E7F5D"/>
    <w:rsid w:val="00A16B19"/>
    <w:rsid w:val="00A236A2"/>
    <w:rsid w:val="00A44932"/>
    <w:rsid w:val="00A66945"/>
    <w:rsid w:val="00A7345D"/>
    <w:rsid w:val="00AA1D8D"/>
    <w:rsid w:val="00B12349"/>
    <w:rsid w:val="00B226D8"/>
    <w:rsid w:val="00B47730"/>
    <w:rsid w:val="00B91FBE"/>
    <w:rsid w:val="00BE08E4"/>
    <w:rsid w:val="00C20425"/>
    <w:rsid w:val="00C21FAB"/>
    <w:rsid w:val="00C63BB4"/>
    <w:rsid w:val="00C764BB"/>
    <w:rsid w:val="00CB0664"/>
    <w:rsid w:val="00CB0ED4"/>
    <w:rsid w:val="00CB49EE"/>
    <w:rsid w:val="00CC4952"/>
    <w:rsid w:val="00CF5A08"/>
    <w:rsid w:val="00D27C1F"/>
    <w:rsid w:val="00D655E2"/>
    <w:rsid w:val="00D95227"/>
    <w:rsid w:val="00DA4C51"/>
    <w:rsid w:val="00DB3048"/>
    <w:rsid w:val="00DD4E72"/>
    <w:rsid w:val="00E30D1C"/>
    <w:rsid w:val="00E77782"/>
    <w:rsid w:val="00E9013F"/>
    <w:rsid w:val="00ED1576"/>
    <w:rsid w:val="00EE4EA9"/>
    <w:rsid w:val="00F30B0E"/>
    <w:rsid w:val="00F3285C"/>
    <w:rsid w:val="00F65C0A"/>
    <w:rsid w:val="00F92C4D"/>
    <w:rsid w:val="00F94F3E"/>
    <w:rsid w:val="00FA6297"/>
    <w:rsid w:val="00FB450D"/>
    <w:rsid w:val="00FC693F"/>
    <w:rsid w:val="0334C06F"/>
    <w:rsid w:val="0426EE26"/>
    <w:rsid w:val="049423C0"/>
    <w:rsid w:val="0C0220FF"/>
    <w:rsid w:val="0C11174A"/>
    <w:rsid w:val="0CE18006"/>
    <w:rsid w:val="111FD897"/>
    <w:rsid w:val="142E4CB3"/>
    <w:rsid w:val="1CF0F3A7"/>
    <w:rsid w:val="26CBBCCC"/>
    <w:rsid w:val="29146A92"/>
    <w:rsid w:val="2B7046BC"/>
    <w:rsid w:val="3B7CAD0B"/>
    <w:rsid w:val="42268CD7"/>
    <w:rsid w:val="48202A06"/>
    <w:rsid w:val="55B5A63E"/>
    <w:rsid w:val="61238F5C"/>
    <w:rsid w:val="69458402"/>
    <w:rsid w:val="69EB7BDC"/>
    <w:rsid w:val="71EE1CFA"/>
    <w:rsid w:val="72D16A7D"/>
    <w:rsid w:val="766AD8AC"/>
    <w:rsid w:val="7C9DCA32"/>
    <w:rsid w:val="7D6DBE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3E9D8F"/>
  <w14:defaultImageDpi w14:val="300"/>
  <w15:docId w15:val="{EB064566-61A0-4DA2-AC17-4DD2B61AC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425"/>
    <w:pPr>
      <w:spacing w:before="120" w:after="0" w:line="240" w:lineRule="auto"/>
    </w:pPr>
    <w:rPr>
      <w:rFonts w:ascii="Calibri" w:hAnsi="Calibri"/>
      <w:sz w:val="24"/>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003366"/>
      <w:sz w:val="32"/>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003366"/>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b/>
      <w:color w:val="17365D" w:themeColor="text2" w:themeShade="BF"/>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3"/>
      </w:numPr>
      <w:contextualSpacing/>
    </w:pPr>
  </w:style>
  <w:style w:type="paragraph" w:styleId="ListBullet2">
    <w:name w:val="List Bullet 2"/>
    <w:basedOn w:val="Normal"/>
    <w:uiPriority w:val="99"/>
    <w:unhideWhenUsed/>
    <w:rsid w:val="00326F90"/>
    <w:pPr>
      <w:numPr>
        <w:numId w:val="4"/>
      </w:numPr>
      <w:contextualSpacing/>
    </w:pPr>
  </w:style>
  <w:style w:type="paragraph" w:styleId="ListBullet3">
    <w:name w:val="List Bullet 3"/>
    <w:basedOn w:val="Normal"/>
    <w:uiPriority w:val="99"/>
    <w:unhideWhenUsed/>
    <w:rsid w:val="00326F90"/>
    <w:pPr>
      <w:numPr>
        <w:numId w:val="5"/>
      </w:numPr>
      <w:contextualSpacing/>
    </w:pPr>
  </w:style>
  <w:style w:type="paragraph" w:styleId="ListNumber">
    <w:name w:val="List Number"/>
    <w:basedOn w:val="Normal"/>
    <w:uiPriority w:val="99"/>
    <w:unhideWhenUsed/>
    <w:rsid w:val="00326F90"/>
    <w:pPr>
      <w:numPr>
        <w:numId w:val="7"/>
      </w:numPr>
      <w:contextualSpacing/>
    </w:pPr>
  </w:style>
  <w:style w:type="paragraph" w:styleId="ListNumber2">
    <w:name w:val="List Number 2"/>
    <w:basedOn w:val="Normal"/>
    <w:uiPriority w:val="99"/>
    <w:unhideWhenUsed/>
    <w:rsid w:val="0029639D"/>
    <w:pPr>
      <w:numPr>
        <w:numId w:val="8"/>
      </w:numPr>
      <w:contextualSpacing/>
    </w:pPr>
  </w:style>
  <w:style w:type="paragraph" w:styleId="ListNumber3">
    <w:name w:val="List Number 3"/>
    <w:basedOn w:val="Normal"/>
    <w:uiPriority w:val="99"/>
    <w:unhideWhenUsed/>
    <w:rsid w:val="0029639D"/>
    <w:pPr>
      <w:numPr>
        <w:numId w:val="9"/>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36C7E"/>
    <w:rPr>
      <w:color w:val="0000FF" w:themeColor="hyperlink"/>
      <w:u w:val="single"/>
    </w:rPr>
  </w:style>
  <w:style w:type="character" w:styleId="UnresolvedMention">
    <w:name w:val="Unresolved Mention"/>
    <w:basedOn w:val="DefaultParagraphFont"/>
    <w:uiPriority w:val="99"/>
    <w:semiHidden/>
    <w:unhideWhenUsed/>
    <w:rsid w:val="00536C7E"/>
    <w:rPr>
      <w:color w:val="605E5C"/>
      <w:shd w:val="clear" w:color="auto" w:fill="E1DFDD"/>
    </w:rPr>
  </w:style>
  <w:style w:type="paragraph" w:styleId="Revision">
    <w:name w:val="Revision"/>
    <w:hidden/>
    <w:uiPriority w:val="99"/>
    <w:semiHidden/>
    <w:rsid w:val="007F5F50"/>
    <w:pPr>
      <w:spacing w:after="0" w:line="240" w:lineRule="auto"/>
    </w:pPr>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igb.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igb.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spGenBiosecurity@aff.gov.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InspGenBiosecurity@aff.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ac64a6-388e-41c6-b055-e21094d35574">
      <Terms xmlns="http://schemas.microsoft.com/office/infopath/2007/PartnerControls"/>
    </lcf76f155ced4ddcb4097134ff3c332f>
    <TaxCatchAll xmlns="81c01dc6-2c49-4730-b140-874c95cac377" xsi:nil="true"/>
    <Lastmodified xmlns="18ac64a6-388e-41c6-b055-e21094d355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AD8D595FC52294DA5849739F152FA32" ma:contentTypeVersion="12" ma:contentTypeDescription="Create a new document." ma:contentTypeScope="" ma:versionID="eb1f51843fce32b35a1b452901a5fa35">
  <xsd:schema xmlns:xsd="http://www.w3.org/2001/XMLSchema" xmlns:xs="http://www.w3.org/2001/XMLSchema" xmlns:p="http://schemas.microsoft.com/office/2006/metadata/properties" xmlns:ns2="18ac64a6-388e-41c6-b055-e21094d35574" xmlns:ns3="81c01dc6-2c49-4730-b140-874c95cac377" targetNamespace="http://schemas.microsoft.com/office/2006/metadata/properties" ma:root="true" ma:fieldsID="1c24c6db6e9b1c59c0878fbf81ff3f95" ns2:_="" ns3:_="">
    <xsd:import namespace="18ac64a6-388e-41c6-b055-e21094d35574"/>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Last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c64a6-388e-41c6-b055-e21094d35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astmodified" ma:index="19" nillable="true" ma:displayName="Last modified" ma:format="DateTime" ma:internalName="Last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0b96ca-dee5-4168-bae2-87ca98e03ad3}" ma:internalName="TaxCatchAll" ma:showField="CatchAllData" ma:web="18d09e40-fc21-4734-bdfa-18418760f1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F2185B-AE34-408D-BC72-543207C3F48C}">
  <ds:schemaRefs>
    <ds:schemaRef ds:uri="http://schemas.microsoft.com/office/2006/metadata/properties"/>
    <ds:schemaRef ds:uri="http://schemas.microsoft.com/office/infopath/2007/PartnerControls"/>
    <ds:schemaRef ds:uri="18ac64a6-388e-41c6-b055-e21094d35574"/>
    <ds:schemaRef ds:uri="81c01dc6-2c49-4730-b140-874c95cac377"/>
  </ds:schemaRefs>
</ds:datastoreItem>
</file>

<file path=customXml/itemProps2.xml><?xml version="1.0" encoding="utf-8"?>
<ds:datastoreItem xmlns:ds="http://schemas.openxmlformats.org/officeDocument/2006/customXml" ds:itemID="{594829F9-2658-4DEA-9A65-56C4D8896686}">
  <ds:schemaRefs>
    <ds:schemaRef ds:uri="http://schemas.microsoft.com/sharepoint/v3/contenttype/forms"/>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3850ED42-765A-4B97-B505-C412DE2D2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c64a6-388e-41c6-b055-e21094d35574"/>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23</TotalTime>
  <Pages>5</Pages>
  <Words>1417</Words>
  <Characters>8716</Characters>
  <Application>Microsoft Office Word</Application>
  <DocSecurity>0</DocSecurity>
  <Lines>158</Lines>
  <Paragraphs>76</Paragraphs>
  <ScaleCrop>false</ScaleCrop>
  <Manager/>
  <Company/>
  <LinksUpToDate>false</LinksUpToDate>
  <CharactersWithSpaces>10057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Bhatia, Naveen</cp:lastModifiedBy>
  <cp:revision>36</cp:revision>
  <cp:lastPrinted>2026-05-05T23:18:00Z</cp:lastPrinted>
  <dcterms:created xsi:type="dcterms:W3CDTF">2026-03-22T10:35:00Z</dcterms:created>
  <dcterms:modified xsi:type="dcterms:W3CDTF">2026-05-05T23:18:00Z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44d3554,1dc4d65,1846374c</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6d457bb,329d5f31,52b9b4dc</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ContentTypeId">
    <vt:lpwstr>0x0101009AD8D595FC52294DA5849739F152FA32</vt:lpwstr>
  </property>
  <property fmtid="{D5CDD505-2E9C-101B-9397-08002B2CF9AE}" pid="9" name="MediaServiceImageTags">
    <vt:lpwstr/>
  </property>
  <property fmtid="{D5CDD505-2E9C-101B-9397-08002B2CF9AE}" pid="10" name="docLang">
    <vt:lpwstr>en</vt:lpwstr>
  </property>
</Properties>
</file>