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2560826"/>
        <w:docPartObj>
          <w:docPartGallery w:val="Cover Pages"/>
          <w:docPartUnique/>
        </w:docPartObj>
      </w:sdtPr>
      <w:sdtEndPr>
        <w:rPr>
          <w:color w:val="2C6765"/>
        </w:rPr>
      </w:sdtEndPr>
      <w:sdtContent>
        <w:p w14:paraId="32E1054D" w14:textId="2A060EB2" w:rsidR="00CD089D" w:rsidRDefault="00CD089D"/>
        <w:p w14:paraId="539E7485" w14:textId="4C4DB470" w:rsidR="00CD089D" w:rsidRDefault="00D12E31" w:rsidP="00045ACE">
          <w:pPr>
            <w:pStyle w:val="CoverHeader"/>
            <w:rPr>
              <w:b w:val="0"/>
            </w:rPr>
          </w:pPr>
          <w:r>
            <w:t xml:space="preserve">Review </w:t>
          </w:r>
          <w:r w:rsidR="00CD089D" w:rsidRPr="00CD089D">
            <w:t xml:space="preserve">Work Plan </w:t>
          </w:r>
        </w:p>
        <w:p w14:paraId="3A5ABCBA" w14:textId="2B12DCEE" w:rsidR="00707D05" w:rsidRPr="00045ACE" w:rsidRDefault="004440E2" w:rsidP="00045ACE">
          <w:pPr>
            <w:pStyle w:val="CoverPageSub-heading"/>
            <w:sectPr w:rsidR="00707D05" w:rsidRPr="00045ACE" w:rsidSect="00CD089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Pr>
              <w:rFonts w:eastAsia="Times New Roman" w:cs="Segoe UI"/>
              <w:noProof/>
              <w:lang w:val="en"/>
            </w:rPr>
            <w:drawing>
              <wp:anchor distT="0" distB="0" distL="114300" distR="114300" simplePos="0" relativeHeight="251658240" behindDoc="0" locked="0" layoutInCell="1" allowOverlap="1" wp14:anchorId="50F26DCC" wp14:editId="7BBC9B68">
                <wp:simplePos x="0" y="0"/>
                <wp:positionH relativeFrom="column">
                  <wp:posOffset>-1036955</wp:posOffset>
                </wp:positionH>
                <wp:positionV relativeFrom="paragraph">
                  <wp:posOffset>783230</wp:posOffset>
                </wp:positionV>
                <wp:extent cx="8064869" cy="7806520"/>
                <wp:effectExtent l="0" t="0" r="0" b="4445"/>
                <wp:wrapNone/>
                <wp:docPr id="203553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64869" cy="7806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89D" w:rsidRPr="00045ACE">
            <w:rPr>
              <w:rFonts w:eastAsia="Times New Roman" w:cs="Segoe UI"/>
              <w:lang w:val="en"/>
            </w:rPr>
            <w:t xml:space="preserve">Review of </w:t>
          </w:r>
          <w:r w:rsidR="0044544A">
            <w:rPr>
              <w:rFonts w:eastAsia="Times New Roman" w:cs="Segoe UI"/>
              <w:lang w:val="en"/>
            </w:rPr>
            <w:t>documentation requirements for the biosecurity risk assessment of imported goods</w:t>
          </w:r>
        </w:p>
        <w:p w14:paraId="40E036A5" w14:textId="3B388CD4" w:rsidR="00CD089D" w:rsidRPr="00CD089D" w:rsidRDefault="00000000">
          <w:pPr>
            <w:spacing w:line="278" w:lineRule="auto"/>
            <w:rPr>
              <w:color w:val="2C6765"/>
            </w:rPr>
          </w:pPr>
        </w:p>
      </w:sdtContent>
    </w:sdt>
    <w:tbl>
      <w:tblPr>
        <w:tblW w:w="9634"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38"/>
        <w:gridCol w:w="7796"/>
      </w:tblGrid>
      <w:tr w:rsidR="005B021A" w:rsidRPr="0059478F" w14:paraId="1EF5EBED" w14:textId="77777777" w:rsidTr="00710271">
        <w:tc>
          <w:tcPr>
            <w:tcW w:w="1838" w:type="dxa"/>
          </w:tcPr>
          <w:p w14:paraId="46FF33F8" w14:textId="77777777" w:rsidR="005B021A" w:rsidRPr="0040183F" w:rsidRDefault="005B021A" w:rsidP="005B021A">
            <w:pPr>
              <w:jc w:val="right"/>
            </w:pPr>
            <w:r w:rsidRPr="0040183F">
              <w:t>Title:</w:t>
            </w:r>
          </w:p>
        </w:tc>
        <w:tc>
          <w:tcPr>
            <w:tcW w:w="7796" w:type="dxa"/>
            <w:vAlign w:val="center"/>
          </w:tcPr>
          <w:p w14:paraId="4779992B" w14:textId="7E5684AF" w:rsidR="005B021A" w:rsidRPr="00045ACE" w:rsidRDefault="005B021A" w:rsidP="005B021A">
            <w:pPr>
              <w:rPr>
                <w:rFonts w:eastAsia="Times New Roman"/>
                <w:b/>
                <w:bCs/>
                <w:lang w:val="en"/>
              </w:rPr>
            </w:pPr>
            <w:r w:rsidRPr="00045ACE">
              <w:rPr>
                <w:rFonts w:eastAsia="Times New Roman"/>
                <w:b/>
                <w:bCs/>
                <w:lang w:val="en"/>
              </w:rPr>
              <w:t xml:space="preserve">Review of documentation requirements for </w:t>
            </w:r>
            <w:r>
              <w:rPr>
                <w:rFonts w:eastAsia="Times New Roman"/>
                <w:b/>
                <w:bCs/>
                <w:lang w:val="en"/>
              </w:rPr>
              <w:t>the biosecurity risk assessment of imported goods</w:t>
            </w:r>
          </w:p>
        </w:tc>
      </w:tr>
      <w:tr w:rsidR="005B021A" w14:paraId="0A34BCEF" w14:textId="77777777" w:rsidTr="00710271">
        <w:tc>
          <w:tcPr>
            <w:tcW w:w="1838" w:type="dxa"/>
            <w:tcBorders>
              <w:left w:val="single" w:sz="4" w:space="0" w:color="auto"/>
            </w:tcBorders>
          </w:tcPr>
          <w:p w14:paraId="5B68ACC0" w14:textId="77777777" w:rsidR="005B021A" w:rsidRPr="0040183F" w:rsidRDefault="005B021A" w:rsidP="005B021A">
            <w:pPr>
              <w:jc w:val="right"/>
            </w:pPr>
            <w:r w:rsidRPr="0040183F">
              <w:t>Type of activity:</w:t>
            </w:r>
          </w:p>
        </w:tc>
        <w:tc>
          <w:tcPr>
            <w:tcW w:w="7796" w:type="dxa"/>
            <w:tcBorders>
              <w:right w:val="single" w:sz="4" w:space="0" w:color="auto"/>
            </w:tcBorders>
            <w:vAlign w:val="center"/>
          </w:tcPr>
          <w:p w14:paraId="59B830CB" w14:textId="77777777" w:rsidR="005B021A" w:rsidRPr="0040183F" w:rsidRDefault="005B021A" w:rsidP="005B021A">
            <w:pPr>
              <w:rPr>
                <w:b/>
              </w:rPr>
            </w:pPr>
            <w:r w:rsidRPr="0040183F">
              <w:rPr>
                <w:b/>
              </w:rPr>
              <w:t>Systems and processes review</w:t>
            </w:r>
          </w:p>
        </w:tc>
      </w:tr>
      <w:tr w:rsidR="005B021A" w14:paraId="2CEAAB67" w14:textId="77777777" w:rsidTr="00710271">
        <w:tc>
          <w:tcPr>
            <w:tcW w:w="1838" w:type="dxa"/>
            <w:tcBorders>
              <w:left w:val="single" w:sz="4" w:space="0" w:color="auto"/>
              <w:bottom w:val="single" w:sz="4" w:space="0" w:color="auto"/>
            </w:tcBorders>
          </w:tcPr>
          <w:p w14:paraId="2440C07E" w14:textId="77777777" w:rsidR="005B021A" w:rsidRPr="0040183F" w:rsidRDefault="005B021A" w:rsidP="005B021A">
            <w:pPr>
              <w:jc w:val="right"/>
            </w:pPr>
            <w:r>
              <w:t>Initiated by:</w:t>
            </w:r>
          </w:p>
        </w:tc>
        <w:tc>
          <w:tcPr>
            <w:tcW w:w="7796" w:type="dxa"/>
            <w:tcBorders>
              <w:bottom w:val="single" w:sz="4" w:space="0" w:color="auto"/>
              <w:right w:val="single" w:sz="4" w:space="0" w:color="auto"/>
            </w:tcBorders>
            <w:vAlign w:val="center"/>
          </w:tcPr>
          <w:p w14:paraId="632566EE" w14:textId="77777777" w:rsidR="005B021A" w:rsidRPr="00712838" w:rsidRDefault="005B021A" w:rsidP="005B021A">
            <w:pPr>
              <w:rPr>
                <w:b/>
                <w:color w:val="156082" w:themeColor="accent1"/>
              </w:rPr>
            </w:pPr>
            <w:r w:rsidRPr="00712838">
              <w:rPr>
                <w:b/>
              </w:rPr>
              <w:t>Inspector-General of Biosecurity</w:t>
            </w:r>
          </w:p>
        </w:tc>
      </w:tr>
    </w:tbl>
    <w:p w14:paraId="35674D1E" w14:textId="63A89435" w:rsidR="0056436E" w:rsidRDefault="0056436E">
      <w:pPr>
        <w:spacing w:line="278" w:lineRule="auto"/>
      </w:pPr>
    </w:p>
    <w:sdt>
      <w:sdtPr>
        <w:rPr>
          <w:rFonts w:ascii="Calibri" w:eastAsiaTheme="minorEastAsia" w:hAnsi="Calibri" w:cstheme="minorBidi"/>
          <w:color w:val="auto"/>
          <w:sz w:val="22"/>
          <w:szCs w:val="22"/>
          <w:lang w:val="en-AU" w:eastAsia="en-AU"/>
        </w:rPr>
        <w:id w:val="-2105102118"/>
        <w:docPartObj>
          <w:docPartGallery w:val="Table of Contents"/>
          <w:docPartUnique/>
        </w:docPartObj>
      </w:sdtPr>
      <w:sdtEndPr>
        <w:rPr>
          <w:b/>
          <w:bCs/>
          <w:noProof/>
        </w:rPr>
      </w:sdtEndPr>
      <w:sdtContent>
        <w:p w14:paraId="570643CD" w14:textId="15BAFB33" w:rsidR="0056436E" w:rsidRDefault="0056436E">
          <w:pPr>
            <w:pStyle w:val="TOCHeading"/>
          </w:pPr>
          <w:r>
            <w:t>Contents</w:t>
          </w:r>
        </w:p>
        <w:p w14:paraId="4478A0A0" w14:textId="789BF76F" w:rsidR="00885BCB" w:rsidRDefault="0056436E">
          <w:pPr>
            <w:pStyle w:val="TOC2"/>
            <w:tabs>
              <w:tab w:val="right" w:leader="dot" w:pos="9016"/>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224223217" w:history="1">
            <w:r w:rsidR="00885BCB" w:rsidRPr="009650FF">
              <w:rPr>
                <w:rStyle w:val="Hyperlink"/>
                <w:noProof/>
              </w:rPr>
              <w:t>Rationale</w:t>
            </w:r>
            <w:r w:rsidR="00885BCB">
              <w:rPr>
                <w:noProof/>
                <w:webHidden/>
              </w:rPr>
              <w:tab/>
            </w:r>
            <w:r w:rsidR="00885BCB">
              <w:rPr>
                <w:noProof/>
                <w:webHidden/>
              </w:rPr>
              <w:fldChar w:fldCharType="begin"/>
            </w:r>
            <w:r w:rsidR="00885BCB">
              <w:rPr>
                <w:noProof/>
                <w:webHidden/>
              </w:rPr>
              <w:instrText xml:space="preserve"> PAGEREF _Toc224223217 \h </w:instrText>
            </w:r>
            <w:r w:rsidR="00885BCB">
              <w:rPr>
                <w:noProof/>
                <w:webHidden/>
              </w:rPr>
            </w:r>
            <w:r w:rsidR="00885BCB">
              <w:rPr>
                <w:noProof/>
                <w:webHidden/>
              </w:rPr>
              <w:fldChar w:fldCharType="separate"/>
            </w:r>
            <w:r w:rsidR="002D6189">
              <w:rPr>
                <w:noProof/>
                <w:webHidden/>
              </w:rPr>
              <w:t>1</w:t>
            </w:r>
            <w:r w:rsidR="00885BCB">
              <w:rPr>
                <w:noProof/>
                <w:webHidden/>
              </w:rPr>
              <w:fldChar w:fldCharType="end"/>
            </w:r>
          </w:hyperlink>
        </w:p>
        <w:p w14:paraId="62B6F9E2" w14:textId="790C1507" w:rsidR="00885BCB" w:rsidRDefault="00885BCB">
          <w:pPr>
            <w:pStyle w:val="TOC2"/>
            <w:tabs>
              <w:tab w:val="right" w:leader="dot" w:pos="9016"/>
            </w:tabs>
            <w:rPr>
              <w:rFonts w:asciiTheme="minorHAnsi" w:hAnsiTheme="minorHAnsi"/>
              <w:noProof/>
              <w:kern w:val="2"/>
              <w:sz w:val="24"/>
              <w:szCs w:val="24"/>
              <w14:ligatures w14:val="standardContextual"/>
            </w:rPr>
          </w:pPr>
          <w:hyperlink w:anchor="_Toc224223218" w:history="1">
            <w:r w:rsidRPr="009650FF">
              <w:rPr>
                <w:rStyle w:val="Hyperlink"/>
                <w:noProof/>
              </w:rPr>
              <w:t>Review Purpose</w:t>
            </w:r>
            <w:r>
              <w:rPr>
                <w:noProof/>
                <w:webHidden/>
              </w:rPr>
              <w:tab/>
            </w:r>
            <w:r>
              <w:rPr>
                <w:noProof/>
                <w:webHidden/>
              </w:rPr>
              <w:fldChar w:fldCharType="begin"/>
            </w:r>
            <w:r>
              <w:rPr>
                <w:noProof/>
                <w:webHidden/>
              </w:rPr>
              <w:instrText xml:space="preserve"> PAGEREF _Toc224223218 \h </w:instrText>
            </w:r>
            <w:r>
              <w:rPr>
                <w:noProof/>
                <w:webHidden/>
              </w:rPr>
            </w:r>
            <w:r>
              <w:rPr>
                <w:noProof/>
                <w:webHidden/>
              </w:rPr>
              <w:fldChar w:fldCharType="separate"/>
            </w:r>
            <w:r w:rsidR="002D6189">
              <w:rPr>
                <w:noProof/>
                <w:webHidden/>
              </w:rPr>
              <w:t>1</w:t>
            </w:r>
            <w:r>
              <w:rPr>
                <w:noProof/>
                <w:webHidden/>
              </w:rPr>
              <w:fldChar w:fldCharType="end"/>
            </w:r>
          </w:hyperlink>
        </w:p>
        <w:p w14:paraId="209D3230" w14:textId="276ADA4E" w:rsidR="00885BCB" w:rsidRDefault="00885BCB">
          <w:pPr>
            <w:pStyle w:val="TOC2"/>
            <w:tabs>
              <w:tab w:val="right" w:leader="dot" w:pos="9016"/>
            </w:tabs>
            <w:rPr>
              <w:rFonts w:asciiTheme="minorHAnsi" w:hAnsiTheme="minorHAnsi"/>
              <w:noProof/>
              <w:kern w:val="2"/>
              <w:sz w:val="24"/>
              <w:szCs w:val="24"/>
              <w14:ligatures w14:val="standardContextual"/>
            </w:rPr>
          </w:pPr>
          <w:hyperlink w:anchor="_Toc224223219" w:history="1">
            <w:r w:rsidRPr="009650FF">
              <w:rPr>
                <w:rStyle w:val="Hyperlink"/>
                <w:noProof/>
              </w:rPr>
              <w:t>Review Objectives and Scope</w:t>
            </w:r>
            <w:r>
              <w:rPr>
                <w:noProof/>
                <w:webHidden/>
              </w:rPr>
              <w:tab/>
            </w:r>
            <w:r>
              <w:rPr>
                <w:noProof/>
                <w:webHidden/>
              </w:rPr>
              <w:fldChar w:fldCharType="begin"/>
            </w:r>
            <w:r>
              <w:rPr>
                <w:noProof/>
                <w:webHidden/>
              </w:rPr>
              <w:instrText xml:space="preserve"> PAGEREF _Toc224223219 \h </w:instrText>
            </w:r>
            <w:r>
              <w:rPr>
                <w:noProof/>
                <w:webHidden/>
              </w:rPr>
            </w:r>
            <w:r>
              <w:rPr>
                <w:noProof/>
                <w:webHidden/>
              </w:rPr>
              <w:fldChar w:fldCharType="separate"/>
            </w:r>
            <w:r w:rsidR="002D6189">
              <w:rPr>
                <w:noProof/>
                <w:webHidden/>
              </w:rPr>
              <w:t>1</w:t>
            </w:r>
            <w:r>
              <w:rPr>
                <w:noProof/>
                <w:webHidden/>
              </w:rPr>
              <w:fldChar w:fldCharType="end"/>
            </w:r>
          </w:hyperlink>
        </w:p>
        <w:p w14:paraId="499B222B" w14:textId="0E5D350E" w:rsidR="00885BCB" w:rsidRDefault="00885BCB">
          <w:pPr>
            <w:pStyle w:val="TOC3"/>
            <w:tabs>
              <w:tab w:val="right" w:leader="dot" w:pos="9016"/>
            </w:tabs>
            <w:rPr>
              <w:rFonts w:asciiTheme="minorHAnsi" w:hAnsiTheme="minorHAnsi"/>
              <w:noProof/>
              <w:kern w:val="2"/>
              <w:sz w:val="24"/>
              <w:szCs w:val="24"/>
              <w14:ligatures w14:val="standardContextual"/>
            </w:rPr>
          </w:pPr>
          <w:hyperlink w:anchor="_Toc224223220" w:history="1">
            <w:r w:rsidRPr="009650FF">
              <w:rPr>
                <w:rStyle w:val="Hyperlink"/>
                <w:noProof/>
              </w:rPr>
              <w:t>Scope</w:t>
            </w:r>
            <w:r>
              <w:rPr>
                <w:noProof/>
                <w:webHidden/>
              </w:rPr>
              <w:tab/>
            </w:r>
            <w:r>
              <w:rPr>
                <w:noProof/>
                <w:webHidden/>
              </w:rPr>
              <w:fldChar w:fldCharType="begin"/>
            </w:r>
            <w:r>
              <w:rPr>
                <w:noProof/>
                <w:webHidden/>
              </w:rPr>
              <w:instrText xml:space="preserve"> PAGEREF _Toc224223220 \h </w:instrText>
            </w:r>
            <w:r>
              <w:rPr>
                <w:noProof/>
                <w:webHidden/>
              </w:rPr>
            </w:r>
            <w:r>
              <w:rPr>
                <w:noProof/>
                <w:webHidden/>
              </w:rPr>
              <w:fldChar w:fldCharType="separate"/>
            </w:r>
            <w:r w:rsidR="002D6189">
              <w:rPr>
                <w:noProof/>
                <w:webHidden/>
              </w:rPr>
              <w:t>2</w:t>
            </w:r>
            <w:r>
              <w:rPr>
                <w:noProof/>
                <w:webHidden/>
              </w:rPr>
              <w:fldChar w:fldCharType="end"/>
            </w:r>
          </w:hyperlink>
        </w:p>
        <w:p w14:paraId="5F7AB771" w14:textId="462DE70F" w:rsidR="00885BCB" w:rsidRDefault="00885BCB">
          <w:pPr>
            <w:pStyle w:val="TOC3"/>
            <w:tabs>
              <w:tab w:val="right" w:leader="dot" w:pos="9016"/>
            </w:tabs>
            <w:rPr>
              <w:rFonts w:asciiTheme="minorHAnsi" w:hAnsiTheme="minorHAnsi"/>
              <w:noProof/>
              <w:kern w:val="2"/>
              <w:sz w:val="24"/>
              <w:szCs w:val="24"/>
              <w14:ligatures w14:val="standardContextual"/>
            </w:rPr>
          </w:pPr>
          <w:hyperlink w:anchor="_Toc224223221" w:history="1">
            <w:r w:rsidRPr="009650FF">
              <w:rPr>
                <w:rStyle w:val="Hyperlink"/>
                <w:noProof/>
              </w:rPr>
              <w:t>Out of scope</w:t>
            </w:r>
            <w:r>
              <w:rPr>
                <w:noProof/>
                <w:webHidden/>
              </w:rPr>
              <w:tab/>
            </w:r>
            <w:r>
              <w:rPr>
                <w:noProof/>
                <w:webHidden/>
              </w:rPr>
              <w:fldChar w:fldCharType="begin"/>
            </w:r>
            <w:r>
              <w:rPr>
                <w:noProof/>
                <w:webHidden/>
              </w:rPr>
              <w:instrText xml:space="preserve"> PAGEREF _Toc224223221 \h </w:instrText>
            </w:r>
            <w:r>
              <w:rPr>
                <w:noProof/>
                <w:webHidden/>
              </w:rPr>
            </w:r>
            <w:r>
              <w:rPr>
                <w:noProof/>
                <w:webHidden/>
              </w:rPr>
              <w:fldChar w:fldCharType="separate"/>
            </w:r>
            <w:r w:rsidR="002D6189">
              <w:rPr>
                <w:noProof/>
                <w:webHidden/>
              </w:rPr>
              <w:t>2</w:t>
            </w:r>
            <w:r>
              <w:rPr>
                <w:noProof/>
                <w:webHidden/>
              </w:rPr>
              <w:fldChar w:fldCharType="end"/>
            </w:r>
          </w:hyperlink>
        </w:p>
        <w:p w14:paraId="01DC5281" w14:textId="0488F4EE" w:rsidR="00885BCB" w:rsidRDefault="00885BCB">
          <w:pPr>
            <w:pStyle w:val="TOC2"/>
            <w:tabs>
              <w:tab w:val="right" w:leader="dot" w:pos="9016"/>
            </w:tabs>
            <w:rPr>
              <w:rFonts w:asciiTheme="minorHAnsi" w:hAnsiTheme="minorHAnsi"/>
              <w:noProof/>
              <w:kern w:val="2"/>
              <w:sz w:val="24"/>
              <w:szCs w:val="24"/>
              <w14:ligatures w14:val="standardContextual"/>
            </w:rPr>
          </w:pPr>
          <w:hyperlink w:anchor="_Toc224223222" w:history="1">
            <w:r w:rsidRPr="009650FF">
              <w:rPr>
                <w:rStyle w:val="Hyperlink"/>
                <w:noProof/>
              </w:rPr>
              <w:t>Methodology</w:t>
            </w:r>
            <w:r>
              <w:rPr>
                <w:noProof/>
                <w:webHidden/>
              </w:rPr>
              <w:tab/>
            </w:r>
            <w:r>
              <w:rPr>
                <w:noProof/>
                <w:webHidden/>
              </w:rPr>
              <w:fldChar w:fldCharType="begin"/>
            </w:r>
            <w:r>
              <w:rPr>
                <w:noProof/>
                <w:webHidden/>
              </w:rPr>
              <w:instrText xml:space="preserve"> PAGEREF _Toc224223222 \h </w:instrText>
            </w:r>
            <w:r>
              <w:rPr>
                <w:noProof/>
                <w:webHidden/>
              </w:rPr>
            </w:r>
            <w:r>
              <w:rPr>
                <w:noProof/>
                <w:webHidden/>
              </w:rPr>
              <w:fldChar w:fldCharType="separate"/>
            </w:r>
            <w:r w:rsidR="002D6189">
              <w:rPr>
                <w:noProof/>
                <w:webHidden/>
              </w:rPr>
              <w:t>2</w:t>
            </w:r>
            <w:r>
              <w:rPr>
                <w:noProof/>
                <w:webHidden/>
              </w:rPr>
              <w:fldChar w:fldCharType="end"/>
            </w:r>
          </w:hyperlink>
        </w:p>
        <w:p w14:paraId="7C55DA47" w14:textId="5F399D02" w:rsidR="00885BCB" w:rsidRDefault="00885BCB">
          <w:pPr>
            <w:pStyle w:val="TOC2"/>
            <w:tabs>
              <w:tab w:val="right" w:leader="dot" w:pos="9016"/>
            </w:tabs>
            <w:rPr>
              <w:rFonts w:asciiTheme="minorHAnsi" w:hAnsiTheme="minorHAnsi"/>
              <w:noProof/>
              <w:kern w:val="2"/>
              <w:sz w:val="24"/>
              <w:szCs w:val="24"/>
              <w14:ligatures w14:val="standardContextual"/>
            </w:rPr>
          </w:pPr>
          <w:hyperlink w:anchor="_Toc224223223" w:history="1">
            <w:r w:rsidRPr="009650FF">
              <w:rPr>
                <w:rStyle w:val="Hyperlink"/>
                <w:noProof/>
              </w:rPr>
              <w:t>Conflict of interest declaration</w:t>
            </w:r>
            <w:r>
              <w:rPr>
                <w:noProof/>
                <w:webHidden/>
              </w:rPr>
              <w:tab/>
            </w:r>
            <w:r>
              <w:rPr>
                <w:noProof/>
                <w:webHidden/>
              </w:rPr>
              <w:fldChar w:fldCharType="begin"/>
            </w:r>
            <w:r>
              <w:rPr>
                <w:noProof/>
                <w:webHidden/>
              </w:rPr>
              <w:instrText xml:space="preserve"> PAGEREF _Toc224223223 \h </w:instrText>
            </w:r>
            <w:r>
              <w:rPr>
                <w:noProof/>
                <w:webHidden/>
              </w:rPr>
            </w:r>
            <w:r>
              <w:rPr>
                <w:noProof/>
                <w:webHidden/>
              </w:rPr>
              <w:fldChar w:fldCharType="separate"/>
            </w:r>
            <w:r w:rsidR="002D6189">
              <w:rPr>
                <w:noProof/>
                <w:webHidden/>
              </w:rPr>
              <w:t>3</w:t>
            </w:r>
            <w:r>
              <w:rPr>
                <w:noProof/>
                <w:webHidden/>
              </w:rPr>
              <w:fldChar w:fldCharType="end"/>
            </w:r>
          </w:hyperlink>
        </w:p>
        <w:p w14:paraId="04A3D793" w14:textId="53F1B0FE" w:rsidR="00885BCB" w:rsidRDefault="00885BCB">
          <w:pPr>
            <w:pStyle w:val="TOC2"/>
            <w:tabs>
              <w:tab w:val="right" w:leader="dot" w:pos="9016"/>
            </w:tabs>
            <w:rPr>
              <w:rFonts w:asciiTheme="minorHAnsi" w:hAnsiTheme="minorHAnsi"/>
              <w:noProof/>
              <w:kern w:val="2"/>
              <w:sz w:val="24"/>
              <w:szCs w:val="24"/>
              <w14:ligatures w14:val="standardContextual"/>
            </w:rPr>
          </w:pPr>
          <w:hyperlink w:anchor="_Toc224223224" w:history="1">
            <w:r w:rsidRPr="009650FF">
              <w:rPr>
                <w:rStyle w:val="Hyperlink"/>
                <w:noProof/>
              </w:rPr>
              <w:t>Administrative contacts</w:t>
            </w:r>
            <w:r>
              <w:rPr>
                <w:noProof/>
                <w:webHidden/>
              </w:rPr>
              <w:tab/>
            </w:r>
            <w:r>
              <w:rPr>
                <w:noProof/>
                <w:webHidden/>
              </w:rPr>
              <w:fldChar w:fldCharType="begin"/>
            </w:r>
            <w:r>
              <w:rPr>
                <w:noProof/>
                <w:webHidden/>
              </w:rPr>
              <w:instrText xml:space="preserve"> PAGEREF _Toc224223224 \h </w:instrText>
            </w:r>
            <w:r>
              <w:rPr>
                <w:noProof/>
                <w:webHidden/>
              </w:rPr>
            </w:r>
            <w:r>
              <w:rPr>
                <w:noProof/>
                <w:webHidden/>
              </w:rPr>
              <w:fldChar w:fldCharType="separate"/>
            </w:r>
            <w:r w:rsidR="002D6189">
              <w:rPr>
                <w:noProof/>
                <w:webHidden/>
              </w:rPr>
              <w:t>3</w:t>
            </w:r>
            <w:r>
              <w:rPr>
                <w:noProof/>
                <w:webHidden/>
              </w:rPr>
              <w:fldChar w:fldCharType="end"/>
            </w:r>
          </w:hyperlink>
        </w:p>
        <w:p w14:paraId="1C91DDAC" w14:textId="335E37F1" w:rsidR="00885BCB" w:rsidRDefault="00885BCB">
          <w:pPr>
            <w:pStyle w:val="TOC3"/>
            <w:tabs>
              <w:tab w:val="right" w:leader="dot" w:pos="9016"/>
            </w:tabs>
            <w:rPr>
              <w:rFonts w:asciiTheme="minorHAnsi" w:hAnsiTheme="minorHAnsi"/>
              <w:noProof/>
              <w:kern w:val="2"/>
              <w:sz w:val="24"/>
              <w:szCs w:val="24"/>
              <w14:ligatures w14:val="standardContextual"/>
            </w:rPr>
          </w:pPr>
          <w:hyperlink w:anchor="_Toc224223225" w:history="1">
            <w:r w:rsidRPr="009650FF">
              <w:rPr>
                <w:rStyle w:val="Hyperlink"/>
                <w:noProof/>
              </w:rPr>
              <w:t>Inspector-General of Biosecurity contacts</w:t>
            </w:r>
            <w:r>
              <w:rPr>
                <w:noProof/>
                <w:webHidden/>
              </w:rPr>
              <w:tab/>
            </w:r>
            <w:r>
              <w:rPr>
                <w:noProof/>
                <w:webHidden/>
              </w:rPr>
              <w:fldChar w:fldCharType="begin"/>
            </w:r>
            <w:r>
              <w:rPr>
                <w:noProof/>
                <w:webHidden/>
              </w:rPr>
              <w:instrText xml:space="preserve"> PAGEREF _Toc224223225 \h </w:instrText>
            </w:r>
            <w:r>
              <w:rPr>
                <w:noProof/>
                <w:webHidden/>
              </w:rPr>
            </w:r>
            <w:r>
              <w:rPr>
                <w:noProof/>
                <w:webHidden/>
              </w:rPr>
              <w:fldChar w:fldCharType="separate"/>
            </w:r>
            <w:r w:rsidR="002D6189">
              <w:rPr>
                <w:noProof/>
                <w:webHidden/>
              </w:rPr>
              <w:t>3</w:t>
            </w:r>
            <w:r>
              <w:rPr>
                <w:noProof/>
                <w:webHidden/>
              </w:rPr>
              <w:fldChar w:fldCharType="end"/>
            </w:r>
          </w:hyperlink>
        </w:p>
        <w:p w14:paraId="22F1DCF6" w14:textId="29F35CBB" w:rsidR="00885BCB" w:rsidRDefault="00885BCB">
          <w:pPr>
            <w:pStyle w:val="TOC2"/>
            <w:tabs>
              <w:tab w:val="right" w:leader="dot" w:pos="9016"/>
            </w:tabs>
            <w:rPr>
              <w:rFonts w:asciiTheme="minorHAnsi" w:hAnsiTheme="minorHAnsi"/>
              <w:noProof/>
              <w:kern w:val="2"/>
              <w:sz w:val="24"/>
              <w:szCs w:val="24"/>
              <w14:ligatures w14:val="standardContextual"/>
            </w:rPr>
          </w:pPr>
          <w:hyperlink w:anchor="_Toc224223226" w:history="1">
            <w:r w:rsidRPr="009650FF">
              <w:rPr>
                <w:rStyle w:val="Hyperlink"/>
                <w:rFonts w:eastAsia="Calibri"/>
                <w:noProof/>
                <w:lang w:eastAsia="en-US"/>
              </w:rPr>
              <w:t>Stakeholders</w:t>
            </w:r>
            <w:r>
              <w:rPr>
                <w:noProof/>
                <w:webHidden/>
              </w:rPr>
              <w:tab/>
            </w:r>
            <w:r>
              <w:rPr>
                <w:noProof/>
                <w:webHidden/>
              </w:rPr>
              <w:fldChar w:fldCharType="begin"/>
            </w:r>
            <w:r>
              <w:rPr>
                <w:noProof/>
                <w:webHidden/>
              </w:rPr>
              <w:instrText xml:space="preserve"> PAGEREF _Toc224223226 \h </w:instrText>
            </w:r>
            <w:r>
              <w:rPr>
                <w:noProof/>
                <w:webHidden/>
              </w:rPr>
            </w:r>
            <w:r>
              <w:rPr>
                <w:noProof/>
                <w:webHidden/>
              </w:rPr>
              <w:fldChar w:fldCharType="separate"/>
            </w:r>
            <w:r w:rsidR="002D6189">
              <w:rPr>
                <w:noProof/>
                <w:webHidden/>
              </w:rPr>
              <w:t>3</w:t>
            </w:r>
            <w:r>
              <w:rPr>
                <w:noProof/>
                <w:webHidden/>
              </w:rPr>
              <w:fldChar w:fldCharType="end"/>
            </w:r>
          </w:hyperlink>
        </w:p>
        <w:p w14:paraId="33B69C2A" w14:textId="46371DF8" w:rsidR="00885BCB" w:rsidRDefault="00885BCB">
          <w:pPr>
            <w:pStyle w:val="TOC3"/>
            <w:tabs>
              <w:tab w:val="right" w:leader="dot" w:pos="9016"/>
            </w:tabs>
            <w:rPr>
              <w:rFonts w:asciiTheme="minorHAnsi" w:hAnsiTheme="minorHAnsi"/>
              <w:noProof/>
              <w:kern w:val="2"/>
              <w:sz w:val="24"/>
              <w:szCs w:val="24"/>
              <w14:ligatures w14:val="standardContextual"/>
            </w:rPr>
          </w:pPr>
          <w:hyperlink w:anchor="_Toc224223227" w:history="1">
            <w:r w:rsidRPr="009650FF">
              <w:rPr>
                <w:rStyle w:val="Hyperlink"/>
                <w:rFonts w:eastAsia="Calibri"/>
                <w:noProof/>
                <w:lang w:eastAsia="en-US"/>
              </w:rPr>
              <w:t>Internal</w:t>
            </w:r>
            <w:r>
              <w:rPr>
                <w:noProof/>
                <w:webHidden/>
              </w:rPr>
              <w:tab/>
            </w:r>
            <w:r>
              <w:rPr>
                <w:noProof/>
                <w:webHidden/>
              </w:rPr>
              <w:fldChar w:fldCharType="begin"/>
            </w:r>
            <w:r>
              <w:rPr>
                <w:noProof/>
                <w:webHidden/>
              </w:rPr>
              <w:instrText xml:space="preserve"> PAGEREF _Toc224223227 \h </w:instrText>
            </w:r>
            <w:r>
              <w:rPr>
                <w:noProof/>
                <w:webHidden/>
              </w:rPr>
            </w:r>
            <w:r>
              <w:rPr>
                <w:noProof/>
                <w:webHidden/>
              </w:rPr>
              <w:fldChar w:fldCharType="separate"/>
            </w:r>
            <w:r w:rsidR="002D6189">
              <w:rPr>
                <w:noProof/>
                <w:webHidden/>
              </w:rPr>
              <w:t>3</w:t>
            </w:r>
            <w:r>
              <w:rPr>
                <w:noProof/>
                <w:webHidden/>
              </w:rPr>
              <w:fldChar w:fldCharType="end"/>
            </w:r>
          </w:hyperlink>
        </w:p>
        <w:p w14:paraId="7F91C614" w14:textId="5BC79227" w:rsidR="00885BCB" w:rsidRDefault="00885BCB">
          <w:pPr>
            <w:pStyle w:val="TOC3"/>
            <w:tabs>
              <w:tab w:val="right" w:leader="dot" w:pos="9016"/>
            </w:tabs>
            <w:rPr>
              <w:rFonts w:asciiTheme="minorHAnsi" w:hAnsiTheme="minorHAnsi"/>
              <w:noProof/>
              <w:kern w:val="2"/>
              <w:sz w:val="24"/>
              <w:szCs w:val="24"/>
              <w14:ligatures w14:val="standardContextual"/>
            </w:rPr>
          </w:pPr>
          <w:hyperlink w:anchor="_Toc224223228" w:history="1">
            <w:r w:rsidRPr="009650FF">
              <w:rPr>
                <w:rStyle w:val="Hyperlink"/>
                <w:noProof/>
              </w:rPr>
              <w:t>External</w:t>
            </w:r>
            <w:r>
              <w:rPr>
                <w:noProof/>
                <w:webHidden/>
              </w:rPr>
              <w:tab/>
            </w:r>
            <w:r>
              <w:rPr>
                <w:noProof/>
                <w:webHidden/>
              </w:rPr>
              <w:fldChar w:fldCharType="begin"/>
            </w:r>
            <w:r>
              <w:rPr>
                <w:noProof/>
                <w:webHidden/>
              </w:rPr>
              <w:instrText xml:space="preserve"> PAGEREF _Toc224223228 \h </w:instrText>
            </w:r>
            <w:r>
              <w:rPr>
                <w:noProof/>
                <w:webHidden/>
              </w:rPr>
            </w:r>
            <w:r>
              <w:rPr>
                <w:noProof/>
                <w:webHidden/>
              </w:rPr>
              <w:fldChar w:fldCharType="separate"/>
            </w:r>
            <w:r w:rsidR="002D6189">
              <w:rPr>
                <w:noProof/>
                <w:webHidden/>
              </w:rPr>
              <w:t>4</w:t>
            </w:r>
            <w:r>
              <w:rPr>
                <w:noProof/>
                <w:webHidden/>
              </w:rPr>
              <w:fldChar w:fldCharType="end"/>
            </w:r>
          </w:hyperlink>
        </w:p>
        <w:p w14:paraId="1668F0C5" w14:textId="0D911573" w:rsidR="00885BCB" w:rsidRDefault="00885BCB">
          <w:pPr>
            <w:pStyle w:val="TOC2"/>
            <w:tabs>
              <w:tab w:val="right" w:leader="dot" w:pos="9016"/>
            </w:tabs>
            <w:rPr>
              <w:rFonts w:asciiTheme="minorHAnsi" w:hAnsiTheme="minorHAnsi"/>
              <w:noProof/>
              <w:kern w:val="2"/>
              <w:sz w:val="24"/>
              <w:szCs w:val="24"/>
              <w14:ligatures w14:val="standardContextual"/>
            </w:rPr>
          </w:pPr>
          <w:hyperlink w:anchor="_Toc224223229" w:history="1">
            <w:r w:rsidRPr="009650FF">
              <w:rPr>
                <w:rStyle w:val="Hyperlink"/>
                <w:noProof/>
              </w:rPr>
              <w:t>Proposed timetable</w:t>
            </w:r>
            <w:r>
              <w:rPr>
                <w:noProof/>
                <w:webHidden/>
              </w:rPr>
              <w:tab/>
            </w:r>
            <w:r>
              <w:rPr>
                <w:noProof/>
                <w:webHidden/>
              </w:rPr>
              <w:fldChar w:fldCharType="begin"/>
            </w:r>
            <w:r>
              <w:rPr>
                <w:noProof/>
                <w:webHidden/>
              </w:rPr>
              <w:instrText xml:space="preserve"> PAGEREF _Toc224223229 \h </w:instrText>
            </w:r>
            <w:r>
              <w:rPr>
                <w:noProof/>
                <w:webHidden/>
              </w:rPr>
            </w:r>
            <w:r>
              <w:rPr>
                <w:noProof/>
                <w:webHidden/>
              </w:rPr>
              <w:fldChar w:fldCharType="separate"/>
            </w:r>
            <w:r w:rsidR="002D6189">
              <w:rPr>
                <w:noProof/>
                <w:webHidden/>
              </w:rPr>
              <w:t>4</w:t>
            </w:r>
            <w:r>
              <w:rPr>
                <w:noProof/>
                <w:webHidden/>
              </w:rPr>
              <w:fldChar w:fldCharType="end"/>
            </w:r>
          </w:hyperlink>
        </w:p>
        <w:p w14:paraId="52E960A6" w14:textId="5839387C" w:rsidR="00885BCB" w:rsidRDefault="00885BCB">
          <w:pPr>
            <w:pStyle w:val="TOC2"/>
            <w:tabs>
              <w:tab w:val="right" w:leader="dot" w:pos="9016"/>
            </w:tabs>
            <w:rPr>
              <w:rFonts w:asciiTheme="minorHAnsi" w:hAnsiTheme="minorHAnsi"/>
              <w:noProof/>
              <w:kern w:val="2"/>
              <w:sz w:val="24"/>
              <w:szCs w:val="24"/>
              <w14:ligatures w14:val="standardContextual"/>
            </w:rPr>
          </w:pPr>
          <w:hyperlink w:anchor="_Toc224223230" w:history="1">
            <w:r w:rsidRPr="009650FF">
              <w:rPr>
                <w:rStyle w:val="Hyperlink"/>
                <w:noProof/>
              </w:rPr>
              <w:t>Review project risks</w:t>
            </w:r>
            <w:r>
              <w:rPr>
                <w:noProof/>
                <w:webHidden/>
              </w:rPr>
              <w:tab/>
            </w:r>
            <w:r>
              <w:rPr>
                <w:noProof/>
                <w:webHidden/>
              </w:rPr>
              <w:fldChar w:fldCharType="begin"/>
            </w:r>
            <w:r>
              <w:rPr>
                <w:noProof/>
                <w:webHidden/>
              </w:rPr>
              <w:instrText xml:space="preserve"> PAGEREF _Toc224223230 \h </w:instrText>
            </w:r>
            <w:r>
              <w:rPr>
                <w:noProof/>
                <w:webHidden/>
              </w:rPr>
            </w:r>
            <w:r>
              <w:rPr>
                <w:noProof/>
                <w:webHidden/>
              </w:rPr>
              <w:fldChar w:fldCharType="separate"/>
            </w:r>
            <w:r w:rsidR="002D6189">
              <w:rPr>
                <w:noProof/>
                <w:webHidden/>
              </w:rPr>
              <w:t>4</w:t>
            </w:r>
            <w:r>
              <w:rPr>
                <w:noProof/>
                <w:webHidden/>
              </w:rPr>
              <w:fldChar w:fldCharType="end"/>
            </w:r>
          </w:hyperlink>
        </w:p>
        <w:p w14:paraId="5E2DAB27" w14:textId="6F93D1B2" w:rsidR="00885BCB" w:rsidRDefault="00885BCB">
          <w:pPr>
            <w:pStyle w:val="TOC1"/>
            <w:tabs>
              <w:tab w:val="right" w:leader="dot" w:pos="9016"/>
            </w:tabs>
            <w:rPr>
              <w:rFonts w:asciiTheme="minorHAnsi" w:hAnsiTheme="minorHAnsi"/>
              <w:noProof/>
              <w:kern w:val="2"/>
              <w:sz w:val="24"/>
              <w:szCs w:val="24"/>
              <w14:ligatures w14:val="standardContextual"/>
            </w:rPr>
          </w:pPr>
          <w:hyperlink w:anchor="_Toc224223231" w:history="1">
            <w:r w:rsidRPr="009650FF">
              <w:rPr>
                <w:rStyle w:val="Hyperlink"/>
                <w:noProof/>
              </w:rPr>
              <w:t>Appendix A</w:t>
            </w:r>
            <w:r>
              <w:rPr>
                <w:noProof/>
                <w:webHidden/>
              </w:rPr>
              <w:tab/>
            </w:r>
            <w:r>
              <w:rPr>
                <w:noProof/>
                <w:webHidden/>
              </w:rPr>
              <w:fldChar w:fldCharType="begin"/>
            </w:r>
            <w:r>
              <w:rPr>
                <w:noProof/>
                <w:webHidden/>
              </w:rPr>
              <w:instrText xml:space="preserve"> PAGEREF _Toc224223231 \h </w:instrText>
            </w:r>
            <w:r>
              <w:rPr>
                <w:noProof/>
                <w:webHidden/>
              </w:rPr>
            </w:r>
            <w:r>
              <w:rPr>
                <w:noProof/>
                <w:webHidden/>
              </w:rPr>
              <w:fldChar w:fldCharType="separate"/>
            </w:r>
            <w:r w:rsidR="002D6189">
              <w:rPr>
                <w:noProof/>
                <w:webHidden/>
              </w:rPr>
              <w:t>6</w:t>
            </w:r>
            <w:r>
              <w:rPr>
                <w:noProof/>
                <w:webHidden/>
              </w:rPr>
              <w:fldChar w:fldCharType="end"/>
            </w:r>
          </w:hyperlink>
        </w:p>
        <w:p w14:paraId="190BD1C2" w14:textId="0805A531" w:rsidR="00885BCB" w:rsidRDefault="00885BCB">
          <w:pPr>
            <w:pStyle w:val="TOC2"/>
            <w:tabs>
              <w:tab w:val="right" w:leader="dot" w:pos="9016"/>
            </w:tabs>
            <w:rPr>
              <w:rFonts w:asciiTheme="minorHAnsi" w:hAnsiTheme="minorHAnsi"/>
              <w:noProof/>
              <w:kern w:val="2"/>
              <w:sz w:val="24"/>
              <w:szCs w:val="24"/>
              <w14:ligatures w14:val="standardContextual"/>
            </w:rPr>
          </w:pPr>
          <w:hyperlink w:anchor="_Toc224223232" w:history="1">
            <w:r w:rsidRPr="009650FF">
              <w:rPr>
                <w:rStyle w:val="Hyperlink"/>
                <w:noProof/>
              </w:rPr>
              <w:t>Background (with references)</w:t>
            </w:r>
            <w:r>
              <w:rPr>
                <w:noProof/>
                <w:webHidden/>
              </w:rPr>
              <w:tab/>
            </w:r>
            <w:r>
              <w:rPr>
                <w:noProof/>
                <w:webHidden/>
              </w:rPr>
              <w:fldChar w:fldCharType="begin"/>
            </w:r>
            <w:r>
              <w:rPr>
                <w:noProof/>
                <w:webHidden/>
              </w:rPr>
              <w:instrText xml:space="preserve"> PAGEREF _Toc224223232 \h </w:instrText>
            </w:r>
            <w:r>
              <w:rPr>
                <w:noProof/>
                <w:webHidden/>
              </w:rPr>
            </w:r>
            <w:r>
              <w:rPr>
                <w:noProof/>
                <w:webHidden/>
              </w:rPr>
              <w:fldChar w:fldCharType="separate"/>
            </w:r>
            <w:r w:rsidR="002D6189">
              <w:rPr>
                <w:noProof/>
                <w:webHidden/>
              </w:rPr>
              <w:t>6</w:t>
            </w:r>
            <w:r>
              <w:rPr>
                <w:noProof/>
                <w:webHidden/>
              </w:rPr>
              <w:fldChar w:fldCharType="end"/>
            </w:r>
          </w:hyperlink>
        </w:p>
        <w:p w14:paraId="757ACA1A" w14:textId="7D55208E" w:rsidR="00885BCB" w:rsidRDefault="00885BCB">
          <w:pPr>
            <w:pStyle w:val="TOC2"/>
            <w:tabs>
              <w:tab w:val="right" w:leader="dot" w:pos="9016"/>
            </w:tabs>
            <w:rPr>
              <w:rFonts w:asciiTheme="minorHAnsi" w:hAnsiTheme="minorHAnsi"/>
              <w:noProof/>
              <w:kern w:val="2"/>
              <w:sz w:val="24"/>
              <w:szCs w:val="24"/>
              <w14:ligatures w14:val="standardContextual"/>
            </w:rPr>
          </w:pPr>
          <w:hyperlink w:anchor="_Toc224223233" w:history="1">
            <w:r w:rsidRPr="009650FF">
              <w:rPr>
                <w:rStyle w:val="Hyperlink"/>
                <w:noProof/>
              </w:rPr>
              <w:t>Bibliography for Appendix A</w:t>
            </w:r>
            <w:r>
              <w:rPr>
                <w:noProof/>
                <w:webHidden/>
              </w:rPr>
              <w:tab/>
            </w:r>
            <w:r>
              <w:rPr>
                <w:noProof/>
                <w:webHidden/>
              </w:rPr>
              <w:fldChar w:fldCharType="begin"/>
            </w:r>
            <w:r>
              <w:rPr>
                <w:noProof/>
                <w:webHidden/>
              </w:rPr>
              <w:instrText xml:space="preserve"> PAGEREF _Toc224223233 \h </w:instrText>
            </w:r>
            <w:r>
              <w:rPr>
                <w:noProof/>
                <w:webHidden/>
              </w:rPr>
            </w:r>
            <w:r>
              <w:rPr>
                <w:noProof/>
                <w:webHidden/>
              </w:rPr>
              <w:fldChar w:fldCharType="separate"/>
            </w:r>
            <w:r w:rsidR="002D6189">
              <w:rPr>
                <w:noProof/>
                <w:webHidden/>
              </w:rPr>
              <w:t>8</w:t>
            </w:r>
            <w:r>
              <w:rPr>
                <w:noProof/>
                <w:webHidden/>
              </w:rPr>
              <w:fldChar w:fldCharType="end"/>
            </w:r>
          </w:hyperlink>
        </w:p>
        <w:p w14:paraId="02A8445B" w14:textId="2EFAD268" w:rsidR="00885BCB" w:rsidRDefault="00885BCB">
          <w:pPr>
            <w:pStyle w:val="TOC1"/>
            <w:tabs>
              <w:tab w:val="right" w:leader="dot" w:pos="9016"/>
            </w:tabs>
            <w:rPr>
              <w:rFonts w:asciiTheme="minorHAnsi" w:hAnsiTheme="minorHAnsi"/>
              <w:noProof/>
              <w:kern w:val="2"/>
              <w:sz w:val="24"/>
              <w:szCs w:val="24"/>
              <w14:ligatures w14:val="standardContextual"/>
            </w:rPr>
          </w:pPr>
          <w:hyperlink w:anchor="_Toc224223234" w:history="1">
            <w:r w:rsidRPr="009650FF">
              <w:rPr>
                <w:rStyle w:val="Hyperlink"/>
                <w:noProof/>
              </w:rPr>
              <w:t>Appendix B</w:t>
            </w:r>
            <w:r>
              <w:rPr>
                <w:noProof/>
                <w:webHidden/>
              </w:rPr>
              <w:tab/>
            </w:r>
            <w:r>
              <w:rPr>
                <w:noProof/>
                <w:webHidden/>
              </w:rPr>
              <w:fldChar w:fldCharType="begin"/>
            </w:r>
            <w:r>
              <w:rPr>
                <w:noProof/>
                <w:webHidden/>
              </w:rPr>
              <w:instrText xml:space="preserve"> PAGEREF _Toc224223234 \h </w:instrText>
            </w:r>
            <w:r>
              <w:rPr>
                <w:noProof/>
                <w:webHidden/>
              </w:rPr>
            </w:r>
            <w:r>
              <w:rPr>
                <w:noProof/>
                <w:webHidden/>
              </w:rPr>
              <w:fldChar w:fldCharType="separate"/>
            </w:r>
            <w:r w:rsidR="002D6189">
              <w:rPr>
                <w:noProof/>
                <w:webHidden/>
              </w:rPr>
              <w:t>9</w:t>
            </w:r>
            <w:r>
              <w:rPr>
                <w:noProof/>
                <w:webHidden/>
              </w:rPr>
              <w:fldChar w:fldCharType="end"/>
            </w:r>
          </w:hyperlink>
        </w:p>
        <w:p w14:paraId="0C5302BF" w14:textId="6ADD7B14" w:rsidR="00885BCB" w:rsidRDefault="00885BCB">
          <w:pPr>
            <w:pStyle w:val="TOC1"/>
            <w:tabs>
              <w:tab w:val="right" w:leader="dot" w:pos="9016"/>
            </w:tabs>
            <w:rPr>
              <w:rFonts w:asciiTheme="minorHAnsi" w:hAnsiTheme="minorHAnsi"/>
              <w:noProof/>
              <w:kern w:val="2"/>
              <w:sz w:val="24"/>
              <w:szCs w:val="24"/>
              <w14:ligatures w14:val="standardContextual"/>
            </w:rPr>
          </w:pPr>
          <w:hyperlink w:anchor="_Toc224223235" w:history="1">
            <w:r w:rsidRPr="009650FF">
              <w:rPr>
                <w:rStyle w:val="Hyperlink"/>
                <w:noProof/>
              </w:rPr>
              <w:t>High level project timeline</w:t>
            </w:r>
            <w:r>
              <w:rPr>
                <w:noProof/>
                <w:webHidden/>
              </w:rPr>
              <w:tab/>
            </w:r>
            <w:r>
              <w:rPr>
                <w:noProof/>
                <w:webHidden/>
              </w:rPr>
              <w:fldChar w:fldCharType="begin"/>
            </w:r>
            <w:r>
              <w:rPr>
                <w:noProof/>
                <w:webHidden/>
              </w:rPr>
              <w:instrText xml:space="preserve"> PAGEREF _Toc224223235 \h </w:instrText>
            </w:r>
            <w:r>
              <w:rPr>
                <w:noProof/>
                <w:webHidden/>
              </w:rPr>
            </w:r>
            <w:r>
              <w:rPr>
                <w:noProof/>
                <w:webHidden/>
              </w:rPr>
              <w:fldChar w:fldCharType="separate"/>
            </w:r>
            <w:r w:rsidR="002D6189">
              <w:rPr>
                <w:noProof/>
                <w:webHidden/>
              </w:rPr>
              <w:t>9</w:t>
            </w:r>
            <w:r>
              <w:rPr>
                <w:noProof/>
                <w:webHidden/>
              </w:rPr>
              <w:fldChar w:fldCharType="end"/>
            </w:r>
          </w:hyperlink>
        </w:p>
        <w:p w14:paraId="2663E963" w14:textId="679D08E4" w:rsidR="0056436E" w:rsidRDefault="0056436E">
          <w:r>
            <w:rPr>
              <w:b/>
              <w:bCs/>
              <w:noProof/>
            </w:rPr>
            <w:fldChar w:fldCharType="end"/>
          </w:r>
        </w:p>
      </w:sdtContent>
    </w:sdt>
    <w:p w14:paraId="2A9A4EF2" w14:textId="77777777" w:rsidR="0056436E" w:rsidRDefault="0056436E">
      <w:pPr>
        <w:spacing w:line="278" w:lineRule="auto"/>
        <w:sectPr w:rsidR="0056436E" w:rsidSect="00707D05">
          <w:headerReference w:type="first" r:id="rId18"/>
          <w:footerReference w:type="first" r:id="rId19"/>
          <w:pgSz w:w="11906" w:h="16838"/>
          <w:pgMar w:top="1440" w:right="1440" w:bottom="1440" w:left="1440" w:header="708" w:footer="708" w:gutter="0"/>
          <w:pgNumType w:start="1"/>
          <w:cols w:space="708"/>
          <w:titlePg/>
          <w:docGrid w:linePitch="360"/>
        </w:sectPr>
      </w:pPr>
    </w:p>
    <w:p w14:paraId="77E08D81" w14:textId="566DC551" w:rsidR="00A80E12" w:rsidRDefault="00DF6610" w:rsidP="00CF22ED">
      <w:pPr>
        <w:pStyle w:val="Heading2"/>
      </w:pPr>
      <w:bookmarkStart w:id="0" w:name="_Toc224223217"/>
      <w:r>
        <w:lastRenderedPageBreak/>
        <w:t>Rationale</w:t>
      </w:r>
      <w:bookmarkEnd w:id="0"/>
    </w:p>
    <w:p w14:paraId="7E501D5E" w14:textId="4E80D02D" w:rsidR="00703B1A" w:rsidRDefault="00703B1A" w:rsidP="00DB0BD3">
      <w:r w:rsidRPr="000C1148">
        <w:t>The Inspector-General</w:t>
      </w:r>
      <w:r w:rsidR="008271AE">
        <w:t xml:space="preserve"> of Biosecurity (Inspector-General)</w:t>
      </w:r>
      <w:r w:rsidRPr="000C1148">
        <w:t xml:space="preserve"> is responsible for reviewing </w:t>
      </w:r>
      <w:r w:rsidRPr="006F5739">
        <w:t xml:space="preserve">the Department of Agriculture, Fisheries and Forestry’s (the department’s) effectiveness in administering biosecurity legislation and standards. This includes assessing </w:t>
      </w:r>
      <w:r w:rsidR="003322AD" w:rsidRPr="00100977">
        <w:t>the performance of</w:t>
      </w:r>
      <w:r w:rsidRPr="006F5739">
        <w:t xml:space="preserve"> functions</w:t>
      </w:r>
      <w:r w:rsidR="003322AD" w:rsidRPr="00100977">
        <w:t>, or</w:t>
      </w:r>
      <w:r w:rsidRPr="006F5739">
        <w:t xml:space="preserve"> exercise </w:t>
      </w:r>
      <w:r w:rsidR="003322AD" w:rsidRPr="00100977">
        <w:t xml:space="preserve">of </w:t>
      </w:r>
      <w:r w:rsidRPr="006F5739">
        <w:t>powers</w:t>
      </w:r>
      <w:r w:rsidR="003322AD" w:rsidRPr="00100977">
        <w:t xml:space="preserve">, by biosecurity officials </w:t>
      </w:r>
      <w:r w:rsidRPr="006F5739">
        <w:t xml:space="preserve">under </w:t>
      </w:r>
      <w:r w:rsidR="003322AD" w:rsidRPr="00100977">
        <w:t>one or more provisions</w:t>
      </w:r>
      <w:r w:rsidRPr="006F5739">
        <w:t xml:space="preserve"> </w:t>
      </w:r>
      <w:r w:rsidR="003322AD">
        <w:t>in</w:t>
      </w:r>
      <w:r w:rsidRPr="006F5739">
        <w:t xml:space="preserve"> the </w:t>
      </w:r>
      <w:r w:rsidRPr="00A00644">
        <w:rPr>
          <w:i/>
        </w:rPr>
        <w:t xml:space="preserve">Biosecurity Act </w:t>
      </w:r>
      <w:r w:rsidR="00A00644" w:rsidRPr="00A00644">
        <w:rPr>
          <w:i/>
          <w:iCs/>
        </w:rPr>
        <w:t>2015</w:t>
      </w:r>
      <w:r w:rsidRPr="006F5739">
        <w:t>.</w:t>
      </w:r>
    </w:p>
    <w:p w14:paraId="3704EF96" w14:textId="189BCCD3" w:rsidR="001D2326" w:rsidRDefault="00E268CD" w:rsidP="00DB0BD3">
      <w:r>
        <w:t xml:space="preserve">The use of documentation </w:t>
      </w:r>
      <w:r w:rsidR="00CB1C80">
        <w:t xml:space="preserve">for the assessment of biosecurity risk in relation to imported goods is a core control element of </w:t>
      </w:r>
      <w:r w:rsidR="00D47AA6">
        <w:t>risk-based</w:t>
      </w:r>
      <w:r w:rsidR="00CB1C80">
        <w:t xml:space="preserve"> biosecurity decision making at the pre-border and border stages.</w:t>
      </w:r>
      <w:r w:rsidR="00D47AA6">
        <w:t xml:space="preserve">  Biosecurity officers use required documents </w:t>
      </w:r>
      <w:r w:rsidR="00BD555F">
        <w:t xml:space="preserve">to assess both commodity and non-commodity concerns. Some documentation is required </w:t>
      </w:r>
      <w:r w:rsidR="00B773CD">
        <w:t xml:space="preserve">under </w:t>
      </w:r>
      <w:r w:rsidR="00A97AD5">
        <w:t>legislation;</w:t>
      </w:r>
      <w:r w:rsidR="00311A2C">
        <w:t xml:space="preserve"> other documentation requirements are developed </w:t>
      </w:r>
      <w:r w:rsidR="00B773CD">
        <w:t>by different policy teams within the department.</w:t>
      </w:r>
    </w:p>
    <w:p w14:paraId="21E6BE44" w14:textId="74A0CDF3" w:rsidR="00A97AD5" w:rsidRDefault="00A0579D" w:rsidP="001960A8">
      <w:r>
        <w:t xml:space="preserve">Through initial conversations with </w:t>
      </w:r>
      <w:r w:rsidR="00D532B6">
        <w:t>stakeholders</w:t>
      </w:r>
      <w:r w:rsidR="00A97AD5">
        <w:t>,</w:t>
      </w:r>
      <w:r w:rsidR="006D0197">
        <w:t xml:space="preserve"> issues relating to understanding</w:t>
      </w:r>
      <w:r w:rsidR="00DF4CC7">
        <w:t xml:space="preserve"> and applying</w:t>
      </w:r>
      <w:r w:rsidR="006D0197">
        <w:t xml:space="preserve"> documentation requirements w</w:t>
      </w:r>
      <w:r w:rsidR="007B29B1">
        <w:t>ere</w:t>
      </w:r>
      <w:r w:rsidR="006D0197">
        <w:t xml:space="preserve"> raised </w:t>
      </w:r>
      <w:r w:rsidR="00EF1398">
        <w:t>often</w:t>
      </w:r>
      <w:r w:rsidR="006D0197">
        <w:t xml:space="preserve">. </w:t>
      </w:r>
      <w:r w:rsidR="00A97AD5">
        <w:t>When documentation requirements are unclear</w:t>
      </w:r>
      <w:r w:rsidR="00B62B92">
        <w:t>, duplicative, difficult to interpret or not clearly aligned with current policy settings and operational realities</w:t>
      </w:r>
      <w:r w:rsidR="00A97AD5">
        <w:t xml:space="preserve"> they can create material impacts on both regulated entities and department staff. </w:t>
      </w:r>
      <w:r w:rsidR="00DA313A" w:rsidRPr="00674AC9">
        <w:t>Ineffective or overly burdensome requirements may contribute to delays in clearance, increased requests for further information, inconsistent assessment outcomes, avoidable compliance costs and higher administrative workload without necessarily improving biosecurity risk management.</w:t>
      </w:r>
    </w:p>
    <w:p w14:paraId="184E511D" w14:textId="46ED3F33" w:rsidR="00365E52" w:rsidRDefault="00365E52" w:rsidP="001960A8">
      <w:r>
        <w:t>No previous</w:t>
      </w:r>
      <w:r w:rsidR="00147FDD">
        <w:t xml:space="preserve"> Inspector-General </w:t>
      </w:r>
      <w:r>
        <w:t xml:space="preserve">review has </w:t>
      </w:r>
      <w:r w:rsidR="00AB31D8">
        <w:t>taken a broad overarching view of the department’s documentation requirements</w:t>
      </w:r>
      <w:r w:rsidR="00A5524A">
        <w:t xml:space="preserve"> in relation to biosecurity risk assessment of imported goods</w:t>
      </w:r>
      <w:r w:rsidR="004B5E73">
        <w:t>.</w:t>
      </w:r>
      <w:r w:rsidR="00147FDD">
        <w:t xml:space="preserve"> </w:t>
      </w:r>
      <w:r w:rsidR="00592925">
        <w:t>This area has not been the focus of external audit or review (e.g. ANAO or CEBRA)</w:t>
      </w:r>
      <w:r w:rsidR="009349C8">
        <w:t xml:space="preserve"> in </w:t>
      </w:r>
      <w:r w:rsidR="008123A3">
        <w:t>recent years</w:t>
      </w:r>
      <w:r w:rsidR="00592925">
        <w:t xml:space="preserve">. </w:t>
      </w:r>
    </w:p>
    <w:p w14:paraId="7BCDA59C" w14:textId="553220B5" w:rsidR="00C10857" w:rsidRDefault="00C10857" w:rsidP="001960A8">
      <w:r>
        <w:t xml:space="preserve">As an initial review, this topic also provides opportunities to </w:t>
      </w:r>
      <w:r w:rsidR="00076C0F">
        <w:t xml:space="preserve">gather information and insights that </w:t>
      </w:r>
      <w:r w:rsidR="005038E1">
        <w:t>will</w:t>
      </w:r>
      <w:r w:rsidR="00076C0F">
        <w:t xml:space="preserve"> be utilised in future topics.</w:t>
      </w:r>
    </w:p>
    <w:p w14:paraId="5D04D1A6" w14:textId="77777777" w:rsidR="00A80E12" w:rsidRDefault="00A80E12" w:rsidP="00D53F2C">
      <w:pPr>
        <w:pStyle w:val="Heading2"/>
      </w:pPr>
      <w:bookmarkStart w:id="1" w:name="_Toc218606001"/>
      <w:bookmarkStart w:id="2" w:name="_Toc218608499"/>
      <w:bookmarkStart w:id="3" w:name="_Toc224223218"/>
      <w:r>
        <w:t>Review Purpose</w:t>
      </w:r>
      <w:bookmarkEnd w:id="1"/>
      <w:bookmarkEnd w:id="2"/>
      <w:bookmarkEnd w:id="3"/>
    </w:p>
    <w:p w14:paraId="5EB0299B" w14:textId="1CC8EBF8" w:rsidR="000A3239" w:rsidRPr="000A3239" w:rsidRDefault="000A3239" w:rsidP="001960A8">
      <w:r w:rsidRPr="000A3239">
        <w:t xml:space="preserve">The purpose of this review is to determine whether the department’s documentation requirements for imported goods support high quality biosecurity risk assessment outcomes without creating unnecessary regulatory burden. The review will also assess whether the processes that underpin the development and use of these </w:t>
      </w:r>
      <w:r w:rsidR="00C570AE">
        <w:t>documentary</w:t>
      </w:r>
      <w:r w:rsidRPr="000A3239">
        <w:t xml:space="preserve"> requirements are appropriate to support effective regulatory practice.</w:t>
      </w:r>
    </w:p>
    <w:p w14:paraId="27391240" w14:textId="77777777" w:rsidR="000A3239" w:rsidRPr="000A3239" w:rsidRDefault="000A3239" w:rsidP="00DD1FFB">
      <w:pPr>
        <w:spacing w:after="0"/>
      </w:pPr>
      <w:r w:rsidRPr="000A3239">
        <w:t>Specifically, the review will examine whether current documentation requirements:</w:t>
      </w:r>
    </w:p>
    <w:p w14:paraId="537DED27" w14:textId="77777777" w:rsidR="000A3239" w:rsidRPr="001960A8" w:rsidRDefault="000A3239" w:rsidP="001960A8">
      <w:pPr>
        <w:pStyle w:val="ListBullet"/>
      </w:pPr>
      <w:r w:rsidRPr="001960A8">
        <w:t>provide the information necessary for robust and consistent biosecurity risk assessments</w:t>
      </w:r>
    </w:p>
    <w:p w14:paraId="20FFCB16" w14:textId="77777777" w:rsidR="000A3239" w:rsidRPr="001960A8" w:rsidRDefault="000A3239" w:rsidP="001960A8">
      <w:pPr>
        <w:pStyle w:val="ListBullet"/>
      </w:pPr>
      <w:r w:rsidRPr="001960A8">
        <w:t>deliver efficiency in their regulatory impact</w:t>
      </w:r>
    </w:p>
    <w:p w14:paraId="48C25E16" w14:textId="77777777" w:rsidR="00FD3D90" w:rsidRDefault="000A3239" w:rsidP="001960A8">
      <w:pPr>
        <w:pStyle w:val="ListBullet"/>
      </w:pPr>
      <w:bookmarkStart w:id="4" w:name="_Toc218606002"/>
      <w:bookmarkStart w:id="5" w:name="_Toc218608500"/>
      <w:r w:rsidRPr="001960A8">
        <w:t>offer clarity and practical usability for internal and external stakeholders</w:t>
      </w:r>
    </w:p>
    <w:p w14:paraId="101EBD46" w14:textId="2CA69CBF" w:rsidR="000A3239" w:rsidRPr="001960A8" w:rsidRDefault="004E6826" w:rsidP="001960A8">
      <w:pPr>
        <w:pStyle w:val="ListBullet"/>
      </w:pPr>
      <w:r>
        <w:t>display</w:t>
      </w:r>
      <w:r w:rsidR="00B81AD8">
        <w:t xml:space="preserve"> a clear link between </w:t>
      </w:r>
      <w:r>
        <w:t xml:space="preserve">the </w:t>
      </w:r>
      <w:r w:rsidR="00B81AD8">
        <w:t xml:space="preserve">requirement and </w:t>
      </w:r>
      <w:r w:rsidR="00F935F6">
        <w:t>the biosecurity risk/s that are managed</w:t>
      </w:r>
      <w:r w:rsidR="000A3239" w:rsidRPr="001960A8">
        <w:t>.</w:t>
      </w:r>
    </w:p>
    <w:p w14:paraId="18697D41" w14:textId="551A3872" w:rsidR="00A80E12" w:rsidRPr="00A80E12" w:rsidRDefault="00A80E12" w:rsidP="00050D38">
      <w:pPr>
        <w:pStyle w:val="Heading2"/>
      </w:pPr>
      <w:bookmarkStart w:id="6" w:name="_Toc224223219"/>
      <w:r>
        <w:t>Review Objectives and Scope</w:t>
      </w:r>
      <w:bookmarkEnd w:id="4"/>
      <w:bookmarkEnd w:id="5"/>
      <w:bookmarkEnd w:id="6"/>
    </w:p>
    <w:p w14:paraId="1FA48444" w14:textId="77777777" w:rsidR="00F81140" w:rsidRPr="006153A8" w:rsidRDefault="00F81140" w:rsidP="00DD1FFB">
      <w:pPr>
        <w:spacing w:after="0"/>
      </w:pPr>
      <w:r>
        <w:t>The objectives of the review are to:</w:t>
      </w:r>
    </w:p>
    <w:p w14:paraId="0572F10F" w14:textId="77777777" w:rsidR="00F81140" w:rsidRPr="001960A8" w:rsidRDefault="00F81140" w:rsidP="001960A8">
      <w:pPr>
        <w:pStyle w:val="ListBullet"/>
      </w:pPr>
      <w:r w:rsidRPr="001960A8">
        <w:t>assess the efficiency and effectiveness of departmental documentation requirements for the purpose of assessing biosecurity risks relating to imported goods</w:t>
      </w:r>
    </w:p>
    <w:p w14:paraId="25968373" w14:textId="77777777" w:rsidR="00F81140" w:rsidRPr="001960A8" w:rsidRDefault="00F81140" w:rsidP="001960A8">
      <w:pPr>
        <w:pStyle w:val="ListBullet"/>
      </w:pPr>
      <w:r w:rsidRPr="001960A8">
        <w:t>evaluate the underpinning processes, governance, and decision-making pathways used to create, update and retire documentation requirements for the assessment of biosecurity risks</w:t>
      </w:r>
    </w:p>
    <w:p w14:paraId="1A3D92B2" w14:textId="77777777" w:rsidR="00F81140" w:rsidRPr="001960A8" w:rsidRDefault="00F81140" w:rsidP="001960A8">
      <w:pPr>
        <w:pStyle w:val="ListBullet"/>
      </w:pPr>
      <w:r w:rsidRPr="001960A8">
        <w:lastRenderedPageBreak/>
        <w:t>examine how documentation requirements interface with policy settings, regulatory obligations, and operational practice at the pre-border and border stages</w:t>
      </w:r>
    </w:p>
    <w:p w14:paraId="4D689CC2" w14:textId="33521B95" w:rsidR="00F81140" w:rsidRPr="001960A8" w:rsidRDefault="00F81140" w:rsidP="001960A8">
      <w:pPr>
        <w:pStyle w:val="ListBullet"/>
      </w:pPr>
      <w:r w:rsidRPr="001960A8">
        <w:t>explore and understand the experiences of internal and external stakeholders in interacting with, interpreting, and completing required documentation.</w:t>
      </w:r>
    </w:p>
    <w:p w14:paraId="4152A487" w14:textId="77777777" w:rsidR="00F81140" w:rsidRPr="001960A8" w:rsidRDefault="00F81140" w:rsidP="001960A8">
      <w:pPr>
        <w:pStyle w:val="Heading3"/>
      </w:pPr>
      <w:bookmarkStart w:id="7" w:name="_Toc224223220"/>
      <w:r w:rsidRPr="001960A8">
        <w:t>Scope</w:t>
      </w:r>
      <w:bookmarkEnd w:id="7"/>
    </w:p>
    <w:p w14:paraId="0A665DA7" w14:textId="337CB2ED" w:rsidR="00F81140" w:rsidRPr="00CC028E" w:rsidRDefault="00F81140" w:rsidP="001960A8">
      <w:r w:rsidRPr="006153A8">
        <w:t>The review will examine departmental documentation requirements, and the processes supporting their development and application, as they relate to the assessment of biosecurity risks for imported goods</w:t>
      </w:r>
      <w:r>
        <w:t xml:space="preserve"> (including live animals and biologicals)</w:t>
      </w:r>
      <w:r w:rsidR="002E0289">
        <w:t xml:space="preserve"> under the </w:t>
      </w:r>
      <w:r w:rsidR="002E0289">
        <w:rPr>
          <w:i/>
          <w:iCs/>
        </w:rPr>
        <w:t>Biosecurity Act 2015</w:t>
      </w:r>
      <w:r w:rsidRPr="006153A8">
        <w:t>. It will consider activities at the pre</w:t>
      </w:r>
      <w:r w:rsidRPr="006153A8">
        <w:noBreakHyphen/>
        <w:t>border and border stages only.</w:t>
      </w:r>
    </w:p>
    <w:p w14:paraId="14238E3C" w14:textId="77777777" w:rsidR="00712838" w:rsidRDefault="00712838" w:rsidP="00F63C2E">
      <w:pPr>
        <w:pStyle w:val="Heading3"/>
      </w:pPr>
      <w:bookmarkStart w:id="8" w:name="_Toc224223221"/>
      <w:r w:rsidRPr="006D41C6">
        <w:t>Out of scope</w:t>
      </w:r>
      <w:bookmarkEnd w:id="8"/>
    </w:p>
    <w:p w14:paraId="790922E3" w14:textId="19885303" w:rsidR="00F00666" w:rsidRPr="001960A8" w:rsidRDefault="00F00666" w:rsidP="001960A8">
      <w:pPr>
        <w:pStyle w:val="ListBullet"/>
      </w:pPr>
      <w:r w:rsidRPr="001960A8">
        <w:t>The elements of the biosecurity system that are within the remit of state and territory governments and industry.</w:t>
      </w:r>
    </w:p>
    <w:p w14:paraId="64811791" w14:textId="46B22D5D" w:rsidR="00F00666" w:rsidRPr="001960A8" w:rsidRDefault="00F00666" w:rsidP="001960A8">
      <w:pPr>
        <w:pStyle w:val="ListBullet"/>
      </w:pPr>
      <w:r w:rsidRPr="001960A8">
        <w:t>International trade issues and market access opportunities, including individual decisions made in the relation to the importation of goods.</w:t>
      </w:r>
    </w:p>
    <w:p w14:paraId="331460F9" w14:textId="3D01643B" w:rsidR="00F81140" w:rsidRPr="001960A8" w:rsidRDefault="00F81140" w:rsidP="001960A8">
      <w:pPr>
        <w:pStyle w:val="ListBullet"/>
      </w:pPr>
      <w:r w:rsidRPr="001960A8">
        <w:t>Consideration of documentation requirements not connected to imported goods (e.g. documentation requirements relating to human health, conveyances and ballast water)</w:t>
      </w:r>
      <w:r w:rsidR="00E01EA9">
        <w:t>.</w:t>
      </w:r>
    </w:p>
    <w:p w14:paraId="2FD90DBE" w14:textId="55117F01" w:rsidR="00F81140" w:rsidRPr="001960A8" w:rsidRDefault="00F81140" w:rsidP="001960A8">
      <w:pPr>
        <w:pStyle w:val="ListBullet"/>
      </w:pPr>
      <w:r w:rsidRPr="001960A8">
        <w:t>Evaluation of post-border biosecurity compliance, surveillance, or enforcement activities</w:t>
      </w:r>
      <w:r w:rsidR="00E01EA9">
        <w:t>.</w:t>
      </w:r>
    </w:p>
    <w:p w14:paraId="34F11155" w14:textId="6932BB6E" w:rsidR="00F81140" w:rsidRPr="001960A8" w:rsidRDefault="00F81140" w:rsidP="001960A8">
      <w:pPr>
        <w:pStyle w:val="ListBullet"/>
      </w:pPr>
      <w:r w:rsidRPr="001960A8">
        <w:t>Assessment of the department’s broader organisational capability or workforce performance</w:t>
      </w:r>
      <w:r w:rsidR="00E01EA9">
        <w:t>.</w:t>
      </w:r>
    </w:p>
    <w:p w14:paraId="1F32C585" w14:textId="77777777" w:rsidR="00F81140" w:rsidRPr="001960A8" w:rsidRDefault="00F81140" w:rsidP="001960A8">
      <w:pPr>
        <w:pStyle w:val="ListBullet"/>
      </w:pPr>
      <w:r w:rsidRPr="001960A8">
        <w:t>Technology system performance, except where directly related to document creation, distribution, or accessibility.</w:t>
      </w:r>
    </w:p>
    <w:p w14:paraId="1A3C021D" w14:textId="1A32856A" w:rsidR="007872A6" w:rsidRPr="007872A6" w:rsidRDefault="00F81140" w:rsidP="007872A6">
      <w:pPr>
        <w:pStyle w:val="ListBullet"/>
      </w:pPr>
      <w:r w:rsidRPr="001960A8">
        <w:t>Documentation requirements relating to imports that are not classed as ‘goods’ (human health, conveyances and ballast water)</w:t>
      </w:r>
      <w:r w:rsidR="004E5977" w:rsidRPr="001960A8">
        <w:t>.</w:t>
      </w:r>
    </w:p>
    <w:p w14:paraId="127E0C0F" w14:textId="77777777" w:rsidR="00712838" w:rsidRDefault="00712838" w:rsidP="00D53F2C">
      <w:pPr>
        <w:pStyle w:val="Heading2"/>
      </w:pPr>
      <w:bookmarkStart w:id="9" w:name="_Toc218606004"/>
      <w:bookmarkStart w:id="10" w:name="_Toc218608502"/>
      <w:bookmarkStart w:id="11" w:name="_Toc224223222"/>
      <w:r w:rsidRPr="00D53F2C">
        <w:t>Methodology</w:t>
      </w:r>
      <w:bookmarkEnd w:id="9"/>
      <w:bookmarkEnd w:id="10"/>
      <w:bookmarkEnd w:id="11"/>
    </w:p>
    <w:p w14:paraId="702B6124" w14:textId="1C9427BD" w:rsidR="00064191" w:rsidRDefault="00A21553" w:rsidP="00A21553">
      <w:r w:rsidRPr="00A21553">
        <w:t>The Inspector-General of Biosecurity will adopt a structured, evidence-based approach to review the department’s processes and systems relating t</w:t>
      </w:r>
      <w:r w:rsidR="003A507B">
        <w:t>o the</w:t>
      </w:r>
      <w:r w:rsidRPr="00A21553">
        <w:t xml:space="preserve"> training</w:t>
      </w:r>
      <w:r w:rsidR="00E86B06">
        <w:t xml:space="preserve"> of Biosecurity officers</w:t>
      </w:r>
      <w:r w:rsidRPr="00A21553">
        <w:t xml:space="preserve">. </w:t>
      </w:r>
      <w:r w:rsidR="00CD6A55">
        <w:t>This</w:t>
      </w:r>
      <w:r w:rsidR="00BA1698">
        <w:t xml:space="preserve"> review</w:t>
      </w:r>
      <w:r w:rsidR="00CD6A55">
        <w:t xml:space="preserve"> will take a qualitative research approach</w:t>
      </w:r>
      <w:r w:rsidR="006D7D7F">
        <w:t>, assessing existing processes, systems and data and gathering insights from key stakeholders.</w:t>
      </w:r>
    </w:p>
    <w:p w14:paraId="67FAF86E" w14:textId="120F4DE1" w:rsidR="00A21553" w:rsidRPr="00A21553" w:rsidRDefault="00A21553" w:rsidP="00A21553">
      <w:r w:rsidRPr="00A21553">
        <w:t>Th</w:t>
      </w:r>
      <w:r w:rsidR="00BA1698">
        <w:t>e</w:t>
      </w:r>
      <w:r w:rsidRPr="00A21553">
        <w:t xml:space="preserve"> methodology will be guided by principles of independence</w:t>
      </w:r>
      <w:r w:rsidR="007C1886">
        <w:t xml:space="preserve"> and</w:t>
      </w:r>
      <w:r w:rsidRPr="00A21553">
        <w:t xml:space="preserve"> transparency</w:t>
      </w:r>
      <w:r w:rsidR="007C1886">
        <w:t>. It</w:t>
      </w:r>
      <w:r w:rsidRPr="00A21553">
        <w:t xml:space="preserve"> will include the following components:</w:t>
      </w:r>
    </w:p>
    <w:p w14:paraId="35AEC4E0" w14:textId="39B7D687" w:rsidR="00D72AAB" w:rsidRDefault="00D72AAB" w:rsidP="00D72AAB">
      <w:pPr>
        <w:pStyle w:val="Heading9"/>
        <w:ind w:left="113" w:firstLine="0"/>
      </w:pPr>
      <w:r>
        <w:t>Planning and Scoping</w:t>
      </w:r>
    </w:p>
    <w:p w14:paraId="0CC393C1" w14:textId="77777777" w:rsidR="00D72AAB" w:rsidRDefault="00D72AAB" w:rsidP="00D72AAB">
      <w:pPr>
        <w:pStyle w:val="Heading9text"/>
      </w:pPr>
      <w:r>
        <w:t>An initial entry meeting will be held with departmental executives to confirm the review’s objectives and scope. This meeting will also identify potential risks and mitigation strategies and provide an opportunity for all parties to discuss the proposed review process.</w:t>
      </w:r>
    </w:p>
    <w:p w14:paraId="46080670" w14:textId="5E203855" w:rsidR="00D72AAB" w:rsidRDefault="00D72AAB" w:rsidP="00D72AAB">
      <w:pPr>
        <w:pStyle w:val="Heading9"/>
        <w:ind w:left="113" w:firstLine="0"/>
      </w:pPr>
      <w:r>
        <w:t>Information Gathering</w:t>
      </w:r>
    </w:p>
    <w:p w14:paraId="3CEBE0C9" w14:textId="77777777" w:rsidR="00D72AAB" w:rsidRDefault="00D72AAB" w:rsidP="00D72AAB">
      <w:pPr>
        <w:pStyle w:val="Heading9text"/>
      </w:pPr>
      <w:r>
        <w:t>The Inspector-General will request relevant information and data from departmental officers, including policies, instructional materials, and communications. Preliminary discussions will clarify data requirements and ensure timely provision of documentation.</w:t>
      </w:r>
    </w:p>
    <w:p w14:paraId="401B60A7" w14:textId="722F585F" w:rsidR="00D72AAB" w:rsidRDefault="00D72AAB" w:rsidP="00D72AAB">
      <w:pPr>
        <w:pStyle w:val="Heading9"/>
        <w:ind w:left="113" w:firstLine="0"/>
      </w:pPr>
      <w:r>
        <w:t>Stakeholder Engagement</w:t>
      </w:r>
    </w:p>
    <w:p w14:paraId="7557B424" w14:textId="77777777" w:rsidR="00D72AAB" w:rsidRDefault="00D72AAB" w:rsidP="00D72AAB">
      <w:pPr>
        <w:pStyle w:val="Heading9text"/>
      </w:pPr>
      <w:r>
        <w:t>The review will involve consultations with key stakeholders through in-person and online meetings. Consideration will be given to an internal Have your say survey focusing on understanding staff experiences. Stakeholders will be invited to provide written submissions to ensure a broad range of perspectives and evidence are considered.</w:t>
      </w:r>
    </w:p>
    <w:p w14:paraId="40A6C23D" w14:textId="77777777" w:rsidR="00D72AAB" w:rsidRDefault="00D72AAB" w:rsidP="00D72AAB">
      <w:pPr>
        <w:pStyle w:val="Heading9text"/>
      </w:pPr>
      <w:r>
        <w:lastRenderedPageBreak/>
        <w:t>It is expected that internal fieldwork will be conducted. The Inspector-General and support staff will observe internal stakeholders in the process of their duties to gain a better understanding of the work and issues raised.</w:t>
      </w:r>
    </w:p>
    <w:p w14:paraId="58766D0F" w14:textId="785FA6E5" w:rsidR="00D72AAB" w:rsidRDefault="00D72AAB" w:rsidP="00D72AAB">
      <w:pPr>
        <w:pStyle w:val="Heading9text"/>
      </w:pPr>
      <w:r>
        <w:t xml:space="preserve">External fieldwork </w:t>
      </w:r>
      <w:r w:rsidR="005739BA">
        <w:t xml:space="preserve">will be conducted. </w:t>
      </w:r>
      <w:r w:rsidR="00F83501">
        <w:t>This will</w:t>
      </w:r>
      <w:r>
        <w:t xml:space="preserve"> involve meeting with key external stakeholders (customs brokers, importers, exporters) to understand how the documentation requirements </w:t>
      </w:r>
      <w:r w:rsidR="000426CB">
        <w:t>interact with</w:t>
      </w:r>
      <w:r>
        <w:t xml:space="preserve"> their processes.</w:t>
      </w:r>
    </w:p>
    <w:p w14:paraId="5242BC8D" w14:textId="122A7505" w:rsidR="00D72AAB" w:rsidRDefault="00D72AAB" w:rsidP="00D72AAB">
      <w:pPr>
        <w:pStyle w:val="Heading9text"/>
      </w:pPr>
      <w:r>
        <w:t xml:space="preserve">Should observations during the review warrant it, the Inspector-General may issue one or more </w:t>
      </w:r>
      <w:r w:rsidR="00F83501">
        <w:t>Discussion</w:t>
      </w:r>
      <w:r>
        <w:t xml:space="preserve"> Papers to elicit further input from internal and external stakeholders and potentially convene roundtables for discussion.</w:t>
      </w:r>
    </w:p>
    <w:p w14:paraId="654860D6" w14:textId="0FFC96A1" w:rsidR="00D72AAB" w:rsidRDefault="00D72AAB" w:rsidP="00D72AAB">
      <w:pPr>
        <w:pStyle w:val="Heading9"/>
        <w:ind w:left="113" w:firstLine="0"/>
      </w:pPr>
      <w:r>
        <w:t>Validation of Findings</w:t>
      </w:r>
    </w:p>
    <w:p w14:paraId="24B7D600" w14:textId="77777777" w:rsidR="00D72AAB" w:rsidRDefault="00D72AAB" w:rsidP="00D72AAB">
      <w:pPr>
        <w:pStyle w:val="Heading9text"/>
      </w:pPr>
      <w:r>
        <w:t>Preliminary findings will be shared with departmental representatives to confirm factual accuracy and address any misinterpretations. Additional evidence may be requested where necessary to support robust conclusions.</w:t>
      </w:r>
    </w:p>
    <w:p w14:paraId="3B9972D3" w14:textId="1EE34209" w:rsidR="00D72AAB" w:rsidRDefault="00D72AAB" w:rsidP="00D72AAB">
      <w:pPr>
        <w:pStyle w:val="Heading9"/>
        <w:ind w:left="113" w:firstLine="0"/>
      </w:pPr>
      <w:r>
        <w:t>Reporting and Recommendations</w:t>
      </w:r>
    </w:p>
    <w:p w14:paraId="08D6E4AB" w14:textId="77777777" w:rsidR="00D72AAB" w:rsidRDefault="00D72AAB" w:rsidP="00D72AAB">
      <w:pPr>
        <w:pStyle w:val="Heading9text"/>
      </w:pPr>
      <w:r>
        <w:t>The Inspector-General will prepare a draft report outlining key findings and recommendations. An exit meeting will be held with departmental executives to provide an overview of initial findings and explain the process for responding to the draft report. The department will be invited to provide a formal management response to the recommendations before the final report is submitted to the Minister for Agriculture, Fisheries and Forestry and published on the Inspector-General’s website.</w:t>
      </w:r>
    </w:p>
    <w:p w14:paraId="370F29B2" w14:textId="4EBB6F55" w:rsidR="00D72AAB" w:rsidRDefault="00D72AAB" w:rsidP="00D72AAB">
      <w:pPr>
        <w:pStyle w:val="Heading9"/>
        <w:ind w:left="113" w:firstLine="0"/>
      </w:pPr>
      <w:r>
        <w:t>Assurance and Transparency</w:t>
      </w:r>
    </w:p>
    <w:p w14:paraId="5F967AE8" w14:textId="5BBF66A2" w:rsidR="002B64BB" w:rsidRPr="00A21553" w:rsidRDefault="00D72AAB" w:rsidP="00D72AAB">
      <w:pPr>
        <w:pStyle w:val="Heading9text"/>
      </w:pPr>
      <w:r>
        <w:t>Throughout the review, the Inspector-General will ensure that all processes are conducted in accordance with legislative requirements and best practice standards, maintaining independence and transparency at all stages.</w:t>
      </w:r>
    </w:p>
    <w:p w14:paraId="7A107CBA" w14:textId="387BC4F5" w:rsidR="00712838" w:rsidRPr="001960A8" w:rsidRDefault="00712838" w:rsidP="00F63C2E">
      <w:pPr>
        <w:pStyle w:val="Heading2"/>
      </w:pPr>
      <w:bookmarkStart w:id="12" w:name="_Toc224223223"/>
      <w:r w:rsidRPr="00AD1BD7">
        <w:t>Conflict of interest declaration</w:t>
      </w:r>
      <w:bookmarkEnd w:id="12"/>
    </w:p>
    <w:p w14:paraId="658DF0B7" w14:textId="77777777" w:rsidR="00712838" w:rsidRDefault="00712838" w:rsidP="001960A8">
      <w:r w:rsidRPr="0040183F">
        <w:t xml:space="preserve">The </w:t>
      </w:r>
      <w:r>
        <w:t>i</w:t>
      </w:r>
      <w:r w:rsidRPr="0040183F">
        <w:t>nspector-</w:t>
      </w:r>
      <w:r>
        <w:t>g</w:t>
      </w:r>
      <w:r w:rsidRPr="0040183F">
        <w:t>eneral and her support staff do not have any personal conflicts of interest to declare in undertaking this review.</w:t>
      </w:r>
    </w:p>
    <w:p w14:paraId="07374C97" w14:textId="77777777" w:rsidR="00990A50" w:rsidRPr="001960A8" w:rsidRDefault="00990A50" w:rsidP="001960A8">
      <w:pPr>
        <w:pStyle w:val="Heading2"/>
      </w:pPr>
      <w:bookmarkStart w:id="13" w:name="_Toc166758875"/>
      <w:bookmarkStart w:id="14" w:name="_Toc224223224"/>
      <w:r w:rsidRPr="001960A8">
        <w:t>Administrative contacts</w:t>
      </w:r>
      <w:bookmarkEnd w:id="13"/>
      <w:bookmarkEnd w:id="14"/>
    </w:p>
    <w:p w14:paraId="11589425" w14:textId="77777777" w:rsidR="00712838" w:rsidRPr="001960A8" w:rsidRDefault="00712838" w:rsidP="00F63C2E">
      <w:pPr>
        <w:pStyle w:val="Heading3"/>
      </w:pPr>
      <w:bookmarkStart w:id="15" w:name="_Toc224223225"/>
      <w:r w:rsidRPr="006E1F9F">
        <w:t>Inspector-General of</w:t>
      </w:r>
      <w:r>
        <w:t xml:space="preserve"> Biosecurity c</w:t>
      </w:r>
      <w:r w:rsidRPr="006E1F9F">
        <w:t>ontacts</w:t>
      </w:r>
      <w:bookmarkEnd w:id="15"/>
    </w:p>
    <w:tbl>
      <w:tblPr>
        <w:tblStyle w:val="TableGridLight"/>
        <w:tblW w:w="4714" w:type="pct"/>
        <w:tblLook w:val="01E0" w:firstRow="1" w:lastRow="1" w:firstColumn="1" w:lastColumn="1" w:noHBand="0" w:noVBand="0"/>
      </w:tblPr>
      <w:tblGrid>
        <w:gridCol w:w="2261"/>
        <w:gridCol w:w="6239"/>
      </w:tblGrid>
      <w:tr w:rsidR="00712838" w:rsidRPr="00EC3F2F" w14:paraId="5276BA81" w14:textId="77777777" w:rsidTr="006B6F74">
        <w:tc>
          <w:tcPr>
            <w:tcW w:w="1330" w:type="pct"/>
            <w:shd w:val="clear" w:color="auto" w:fill="2C6765"/>
          </w:tcPr>
          <w:p w14:paraId="0E3805FE" w14:textId="77777777" w:rsidR="00712838" w:rsidRPr="00045ACE" w:rsidRDefault="00712838" w:rsidP="00056A0D">
            <w:pPr>
              <w:pStyle w:val="Tableheading"/>
            </w:pPr>
            <w:r w:rsidRPr="00045ACE">
              <w:t>Name</w:t>
            </w:r>
          </w:p>
        </w:tc>
        <w:tc>
          <w:tcPr>
            <w:tcW w:w="3670" w:type="pct"/>
            <w:shd w:val="clear" w:color="auto" w:fill="2C6765"/>
          </w:tcPr>
          <w:p w14:paraId="164A9DBE" w14:textId="77777777" w:rsidR="00712838" w:rsidRPr="00045ACE" w:rsidRDefault="00712838" w:rsidP="00056A0D">
            <w:pPr>
              <w:pStyle w:val="Tableheading"/>
            </w:pPr>
            <w:r w:rsidRPr="00045ACE">
              <w:t>Position</w:t>
            </w:r>
          </w:p>
        </w:tc>
      </w:tr>
      <w:tr w:rsidR="00712838" w:rsidRPr="00EC3F2F" w14:paraId="6B71A187" w14:textId="77777777" w:rsidTr="006B6F74">
        <w:tc>
          <w:tcPr>
            <w:tcW w:w="1330" w:type="pct"/>
          </w:tcPr>
          <w:p w14:paraId="2FDDBBAF" w14:textId="46C7816E" w:rsidR="00712838" w:rsidRPr="0040183F" w:rsidRDefault="004C7BE2" w:rsidP="006B6F74">
            <w:pPr>
              <w:pStyle w:val="TablebodyText"/>
            </w:pPr>
            <w:r>
              <w:t>Melissa McEwen</w:t>
            </w:r>
          </w:p>
        </w:tc>
        <w:tc>
          <w:tcPr>
            <w:tcW w:w="3670" w:type="pct"/>
          </w:tcPr>
          <w:p w14:paraId="6875F3BA" w14:textId="5A090FA3" w:rsidR="00712838" w:rsidRPr="0040183F" w:rsidRDefault="004C7BE2" w:rsidP="006B6F74">
            <w:pPr>
              <w:pStyle w:val="TablebodyText"/>
            </w:pPr>
            <w:r>
              <w:t>Inspector-General of Biosecurity</w:t>
            </w:r>
          </w:p>
        </w:tc>
      </w:tr>
      <w:tr w:rsidR="00712838" w:rsidRPr="00EC3F2F" w14:paraId="3E7E51CA" w14:textId="77777777" w:rsidTr="006B6F74">
        <w:tc>
          <w:tcPr>
            <w:tcW w:w="1330" w:type="pct"/>
          </w:tcPr>
          <w:p w14:paraId="014EAFEF" w14:textId="633EB257" w:rsidR="00712838" w:rsidRPr="0040183F" w:rsidRDefault="004C7BE2" w:rsidP="006B6F74">
            <w:pPr>
              <w:pStyle w:val="TablebodyText"/>
            </w:pPr>
            <w:r>
              <w:t>Naveen Bhatia</w:t>
            </w:r>
          </w:p>
        </w:tc>
        <w:tc>
          <w:tcPr>
            <w:tcW w:w="3670" w:type="pct"/>
          </w:tcPr>
          <w:p w14:paraId="42C008EA" w14:textId="269BCA5C" w:rsidR="00712838" w:rsidRPr="0040183F" w:rsidRDefault="004C7BE2" w:rsidP="006B6F74">
            <w:pPr>
              <w:pStyle w:val="TablebodyText"/>
            </w:pPr>
            <w:r>
              <w:t>Assistant Director</w:t>
            </w:r>
          </w:p>
        </w:tc>
      </w:tr>
      <w:tr w:rsidR="00712838" w:rsidRPr="00EC3F2F" w14:paraId="61157890" w14:textId="77777777" w:rsidTr="006B6F74">
        <w:tc>
          <w:tcPr>
            <w:tcW w:w="1330" w:type="pct"/>
          </w:tcPr>
          <w:p w14:paraId="0F147D64" w14:textId="6632D0F8" w:rsidR="00712838" w:rsidRPr="0040183F" w:rsidRDefault="004C7BE2" w:rsidP="006B6F74">
            <w:pPr>
              <w:pStyle w:val="TablebodyText"/>
            </w:pPr>
            <w:r>
              <w:t>Sharra Lannan</w:t>
            </w:r>
          </w:p>
        </w:tc>
        <w:tc>
          <w:tcPr>
            <w:tcW w:w="3670" w:type="pct"/>
          </w:tcPr>
          <w:p w14:paraId="201B11FD" w14:textId="190EB5ED" w:rsidR="00712838" w:rsidRPr="0040183F" w:rsidRDefault="004C7BE2" w:rsidP="006B6F74">
            <w:pPr>
              <w:pStyle w:val="TablebodyText"/>
            </w:pPr>
            <w:r>
              <w:t>Senior Research Officer</w:t>
            </w:r>
            <w:r w:rsidR="008C36AA">
              <w:t xml:space="preserve"> (review lead)</w:t>
            </w:r>
          </w:p>
        </w:tc>
      </w:tr>
      <w:tr w:rsidR="00712838" w:rsidRPr="00EC3F2F" w14:paraId="1D45864F" w14:textId="77777777" w:rsidTr="006B6F74">
        <w:tc>
          <w:tcPr>
            <w:tcW w:w="1330" w:type="pct"/>
          </w:tcPr>
          <w:p w14:paraId="0FBF252D" w14:textId="5CDCA06F" w:rsidR="00712838" w:rsidRPr="0040183F" w:rsidRDefault="004C7BE2" w:rsidP="006B6F74">
            <w:pPr>
              <w:pStyle w:val="TablebodyText"/>
            </w:pPr>
            <w:r>
              <w:t>Ciana Crispin</w:t>
            </w:r>
          </w:p>
        </w:tc>
        <w:tc>
          <w:tcPr>
            <w:tcW w:w="3670" w:type="pct"/>
          </w:tcPr>
          <w:p w14:paraId="3301E24D" w14:textId="64C1244E" w:rsidR="00712838" w:rsidRPr="0040183F" w:rsidRDefault="004C7BE2" w:rsidP="006B6F74">
            <w:pPr>
              <w:pStyle w:val="TablebodyText"/>
            </w:pPr>
            <w:r w:rsidRPr="004C7BE2">
              <w:t>Policy Officer</w:t>
            </w:r>
          </w:p>
        </w:tc>
      </w:tr>
    </w:tbl>
    <w:p w14:paraId="4B0B0408" w14:textId="2583EDBE" w:rsidR="00990A50" w:rsidRDefault="00990A50" w:rsidP="00045ACE">
      <w:pPr>
        <w:pStyle w:val="Heading2"/>
        <w:keepNext/>
        <w:keepLines/>
        <w:rPr>
          <w:rFonts w:eastAsia="Calibri"/>
          <w:lang w:eastAsia="en-US"/>
        </w:rPr>
      </w:pPr>
      <w:bookmarkStart w:id="16" w:name="_Toc224223226"/>
      <w:r>
        <w:rPr>
          <w:rFonts w:eastAsia="Calibri"/>
          <w:lang w:eastAsia="en-US"/>
        </w:rPr>
        <w:t>Stakeholders</w:t>
      </w:r>
      <w:bookmarkEnd w:id="16"/>
    </w:p>
    <w:p w14:paraId="56FE3A64" w14:textId="77C7E78D" w:rsidR="00796F5B" w:rsidRDefault="00796F5B" w:rsidP="00045ACE">
      <w:pPr>
        <w:keepNext/>
        <w:keepLines/>
        <w:spacing w:before="120" w:after="0" w:line="240" w:lineRule="auto"/>
        <w:rPr>
          <w:rFonts w:eastAsia="Calibri" w:cs="Times New Roman"/>
          <w:lang w:eastAsia="en-US"/>
        </w:rPr>
      </w:pPr>
      <w:r w:rsidRPr="00B073B5">
        <w:rPr>
          <w:rFonts w:eastAsia="Calibri" w:cs="Times New Roman"/>
          <w:lang w:eastAsia="en-US"/>
        </w:rPr>
        <w:t>The Inspector-General consults widely. Consultations extend to subject matter experts and other stakeholders internal and external to the biosecurity group. Stakeholders include:</w:t>
      </w:r>
    </w:p>
    <w:p w14:paraId="3EF9F72B" w14:textId="37382911" w:rsidR="00210105" w:rsidRPr="00B073B5" w:rsidRDefault="00210105" w:rsidP="00045ACE">
      <w:pPr>
        <w:pStyle w:val="Heading3"/>
        <w:rPr>
          <w:rFonts w:eastAsia="Calibri"/>
          <w:lang w:eastAsia="en-US"/>
        </w:rPr>
      </w:pPr>
      <w:bookmarkStart w:id="17" w:name="_Toc224223227"/>
      <w:r>
        <w:rPr>
          <w:rFonts w:eastAsia="Calibri"/>
          <w:lang w:eastAsia="en-US"/>
        </w:rPr>
        <w:t>Internal</w:t>
      </w:r>
      <w:bookmarkEnd w:id="17"/>
    </w:p>
    <w:p w14:paraId="1FA2FF72" w14:textId="6D8D4C84" w:rsidR="00796F5B" w:rsidRDefault="00053047" w:rsidP="001960A8">
      <w:pPr>
        <w:pStyle w:val="ListBullet"/>
      </w:pPr>
      <w:r>
        <w:t>Policy areas writing documentation requirements for imported goods</w:t>
      </w:r>
    </w:p>
    <w:p w14:paraId="6FB55FD5" w14:textId="3D53AE10" w:rsidR="00053047" w:rsidRDefault="00901194" w:rsidP="001960A8">
      <w:pPr>
        <w:pStyle w:val="ListBullet"/>
      </w:pPr>
      <w:r>
        <w:t>BICON content writers, developing documentation requirements for BICON</w:t>
      </w:r>
    </w:p>
    <w:p w14:paraId="242CFBB1" w14:textId="2ABE111F" w:rsidR="00901194" w:rsidRDefault="00901194" w:rsidP="001960A8">
      <w:pPr>
        <w:pStyle w:val="ListBullet"/>
      </w:pPr>
      <w:r>
        <w:t>Assessment Officers</w:t>
      </w:r>
      <w:r w:rsidR="00AF25AD">
        <w:t xml:space="preserve">, implementing documentation requirements at the </w:t>
      </w:r>
      <w:r w:rsidR="009B4140">
        <w:t>initial risk assessment</w:t>
      </w:r>
    </w:p>
    <w:p w14:paraId="046FDD2F" w14:textId="53B1EDBA" w:rsidR="00901194" w:rsidRDefault="00D7149B" w:rsidP="001960A8">
      <w:pPr>
        <w:pStyle w:val="ListBullet"/>
      </w:pPr>
      <w:r>
        <w:lastRenderedPageBreak/>
        <w:t>Inspection Officers</w:t>
      </w:r>
      <w:r w:rsidR="009B4140">
        <w:t>, assessing documentation at inspection</w:t>
      </w:r>
    </w:p>
    <w:p w14:paraId="4C8F588F" w14:textId="0AE5543A" w:rsidR="00D7149B" w:rsidRDefault="00D7149B" w:rsidP="001960A8">
      <w:pPr>
        <w:pStyle w:val="ListBullet"/>
      </w:pPr>
      <w:r>
        <w:t>Travellers</w:t>
      </w:r>
      <w:r w:rsidR="00AF25AD">
        <w:t>’ teams</w:t>
      </w:r>
      <w:r w:rsidR="009B4140">
        <w:t>,</w:t>
      </w:r>
      <w:r>
        <w:t xml:space="preserve"> in relation to </w:t>
      </w:r>
      <w:r w:rsidR="00AF25AD">
        <w:t>documentation requirements for goods arriving with travellers at airports and ports</w:t>
      </w:r>
      <w:r w:rsidR="009B4140">
        <w:t>.</w:t>
      </w:r>
    </w:p>
    <w:p w14:paraId="2DC174C0" w14:textId="4F229461" w:rsidR="00796F5B" w:rsidRDefault="00210105" w:rsidP="00210105">
      <w:pPr>
        <w:pStyle w:val="Heading3"/>
      </w:pPr>
      <w:bookmarkStart w:id="18" w:name="_Toc224223228"/>
      <w:r>
        <w:t>External</w:t>
      </w:r>
      <w:bookmarkEnd w:id="18"/>
    </w:p>
    <w:p w14:paraId="77337430" w14:textId="05630B6B" w:rsidR="00210105" w:rsidRDefault="00210105" w:rsidP="00210105">
      <w:r>
        <w:t xml:space="preserve">The Inspector-General </w:t>
      </w:r>
      <w:r w:rsidR="00B54777">
        <w:t xml:space="preserve">will reach out to relevant industry and interested stakeholders to gather information and </w:t>
      </w:r>
      <w:r w:rsidR="00881B3B">
        <w:t>reflections on experiences. For this review, these will include, but are not limited to:</w:t>
      </w:r>
    </w:p>
    <w:p w14:paraId="773E6BCF" w14:textId="7CE0223D" w:rsidR="00881B3B" w:rsidRDefault="00CA2235" w:rsidP="001960A8">
      <w:pPr>
        <w:pStyle w:val="ListBullet"/>
      </w:pPr>
      <w:r w:rsidRPr="00CA2235">
        <w:t>Freight and Trade Alliance</w:t>
      </w:r>
    </w:p>
    <w:p w14:paraId="29876007" w14:textId="3D2BBBCC" w:rsidR="00CA2235" w:rsidRDefault="006A5527" w:rsidP="001960A8">
      <w:pPr>
        <w:pStyle w:val="ListBullet"/>
      </w:pPr>
      <w:r w:rsidRPr="006A5527">
        <w:t>International Forwarders &amp; Customs Brokers Association of Australia</w:t>
      </w:r>
    </w:p>
    <w:p w14:paraId="458B6DCC" w14:textId="3AAFF1A6" w:rsidR="00210105" w:rsidRPr="00210105" w:rsidRDefault="006F4ABB" w:rsidP="001960A8">
      <w:pPr>
        <w:pStyle w:val="ListBullet"/>
      </w:pPr>
      <w:r w:rsidRPr="006F4ABB">
        <w:t>International Cargo Handling Co-ordination Association</w:t>
      </w:r>
    </w:p>
    <w:p w14:paraId="508C684E" w14:textId="53D667E0" w:rsidR="00D26F31" w:rsidRPr="00210105" w:rsidRDefault="00D26F31" w:rsidP="001960A8">
      <w:pPr>
        <w:pStyle w:val="ListBullet"/>
      </w:pPr>
      <w:r>
        <w:t>Large importers</w:t>
      </w:r>
    </w:p>
    <w:p w14:paraId="0A75CC75" w14:textId="621E7B90" w:rsidR="00712838" w:rsidRDefault="00712838" w:rsidP="00F63C2E">
      <w:pPr>
        <w:pStyle w:val="Heading2"/>
      </w:pPr>
      <w:bookmarkStart w:id="19" w:name="_Toc224223229"/>
      <w:r>
        <w:t>Proposed t</w:t>
      </w:r>
      <w:r w:rsidRPr="00AD1BD7">
        <w:t>imetable</w:t>
      </w:r>
      <w:bookmarkEnd w:id="19"/>
    </w:p>
    <w:p w14:paraId="3E5C8BBB" w14:textId="0467DDDF" w:rsidR="0046270F" w:rsidRPr="0046270F" w:rsidRDefault="009172DC" w:rsidP="0046270F">
      <w:pPr>
        <w:spacing w:before="120" w:after="240" w:line="240" w:lineRule="auto"/>
        <w:rPr>
          <w:lang w:eastAsia="en-US"/>
        </w:rPr>
      </w:pPr>
      <w:r w:rsidRPr="00B073B5">
        <w:rPr>
          <w:rFonts w:eastAsia="Calibri" w:cs="Times New Roman"/>
          <w:lang w:eastAsia="en-US"/>
        </w:rPr>
        <w:t xml:space="preserve">The </w:t>
      </w:r>
      <w:r w:rsidRPr="00B073B5">
        <w:rPr>
          <w:rFonts w:eastAsia="Calibri" w:cs="Times New Roman"/>
          <w:i/>
          <w:iCs/>
          <w:lang w:eastAsia="en-US"/>
        </w:rPr>
        <w:t xml:space="preserve">Biosecurity Act 2015 </w:t>
      </w:r>
      <w:r w:rsidRPr="00B073B5">
        <w:rPr>
          <w:rFonts w:eastAsia="Calibri" w:cs="Times New Roman"/>
          <w:lang w:eastAsia="en-US"/>
        </w:rPr>
        <w:t>and the Biosecurity Regulation 2016 outline the scope and process for reviews undertaken by the Inspector-General.</w:t>
      </w:r>
    </w:p>
    <w:tbl>
      <w:tblPr>
        <w:tblStyle w:val="TableGridLight"/>
        <w:tblW w:w="4945" w:type="pct"/>
        <w:tblLook w:val="0000" w:firstRow="0" w:lastRow="0" w:firstColumn="0" w:lastColumn="0" w:noHBand="0" w:noVBand="0"/>
      </w:tblPr>
      <w:tblGrid>
        <w:gridCol w:w="6103"/>
        <w:gridCol w:w="2814"/>
      </w:tblGrid>
      <w:tr w:rsidR="00712838" w:rsidRPr="00EC3F2F" w14:paraId="1ABCA692" w14:textId="77777777" w:rsidTr="00045ACE">
        <w:trPr>
          <w:trHeight w:val="264"/>
        </w:trPr>
        <w:tc>
          <w:tcPr>
            <w:tcW w:w="3422" w:type="pct"/>
            <w:shd w:val="clear" w:color="auto" w:fill="2C6765"/>
          </w:tcPr>
          <w:p w14:paraId="64316D7B" w14:textId="77777777" w:rsidR="00712838" w:rsidRPr="00045ACE" w:rsidRDefault="00712838" w:rsidP="00056A0D">
            <w:pPr>
              <w:pStyle w:val="Tableheading"/>
              <w:rPr>
                <w:b w:val="0"/>
                <w:bCs w:val="0"/>
              </w:rPr>
            </w:pPr>
            <w:bookmarkStart w:id="20" w:name="_Hlk184727480"/>
            <w:r w:rsidRPr="00045ACE">
              <w:t>Activity</w:t>
            </w:r>
          </w:p>
        </w:tc>
        <w:tc>
          <w:tcPr>
            <w:tcW w:w="1578" w:type="pct"/>
            <w:shd w:val="clear" w:color="auto" w:fill="2C6765"/>
          </w:tcPr>
          <w:p w14:paraId="574204BD" w14:textId="77777777" w:rsidR="00712838" w:rsidRPr="00045ACE" w:rsidRDefault="00712838" w:rsidP="00056A0D">
            <w:pPr>
              <w:pStyle w:val="Tableheading"/>
              <w:rPr>
                <w:b w:val="0"/>
                <w:bCs w:val="0"/>
              </w:rPr>
            </w:pPr>
            <w:r w:rsidRPr="00045ACE">
              <w:t>Timing (approx.)</w:t>
            </w:r>
          </w:p>
        </w:tc>
      </w:tr>
      <w:tr w:rsidR="00712838" w:rsidRPr="00EC3F2F" w14:paraId="0DE5BE87" w14:textId="77777777" w:rsidTr="001A3CDF">
        <w:trPr>
          <w:trHeight w:val="264"/>
        </w:trPr>
        <w:tc>
          <w:tcPr>
            <w:tcW w:w="3422" w:type="pct"/>
          </w:tcPr>
          <w:p w14:paraId="524EF5B2" w14:textId="77777777" w:rsidR="00712838" w:rsidRPr="0040183F" w:rsidRDefault="00712838" w:rsidP="006B6F74">
            <w:pPr>
              <w:pStyle w:val="TablebodyText"/>
            </w:pPr>
            <w:r w:rsidRPr="0040183F">
              <w:t>Work plan and background research</w:t>
            </w:r>
          </w:p>
        </w:tc>
        <w:tc>
          <w:tcPr>
            <w:tcW w:w="1578" w:type="pct"/>
          </w:tcPr>
          <w:p w14:paraId="3A349285" w14:textId="4B746664" w:rsidR="00712838" w:rsidRPr="0040183F" w:rsidRDefault="000C56C6" w:rsidP="006B6F74">
            <w:pPr>
              <w:pStyle w:val="TablebodyText"/>
            </w:pPr>
            <w:r>
              <w:t>February 2026</w:t>
            </w:r>
          </w:p>
        </w:tc>
      </w:tr>
      <w:tr w:rsidR="00712838" w:rsidRPr="00EC3F2F" w14:paraId="5EB78141" w14:textId="77777777" w:rsidTr="001A3CDF">
        <w:trPr>
          <w:trHeight w:val="357"/>
        </w:trPr>
        <w:tc>
          <w:tcPr>
            <w:tcW w:w="3422" w:type="pct"/>
          </w:tcPr>
          <w:p w14:paraId="41CAFC16" w14:textId="77777777" w:rsidR="00712838" w:rsidRPr="0040183F" w:rsidRDefault="00712838" w:rsidP="006B6F74">
            <w:pPr>
              <w:pStyle w:val="TablebodyText"/>
            </w:pPr>
            <w:r w:rsidRPr="0040183F">
              <w:t>Entry interview</w:t>
            </w:r>
            <w:r>
              <w:t xml:space="preserve"> with department</w:t>
            </w:r>
          </w:p>
        </w:tc>
        <w:tc>
          <w:tcPr>
            <w:tcW w:w="1578" w:type="pct"/>
          </w:tcPr>
          <w:p w14:paraId="2335B6EE" w14:textId="481795A6" w:rsidR="00712838" w:rsidRPr="0040183F" w:rsidRDefault="00652400" w:rsidP="006B6F74">
            <w:pPr>
              <w:pStyle w:val="TablebodyText"/>
            </w:pPr>
            <w:r>
              <w:t>March</w:t>
            </w:r>
            <w:r w:rsidR="00A44BE2">
              <w:t xml:space="preserve"> 2026</w:t>
            </w:r>
          </w:p>
        </w:tc>
      </w:tr>
      <w:tr w:rsidR="00EB7DBA" w:rsidRPr="00EC3F2F" w14:paraId="5DBFB383" w14:textId="77777777" w:rsidTr="004425B0">
        <w:trPr>
          <w:trHeight w:val="335"/>
        </w:trPr>
        <w:tc>
          <w:tcPr>
            <w:tcW w:w="3422" w:type="pct"/>
          </w:tcPr>
          <w:p w14:paraId="037BEB00" w14:textId="77313ED9" w:rsidR="00EB7DBA" w:rsidRPr="0040183F" w:rsidRDefault="00EB7DBA" w:rsidP="006B6F74">
            <w:pPr>
              <w:pStyle w:val="TablebodyText"/>
            </w:pPr>
            <w:r>
              <w:t>Review workplan finalised</w:t>
            </w:r>
          </w:p>
        </w:tc>
        <w:tc>
          <w:tcPr>
            <w:tcW w:w="1578" w:type="pct"/>
          </w:tcPr>
          <w:p w14:paraId="43F3097C" w14:textId="341BCFA4" w:rsidR="00EB7DBA" w:rsidRDefault="00EB7DBA" w:rsidP="006B6F74">
            <w:pPr>
              <w:pStyle w:val="TablebodyText"/>
            </w:pPr>
            <w:r>
              <w:t>March 2026</w:t>
            </w:r>
          </w:p>
        </w:tc>
      </w:tr>
      <w:tr w:rsidR="00712838" w:rsidRPr="00EC3F2F" w14:paraId="599065AF" w14:textId="77777777" w:rsidTr="001A3CDF">
        <w:trPr>
          <w:trHeight w:val="335"/>
        </w:trPr>
        <w:tc>
          <w:tcPr>
            <w:tcW w:w="3422" w:type="pct"/>
          </w:tcPr>
          <w:p w14:paraId="40E68EAD" w14:textId="77777777" w:rsidR="00712838" w:rsidRPr="0040183F" w:rsidRDefault="00712838" w:rsidP="006B6F74">
            <w:pPr>
              <w:pStyle w:val="TablebodyText"/>
            </w:pPr>
            <w:r w:rsidRPr="0040183F">
              <w:t>Initial information/data request</w:t>
            </w:r>
          </w:p>
        </w:tc>
        <w:tc>
          <w:tcPr>
            <w:tcW w:w="1578" w:type="pct"/>
          </w:tcPr>
          <w:p w14:paraId="67FC6A8C" w14:textId="190FDF26" w:rsidR="00712838" w:rsidRPr="0040183F" w:rsidRDefault="000C56C6" w:rsidP="006B6F74">
            <w:pPr>
              <w:pStyle w:val="TablebodyText"/>
            </w:pPr>
            <w:r>
              <w:t>March</w:t>
            </w:r>
            <w:r w:rsidR="00A44BE2">
              <w:t xml:space="preserve"> 2026</w:t>
            </w:r>
          </w:p>
        </w:tc>
      </w:tr>
      <w:tr w:rsidR="00712838" w:rsidRPr="00EC3F2F" w14:paraId="46E26DA6" w14:textId="77777777" w:rsidTr="001A3CDF">
        <w:trPr>
          <w:trHeight w:val="335"/>
        </w:trPr>
        <w:tc>
          <w:tcPr>
            <w:tcW w:w="3422" w:type="pct"/>
          </w:tcPr>
          <w:p w14:paraId="1399C8D6" w14:textId="2517DF99" w:rsidR="00712838" w:rsidRPr="0040183F" w:rsidRDefault="004C7BE2" w:rsidP="006B6F74">
            <w:pPr>
              <w:pStyle w:val="TablebodyText"/>
            </w:pPr>
            <w:r>
              <w:t>S</w:t>
            </w:r>
            <w:r w:rsidR="00712838" w:rsidRPr="0040183F">
              <w:t>ubmission</w:t>
            </w:r>
            <w:r>
              <w:t xml:space="preserve"> process/consultation with staff </w:t>
            </w:r>
          </w:p>
        </w:tc>
        <w:tc>
          <w:tcPr>
            <w:tcW w:w="1578" w:type="pct"/>
          </w:tcPr>
          <w:p w14:paraId="0DBA808E" w14:textId="23D165CC" w:rsidR="00712838" w:rsidRPr="0040183F" w:rsidRDefault="000C56C6" w:rsidP="006B6F74">
            <w:pPr>
              <w:pStyle w:val="TablebodyText"/>
            </w:pPr>
            <w:r>
              <w:t>March-April</w:t>
            </w:r>
            <w:r w:rsidR="00A44BE2">
              <w:t xml:space="preserve"> 2026</w:t>
            </w:r>
          </w:p>
        </w:tc>
      </w:tr>
      <w:tr w:rsidR="00712838" w:rsidRPr="00EC3F2F" w14:paraId="08920EC5" w14:textId="77777777" w:rsidTr="001A3CDF">
        <w:trPr>
          <w:trHeight w:val="285"/>
        </w:trPr>
        <w:tc>
          <w:tcPr>
            <w:tcW w:w="3422" w:type="pct"/>
          </w:tcPr>
          <w:p w14:paraId="77955DA1" w14:textId="77777777" w:rsidR="00712838" w:rsidRPr="0040183F" w:rsidRDefault="00712838" w:rsidP="006B6F74">
            <w:pPr>
              <w:pStyle w:val="TablebodyText"/>
            </w:pPr>
            <w:r w:rsidRPr="0040183F">
              <w:t>Review of documentation, data analysis, desktop work</w:t>
            </w:r>
            <w:r>
              <w:t>, field work</w:t>
            </w:r>
          </w:p>
        </w:tc>
        <w:tc>
          <w:tcPr>
            <w:tcW w:w="1578" w:type="pct"/>
          </w:tcPr>
          <w:p w14:paraId="3835F202" w14:textId="5A33CCFD" w:rsidR="00712838" w:rsidRPr="0040183F" w:rsidRDefault="00A44BE2" w:rsidP="006B6F74">
            <w:pPr>
              <w:pStyle w:val="TablebodyText"/>
            </w:pPr>
            <w:r>
              <w:t xml:space="preserve">March – </w:t>
            </w:r>
            <w:r w:rsidR="006253AD">
              <w:t>May</w:t>
            </w:r>
            <w:r>
              <w:t xml:space="preserve"> 2026</w:t>
            </w:r>
          </w:p>
        </w:tc>
      </w:tr>
      <w:tr w:rsidR="00712838" w:rsidRPr="00EC3F2F" w14:paraId="42545191" w14:textId="77777777" w:rsidTr="001A3CDF">
        <w:trPr>
          <w:trHeight w:val="247"/>
        </w:trPr>
        <w:tc>
          <w:tcPr>
            <w:tcW w:w="3422" w:type="pct"/>
          </w:tcPr>
          <w:p w14:paraId="664D5F73" w14:textId="77777777" w:rsidR="00712838" w:rsidRPr="0040183F" w:rsidRDefault="00712838" w:rsidP="006B6F74">
            <w:pPr>
              <w:pStyle w:val="TablebodyText"/>
            </w:pPr>
            <w:r w:rsidRPr="0040183F">
              <w:t xml:space="preserve">Draft report </w:t>
            </w:r>
            <w:r>
              <w:t>to</w:t>
            </w:r>
            <w:r w:rsidRPr="0040183F">
              <w:t xml:space="preserve"> departmen</w:t>
            </w:r>
            <w:r>
              <w:t xml:space="preserve">t for </w:t>
            </w:r>
            <w:r w:rsidRPr="0040183F">
              <w:t>fact-check</w:t>
            </w:r>
          </w:p>
        </w:tc>
        <w:tc>
          <w:tcPr>
            <w:tcW w:w="1578" w:type="pct"/>
          </w:tcPr>
          <w:p w14:paraId="4153AE59" w14:textId="0F5AAC08" w:rsidR="00712838" w:rsidRPr="0040183F" w:rsidRDefault="006253AD" w:rsidP="006B6F74">
            <w:pPr>
              <w:pStyle w:val="TablebodyText"/>
            </w:pPr>
            <w:r>
              <w:t>June</w:t>
            </w:r>
            <w:r w:rsidR="00A44BE2">
              <w:t xml:space="preserve"> 2026</w:t>
            </w:r>
          </w:p>
        </w:tc>
      </w:tr>
      <w:tr w:rsidR="00712838" w:rsidRPr="00EC3F2F" w14:paraId="4CEF72B3" w14:textId="77777777" w:rsidTr="001A3CDF">
        <w:trPr>
          <w:trHeight w:val="353"/>
        </w:trPr>
        <w:tc>
          <w:tcPr>
            <w:tcW w:w="3422" w:type="pct"/>
          </w:tcPr>
          <w:p w14:paraId="37C9FB39" w14:textId="77777777" w:rsidR="00712838" w:rsidRPr="0040183F" w:rsidRDefault="00712838" w:rsidP="006B6F74">
            <w:pPr>
              <w:pStyle w:val="TablebodyText"/>
            </w:pPr>
            <w:r w:rsidRPr="0040183F">
              <w:t>Final report to Secretary for formal management response</w:t>
            </w:r>
          </w:p>
        </w:tc>
        <w:tc>
          <w:tcPr>
            <w:tcW w:w="1578" w:type="pct"/>
          </w:tcPr>
          <w:p w14:paraId="5AB7817D" w14:textId="650BBF02" w:rsidR="00712838" w:rsidRPr="0040183F" w:rsidRDefault="00A44BE2" w:rsidP="006B6F74">
            <w:pPr>
              <w:pStyle w:val="TablebodyText"/>
            </w:pPr>
            <w:r>
              <w:t>Ju</w:t>
            </w:r>
            <w:r w:rsidR="0046270F">
              <w:t>ly</w:t>
            </w:r>
            <w:r>
              <w:t xml:space="preserve"> 2026</w:t>
            </w:r>
          </w:p>
        </w:tc>
      </w:tr>
      <w:tr w:rsidR="00712838" w:rsidRPr="00EC3F2F" w14:paraId="26A65812" w14:textId="77777777" w:rsidTr="001A3CDF">
        <w:trPr>
          <w:trHeight w:val="274"/>
        </w:trPr>
        <w:tc>
          <w:tcPr>
            <w:tcW w:w="3422" w:type="pct"/>
          </w:tcPr>
          <w:p w14:paraId="19101226" w14:textId="77777777" w:rsidR="00712838" w:rsidRPr="0040183F" w:rsidRDefault="00712838" w:rsidP="006B6F74">
            <w:pPr>
              <w:pStyle w:val="TablebodyText"/>
            </w:pPr>
            <w:r w:rsidRPr="0040183F">
              <w:t xml:space="preserve">Publish final report on </w:t>
            </w:r>
            <w:r>
              <w:t>i</w:t>
            </w:r>
            <w:r w:rsidRPr="0040183F">
              <w:t>nspector-</w:t>
            </w:r>
            <w:r>
              <w:t>g</w:t>
            </w:r>
            <w:r w:rsidRPr="0040183F">
              <w:t>eneral’s website</w:t>
            </w:r>
          </w:p>
        </w:tc>
        <w:tc>
          <w:tcPr>
            <w:tcW w:w="1578" w:type="pct"/>
          </w:tcPr>
          <w:p w14:paraId="1894FC78" w14:textId="0CC5CE51" w:rsidR="00712838" w:rsidRPr="0040183F" w:rsidRDefault="0046270F" w:rsidP="006B6F74">
            <w:pPr>
              <w:pStyle w:val="TablebodyText"/>
            </w:pPr>
            <w:r>
              <w:t>August</w:t>
            </w:r>
            <w:r w:rsidR="00A44BE2">
              <w:t xml:space="preserve"> 2026</w:t>
            </w:r>
          </w:p>
        </w:tc>
      </w:tr>
    </w:tbl>
    <w:bookmarkEnd w:id="20"/>
    <w:p w14:paraId="63FD8B4B" w14:textId="61C1B798" w:rsidR="00685B77" w:rsidRDefault="00685B77">
      <w:r>
        <w:t xml:space="preserve">See </w:t>
      </w:r>
      <w:hyperlink w:anchor="_High_level_project" w:history="1">
        <w:r w:rsidRPr="00685B77">
          <w:rPr>
            <w:rStyle w:val="Hyperlink"/>
          </w:rPr>
          <w:t>Appendix B</w:t>
        </w:r>
      </w:hyperlink>
    </w:p>
    <w:p w14:paraId="57DA14D7" w14:textId="6E9BB280" w:rsidR="00E05AE7" w:rsidRDefault="00E05AE7" w:rsidP="0010520A">
      <w:pPr>
        <w:pStyle w:val="Heading2"/>
        <w:keepNext/>
        <w:keepLines/>
      </w:pPr>
      <w:bookmarkStart w:id="21" w:name="_Toc224223230"/>
      <w:r>
        <w:t>Review project risks</w:t>
      </w:r>
      <w:bookmarkEnd w:id="21"/>
    </w:p>
    <w:tbl>
      <w:tblPr>
        <w:tblStyle w:val="TableGrid2"/>
        <w:tblW w:w="0" w:type="auto"/>
        <w:tblLook w:val="04A0" w:firstRow="1" w:lastRow="0" w:firstColumn="1" w:lastColumn="0" w:noHBand="0" w:noVBand="1"/>
      </w:tblPr>
      <w:tblGrid>
        <w:gridCol w:w="2335"/>
        <w:gridCol w:w="1334"/>
        <w:gridCol w:w="4236"/>
        <w:gridCol w:w="1111"/>
      </w:tblGrid>
      <w:tr w:rsidR="00E05AE7" w:rsidRPr="00B073B5" w14:paraId="79E22A96" w14:textId="77777777" w:rsidTr="00B63E49">
        <w:trPr>
          <w:cantSplit/>
          <w:tblHeader/>
        </w:trPr>
        <w:tc>
          <w:tcPr>
            <w:tcW w:w="2405" w:type="dxa"/>
            <w:shd w:val="clear" w:color="auto" w:fill="2C6765"/>
            <w:vAlign w:val="bottom"/>
          </w:tcPr>
          <w:p w14:paraId="581C6C1B" w14:textId="77777777" w:rsidR="00E05AE7" w:rsidRPr="00045ACE" w:rsidRDefault="00E05AE7" w:rsidP="00056A0D">
            <w:pPr>
              <w:pStyle w:val="Tableheading"/>
              <w:rPr>
                <w:b w:val="0"/>
                <w:sz w:val="20"/>
                <w:szCs w:val="24"/>
                <w:lang w:eastAsia="en-US"/>
              </w:rPr>
            </w:pPr>
            <w:r w:rsidRPr="00045ACE">
              <w:rPr>
                <w:lang w:eastAsia="en-US"/>
              </w:rPr>
              <w:t>Description</w:t>
            </w:r>
          </w:p>
        </w:tc>
        <w:tc>
          <w:tcPr>
            <w:tcW w:w="992" w:type="dxa"/>
            <w:shd w:val="clear" w:color="auto" w:fill="2C6765"/>
            <w:vAlign w:val="bottom"/>
          </w:tcPr>
          <w:p w14:paraId="556C35E1" w14:textId="77777777" w:rsidR="00E05AE7" w:rsidRPr="00045ACE" w:rsidRDefault="00E05AE7" w:rsidP="00056A0D">
            <w:pPr>
              <w:pStyle w:val="Tableheading"/>
              <w:rPr>
                <w:b w:val="0"/>
                <w:sz w:val="20"/>
                <w:szCs w:val="24"/>
                <w:lang w:eastAsia="en-US"/>
              </w:rPr>
            </w:pPr>
            <w:r w:rsidRPr="00045ACE">
              <w:rPr>
                <w:lang w:eastAsia="en-US"/>
              </w:rPr>
              <w:t>Impact if unmitigated</w:t>
            </w:r>
          </w:p>
        </w:tc>
        <w:tc>
          <w:tcPr>
            <w:tcW w:w="4508" w:type="dxa"/>
            <w:shd w:val="clear" w:color="auto" w:fill="2C6765"/>
            <w:vAlign w:val="bottom"/>
          </w:tcPr>
          <w:p w14:paraId="335BCC0F" w14:textId="77777777" w:rsidR="00E05AE7" w:rsidRPr="00045ACE" w:rsidRDefault="00E05AE7" w:rsidP="00056A0D">
            <w:pPr>
              <w:pStyle w:val="Tableheading"/>
              <w:rPr>
                <w:b w:val="0"/>
                <w:sz w:val="20"/>
                <w:szCs w:val="24"/>
                <w:lang w:eastAsia="en-US"/>
              </w:rPr>
            </w:pPr>
            <w:r w:rsidRPr="00045ACE">
              <w:rPr>
                <w:lang w:eastAsia="en-US"/>
              </w:rPr>
              <w:t>Treatment</w:t>
            </w:r>
          </w:p>
        </w:tc>
        <w:tc>
          <w:tcPr>
            <w:tcW w:w="1111" w:type="dxa"/>
            <w:shd w:val="clear" w:color="auto" w:fill="2C6765"/>
            <w:vAlign w:val="bottom"/>
          </w:tcPr>
          <w:p w14:paraId="63B034B0" w14:textId="77777777" w:rsidR="00E05AE7" w:rsidRPr="00045ACE" w:rsidRDefault="00E05AE7" w:rsidP="00056A0D">
            <w:pPr>
              <w:pStyle w:val="Tableheading"/>
              <w:rPr>
                <w:b w:val="0"/>
                <w:sz w:val="20"/>
                <w:szCs w:val="24"/>
                <w:lang w:eastAsia="en-US"/>
              </w:rPr>
            </w:pPr>
            <w:r w:rsidRPr="00045ACE">
              <w:rPr>
                <w:lang w:eastAsia="en-US"/>
              </w:rPr>
              <w:t>Mitigated risk level</w:t>
            </w:r>
          </w:p>
        </w:tc>
      </w:tr>
      <w:tr w:rsidR="00E05AE7" w:rsidRPr="00B073B5" w14:paraId="55ACA3DB" w14:textId="77777777" w:rsidTr="00B63E49">
        <w:trPr>
          <w:cantSplit/>
        </w:trPr>
        <w:tc>
          <w:tcPr>
            <w:tcW w:w="2405" w:type="dxa"/>
          </w:tcPr>
          <w:p w14:paraId="7488B6D9" w14:textId="77777777" w:rsidR="00E05AE7" w:rsidRPr="00B073B5" w:rsidRDefault="00E05AE7" w:rsidP="0010520A">
            <w:pPr>
              <w:keepNext/>
              <w:keepLines/>
              <w:spacing w:before="60" w:after="60"/>
              <w:rPr>
                <w:sz w:val="18"/>
                <w:lang w:eastAsia="en-US"/>
              </w:rPr>
            </w:pPr>
            <w:r w:rsidRPr="00B073B5">
              <w:rPr>
                <w:sz w:val="18"/>
                <w:lang w:eastAsia="en-US"/>
              </w:rPr>
              <w:t>Difficulty obtaining relevant information from the department as required by legislation</w:t>
            </w:r>
          </w:p>
        </w:tc>
        <w:tc>
          <w:tcPr>
            <w:tcW w:w="992" w:type="dxa"/>
          </w:tcPr>
          <w:p w14:paraId="3BDB9480" w14:textId="77777777" w:rsidR="00E05AE7" w:rsidRPr="00B073B5" w:rsidRDefault="00E05AE7" w:rsidP="0010520A">
            <w:pPr>
              <w:keepNext/>
              <w:keepLines/>
              <w:spacing w:before="60" w:after="60"/>
              <w:rPr>
                <w:sz w:val="18"/>
                <w:lang w:eastAsia="en-US"/>
              </w:rPr>
            </w:pPr>
            <w:r w:rsidRPr="00B073B5">
              <w:rPr>
                <w:sz w:val="18"/>
                <w:lang w:eastAsia="en-US"/>
              </w:rPr>
              <w:t>Delay in review finalisation</w:t>
            </w:r>
          </w:p>
        </w:tc>
        <w:tc>
          <w:tcPr>
            <w:tcW w:w="4508" w:type="dxa"/>
          </w:tcPr>
          <w:p w14:paraId="71DCBB1A" w14:textId="77777777" w:rsidR="00E05AE7" w:rsidRPr="00B073B5" w:rsidRDefault="00E05AE7" w:rsidP="0010520A">
            <w:pPr>
              <w:keepNext/>
              <w:keepLines/>
              <w:spacing w:before="60" w:after="60"/>
              <w:rPr>
                <w:sz w:val="18"/>
                <w:lang w:eastAsia="en-US"/>
              </w:rPr>
            </w:pPr>
            <w:r w:rsidRPr="00B073B5">
              <w:rPr>
                <w:sz w:val="18"/>
                <w:lang w:eastAsia="en-US"/>
              </w:rPr>
              <w:t>Introductory meetings between the Inspector-General and the department to clarify the workplan and purpose of the review.</w:t>
            </w:r>
          </w:p>
          <w:p w14:paraId="3C02D506" w14:textId="77777777" w:rsidR="00E05AE7" w:rsidRPr="00B073B5" w:rsidRDefault="00E05AE7" w:rsidP="0010520A">
            <w:pPr>
              <w:keepNext/>
              <w:keepLines/>
              <w:spacing w:before="60" w:after="60"/>
              <w:rPr>
                <w:sz w:val="18"/>
                <w:lang w:eastAsia="en-US"/>
              </w:rPr>
            </w:pPr>
            <w:r w:rsidRPr="00B073B5">
              <w:rPr>
                <w:sz w:val="18"/>
                <w:lang w:eastAsia="en-US"/>
              </w:rPr>
              <w:t>The Inspector-General provides an information request to the biosecurity group and engages regularly with nominated contacts to clarify information needs.</w:t>
            </w:r>
          </w:p>
          <w:p w14:paraId="53B31554" w14:textId="77777777" w:rsidR="00E05AE7" w:rsidRPr="00B073B5" w:rsidRDefault="00E05AE7" w:rsidP="0010520A">
            <w:pPr>
              <w:keepNext/>
              <w:keepLines/>
              <w:spacing w:before="60" w:after="60"/>
              <w:rPr>
                <w:sz w:val="18"/>
                <w:lang w:eastAsia="en-US"/>
              </w:rPr>
            </w:pPr>
            <w:r w:rsidRPr="00B073B5">
              <w:rPr>
                <w:sz w:val="18"/>
                <w:lang w:eastAsia="en-US"/>
              </w:rPr>
              <w:t xml:space="preserve">The Inspector-General exercises power under the </w:t>
            </w:r>
            <w:r w:rsidRPr="00B073B5">
              <w:rPr>
                <w:i/>
                <w:iCs/>
                <w:sz w:val="18"/>
                <w:lang w:eastAsia="en-US"/>
              </w:rPr>
              <w:t>Biosecurity Act 2015.</w:t>
            </w:r>
          </w:p>
        </w:tc>
        <w:tc>
          <w:tcPr>
            <w:tcW w:w="1111" w:type="dxa"/>
          </w:tcPr>
          <w:p w14:paraId="184622AA" w14:textId="77777777" w:rsidR="00E05AE7" w:rsidRPr="00B073B5" w:rsidRDefault="00E05AE7" w:rsidP="0010520A">
            <w:pPr>
              <w:keepNext/>
              <w:keepLines/>
              <w:spacing w:before="60" w:after="60"/>
              <w:rPr>
                <w:sz w:val="18"/>
                <w:lang w:eastAsia="en-US"/>
              </w:rPr>
            </w:pPr>
            <w:r w:rsidRPr="00B073B5">
              <w:rPr>
                <w:sz w:val="18"/>
                <w:lang w:eastAsia="en-US"/>
              </w:rPr>
              <w:t>Low</w:t>
            </w:r>
          </w:p>
        </w:tc>
      </w:tr>
      <w:tr w:rsidR="00E05AE7" w:rsidRPr="00B073B5" w14:paraId="10C50DE4" w14:textId="77777777" w:rsidTr="00B63E49">
        <w:trPr>
          <w:cantSplit/>
        </w:trPr>
        <w:tc>
          <w:tcPr>
            <w:tcW w:w="2405" w:type="dxa"/>
          </w:tcPr>
          <w:p w14:paraId="5B16E911" w14:textId="77777777" w:rsidR="00E05AE7" w:rsidRPr="00B073B5" w:rsidRDefault="00E05AE7" w:rsidP="004425B0">
            <w:pPr>
              <w:spacing w:before="60" w:after="60"/>
              <w:rPr>
                <w:sz w:val="18"/>
                <w:lang w:eastAsia="en-US"/>
              </w:rPr>
            </w:pPr>
            <w:r w:rsidRPr="00B073B5">
              <w:rPr>
                <w:sz w:val="18"/>
                <w:lang w:eastAsia="en-US"/>
              </w:rPr>
              <w:t>Sensitivity issues limiting timely access to information</w:t>
            </w:r>
          </w:p>
        </w:tc>
        <w:tc>
          <w:tcPr>
            <w:tcW w:w="992" w:type="dxa"/>
          </w:tcPr>
          <w:p w14:paraId="18F80938" w14:textId="77777777" w:rsidR="00E05AE7" w:rsidRPr="00B073B5" w:rsidRDefault="00E05AE7" w:rsidP="004425B0">
            <w:pPr>
              <w:spacing w:before="60" w:after="60"/>
              <w:rPr>
                <w:sz w:val="18"/>
                <w:lang w:eastAsia="en-US"/>
              </w:rPr>
            </w:pPr>
            <w:r w:rsidRPr="00B073B5">
              <w:rPr>
                <w:sz w:val="18"/>
                <w:lang w:eastAsia="en-US"/>
              </w:rPr>
              <w:t>Delay in review finalisation</w:t>
            </w:r>
          </w:p>
        </w:tc>
        <w:tc>
          <w:tcPr>
            <w:tcW w:w="4508" w:type="dxa"/>
          </w:tcPr>
          <w:p w14:paraId="7E866D3A" w14:textId="77777777" w:rsidR="00E05AE7" w:rsidRPr="00B073B5" w:rsidRDefault="00E05AE7" w:rsidP="004425B0">
            <w:pPr>
              <w:spacing w:before="60" w:after="60"/>
              <w:rPr>
                <w:sz w:val="18"/>
                <w:lang w:eastAsia="en-US"/>
              </w:rPr>
            </w:pPr>
          </w:p>
        </w:tc>
        <w:tc>
          <w:tcPr>
            <w:tcW w:w="1111" w:type="dxa"/>
          </w:tcPr>
          <w:p w14:paraId="061939A4" w14:textId="77777777" w:rsidR="00E05AE7" w:rsidRPr="00B073B5" w:rsidRDefault="00E05AE7" w:rsidP="004425B0">
            <w:pPr>
              <w:spacing w:before="60" w:after="60"/>
              <w:rPr>
                <w:sz w:val="18"/>
                <w:lang w:eastAsia="en-US"/>
              </w:rPr>
            </w:pPr>
          </w:p>
        </w:tc>
      </w:tr>
      <w:tr w:rsidR="00E05AE7" w:rsidRPr="00B073B5" w14:paraId="29B03397" w14:textId="77777777" w:rsidTr="00B63E49">
        <w:trPr>
          <w:cantSplit/>
        </w:trPr>
        <w:tc>
          <w:tcPr>
            <w:tcW w:w="2405" w:type="dxa"/>
          </w:tcPr>
          <w:p w14:paraId="72B297FA" w14:textId="77777777" w:rsidR="00E05AE7" w:rsidRPr="00B073B5" w:rsidRDefault="00E05AE7" w:rsidP="004425B0">
            <w:pPr>
              <w:spacing w:before="60" w:after="60"/>
              <w:rPr>
                <w:sz w:val="18"/>
                <w:lang w:eastAsia="en-US"/>
              </w:rPr>
            </w:pPr>
            <w:r w:rsidRPr="00B073B5">
              <w:rPr>
                <w:sz w:val="18"/>
                <w:lang w:eastAsia="en-US"/>
              </w:rPr>
              <w:lastRenderedPageBreak/>
              <w:t>Unexpected findings relating to numerous or complex issues, or new information necessitating revision of scope or timeline</w:t>
            </w:r>
          </w:p>
        </w:tc>
        <w:tc>
          <w:tcPr>
            <w:tcW w:w="992" w:type="dxa"/>
          </w:tcPr>
          <w:p w14:paraId="487D3BD8" w14:textId="77777777" w:rsidR="00E05AE7" w:rsidRPr="00B073B5" w:rsidRDefault="00E05AE7" w:rsidP="004425B0">
            <w:pPr>
              <w:spacing w:before="60" w:after="60"/>
              <w:rPr>
                <w:sz w:val="18"/>
                <w:lang w:eastAsia="en-US"/>
              </w:rPr>
            </w:pPr>
            <w:r w:rsidRPr="00B073B5">
              <w:rPr>
                <w:sz w:val="18"/>
                <w:lang w:eastAsia="en-US"/>
              </w:rPr>
              <w:t>Delay in review finalisation</w:t>
            </w:r>
          </w:p>
        </w:tc>
        <w:tc>
          <w:tcPr>
            <w:tcW w:w="4508" w:type="dxa"/>
          </w:tcPr>
          <w:p w14:paraId="076DA836" w14:textId="77777777" w:rsidR="00E05AE7" w:rsidRPr="00B073B5" w:rsidRDefault="00E05AE7" w:rsidP="004425B0">
            <w:pPr>
              <w:spacing w:before="60" w:after="60"/>
              <w:rPr>
                <w:i/>
                <w:iCs/>
                <w:sz w:val="18"/>
                <w:lang w:eastAsia="en-US"/>
              </w:rPr>
            </w:pPr>
            <w:r w:rsidRPr="00B073B5">
              <w:rPr>
                <w:sz w:val="18"/>
                <w:lang w:eastAsia="en-US"/>
              </w:rPr>
              <w:t xml:space="preserve">The Inspector-General engages regularly with the nominated contacts and senior biosecurity officials regarding review findings and the provision of relevant information as required under the </w:t>
            </w:r>
            <w:r w:rsidRPr="00B073B5">
              <w:rPr>
                <w:i/>
                <w:iCs/>
                <w:sz w:val="18"/>
                <w:lang w:eastAsia="en-US"/>
              </w:rPr>
              <w:t>Biosecurity Act 2015.</w:t>
            </w:r>
          </w:p>
        </w:tc>
        <w:tc>
          <w:tcPr>
            <w:tcW w:w="1111" w:type="dxa"/>
          </w:tcPr>
          <w:p w14:paraId="14DAD1D2" w14:textId="77777777" w:rsidR="00E05AE7" w:rsidRPr="00B073B5" w:rsidRDefault="00E05AE7" w:rsidP="004425B0">
            <w:pPr>
              <w:spacing w:before="60" w:after="60"/>
              <w:rPr>
                <w:sz w:val="18"/>
                <w:lang w:eastAsia="en-US"/>
              </w:rPr>
            </w:pPr>
            <w:r w:rsidRPr="00B073B5">
              <w:rPr>
                <w:sz w:val="18"/>
                <w:lang w:eastAsia="en-US"/>
              </w:rPr>
              <w:t>Low</w:t>
            </w:r>
          </w:p>
        </w:tc>
      </w:tr>
      <w:tr w:rsidR="00E05AE7" w:rsidRPr="00B073B5" w14:paraId="1FCC630A" w14:textId="77777777" w:rsidTr="00B63E49">
        <w:trPr>
          <w:cantSplit/>
        </w:trPr>
        <w:tc>
          <w:tcPr>
            <w:tcW w:w="2405" w:type="dxa"/>
          </w:tcPr>
          <w:p w14:paraId="67B7FA93" w14:textId="77777777" w:rsidR="00E05AE7" w:rsidRPr="00B073B5" w:rsidRDefault="00E05AE7" w:rsidP="004425B0">
            <w:pPr>
              <w:spacing w:before="60" w:after="60"/>
              <w:rPr>
                <w:sz w:val="18"/>
                <w:lang w:eastAsia="en-US"/>
              </w:rPr>
            </w:pPr>
            <w:r w:rsidRPr="00B073B5">
              <w:rPr>
                <w:sz w:val="18"/>
                <w:lang w:eastAsia="en-US"/>
              </w:rPr>
              <w:t>The department disagrees with draft findings and recommendations</w:t>
            </w:r>
          </w:p>
        </w:tc>
        <w:tc>
          <w:tcPr>
            <w:tcW w:w="992" w:type="dxa"/>
          </w:tcPr>
          <w:p w14:paraId="1814C7A0" w14:textId="77777777" w:rsidR="00E05AE7" w:rsidRPr="00B073B5" w:rsidRDefault="00E05AE7" w:rsidP="004425B0">
            <w:pPr>
              <w:spacing w:before="60" w:after="60"/>
              <w:rPr>
                <w:sz w:val="18"/>
                <w:lang w:eastAsia="en-US"/>
              </w:rPr>
            </w:pPr>
            <w:r w:rsidRPr="00B073B5">
              <w:rPr>
                <w:sz w:val="18"/>
                <w:lang w:eastAsia="en-US"/>
              </w:rPr>
              <w:t>Delay in review finalisation</w:t>
            </w:r>
          </w:p>
        </w:tc>
        <w:tc>
          <w:tcPr>
            <w:tcW w:w="4508" w:type="dxa"/>
          </w:tcPr>
          <w:p w14:paraId="703B0004" w14:textId="77777777" w:rsidR="00E05AE7" w:rsidRPr="00B073B5" w:rsidRDefault="00E05AE7" w:rsidP="004425B0">
            <w:pPr>
              <w:spacing w:before="60" w:after="60"/>
              <w:rPr>
                <w:sz w:val="18"/>
                <w:lang w:eastAsia="en-US"/>
              </w:rPr>
            </w:pPr>
            <w:r w:rsidRPr="00B073B5">
              <w:rPr>
                <w:sz w:val="18"/>
                <w:lang w:eastAsia="en-US"/>
              </w:rPr>
              <w:t>The Inspector-General engages regularly with nominated contacts and senior biosecurity officials to discuss the status of the review and clarify the evidentiary basis for the findings.</w:t>
            </w:r>
          </w:p>
        </w:tc>
        <w:tc>
          <w:tcPr>
            <w:tcW w:w="1111" w:type="dxa"/>
          </w:tcPr>
          <w:p w14:paraId="227C90D1" w14:textId="77777777" w:rsidR="00E05AE7" w:rsidRPr="00B073B5" w:rsidRDefault="00E05AE7" w:rsidP="004425B0">
            <w:pPr>
              <w:spacing w:before="60" w:after="60"/>
              <w:rPr>
                <w:sz w:val="18"/>
                <w:lang w:eastAsia="en-US"/>
              </w:rPr>
            </w:pPr>
            <w:r w:rsidRPr="00B073B5">
              <w:rPr>
                <w:sz w:val="18"/>
                <w:lang w:eastAsia="en-US"/>
              </w:rPr>
              <w:t>Low</w:t>
            </w:r>
          </w:p>
        </w:tc>
      </w:tr>
      <w:tr w:rsidR="00E05AE7" w:rsidRPr="00B073B5" w14:paraId="763AA438" w14:textId="77777777" w:rsidTr="00B63E49">
        <w:trPr>
          <w:cantSplit/>
        </w:trPr>
        <w:tc>
          <w:tcPr>
            <w:tcW w:w="2405" w:type="dxa"/>
          </w:tcPr>
          <w:p w14:paraId="7F004A8D" w14:textId="77777777" w:rsidR="00E05AE7" w:rsidRPr="00B073B5" w:rsidRDefault="00E05AE7" w:rsidP="004425B0">
            <w:pPr>
              <w:spacing w:before="60" w:after="60"/>
              <w:rPr>
                <w:sz w:val="18"/>
                <w:lang w:eastAsia="en-US"/>
              </w:rPr>
            </w:pPr>
            <w:r w:rsidRPr="00B073B5">
              <w:rPr>
                <w:sz w:val="18"/>
                <w:lang w:eastAsia="en-US"/>
              </w:rPr>
              <w:t>Publication of incorrect information</w:t>
            </w:r>
          </w:p>
        </w:tc>
        <w:tc>
          <w:tcPr>
            <w:tcW w:w="992" w:type="dxa"/>
          </w:tcPr>
          <w:p w14:paraId="4938EDD8" w14:textId="77777777" w:rsidR="00E05AE7" w:rsidRPr="00B073B5" w:rsidRDefault="00E05AE7" w:rsidP="004425B0">
            <w:pPr>
              <w:spacing w:before="60" w:after="60"/>
              <w:rPr>
                <w:sz w:val="18"/>
                <w:lang w:eastAsia="en-US"/>
              </w:rPr>
            </w:pPr>
            <w:r w:rsidRPr="00B073B5">
              <w:rPr>
                <w:sz w:val="18"/>
                <w:lang w:eastAsia="en-US"/>
              </w:rPr>
              <w:t>Reputational damage</w:t>
            </w:r>
          </w:p>
        </w:tc>
        <w:tc>
          <w:tcPr>
            <w:tcW w:w="4508" w:type="dxa"/>
          </w:tcPr>
          <w:p w14:paraId="28096398" w14:textId="77777777" w:rsidR="00E05AE7" w:rsidRPr="00B073B5" w:rsidRDefault="00E05AE7" w:rsidP="004425B0">
            <w:pPr>
              <w:spacing w:before="60" w:after="60"/>
              <w:rPr>
                <w:sz w:val="18"/>
                <w:lang w:eastAsia="en-US"/>
              </w:rPr>
            </w:pPr>
            <w:r w:rsidRPr="00B073B5">
              <w:rPr>
                <w:sz w:val="18"/>
                <w:lang w:eastAsia="en-US"/>
              </w:rPr>
              <w:t xml:space="preserve">The Inspector-General provides a draft of the review to the department for feedback and </w:t>
            </w:r>
            <w:proofErr w:type="gramStart"/>
            <w:r w:rsidRPr="00B073B5">
              <w:rPr>
                <w:sz w:val="18"/>
                <w:lang w:eastAsia="en-US"/>
              </w:rPr>
              <w:t>fact-checking</w:t>
            </w:r>
            <w:proofErr w:type="gramEnd"/>
            <w:r w:rsidRPr="00B073B5">
              <w:rPr>
                <w:sz w:val="18"/>
                <w:lang w:eastAsia="en-US"/>
              </w:rPr>
              <w:t xml:space="preserve"> before publication, as set out in the Biosecurity Regulation 2016</w:t>
            </w:r>
          </w:p>
        </w:tc>
        <w:tc>
          <w:tcPr>
            <w:tcW w:w="1111" w:type="dxa"/>
          </w:tcPr>
          <w:p w14:paraId="0B3E75D2" w14:textId="77777777" w:rsidR="00E05AE7" w:rsidRPr="00B073B5" w:rsidRDefault="00E05AE7" w:rsidP="004425B0">
            <w:pPr>
              <w:spacing w:before="60" w:after="60"/>
              <w:rPr>
                <w:sz w:val="18"/>
                <w:lang w:eastAsia="en-US"/>
              </w:rPr>
            </w:pPr>
            <w:r w:rsidRPr="00B073B5">
              <w:rPr>
                <w:sz w:val="18"/>
                <w:lang w:eastAsia="en-US"/>
              </w:rPr>
              <w:t>L</w:t>
            </w:r>
            <w:r>
              <w:rPr>
                <w:sz w:val="18"/>
                <w:lang w:eastAsia="en-US"/>
              </w:rPr>
              <w:t>o</w:t>
            </w:r>
            <w:r w:rsidRPr="00B073B5">
              <w:rPr>
                <w:sz w:val="18"/>
                <w:lang w:eastAsia="en-US"/>
              </w:rPr>
              <w:t>w</w:t>
            </w:r>
          </w:p>
        </w:tc>
      </w:tr>
      <w:tr w:rsidR="00E05AE7" w:rsidRPr="00B073B5" w14:paraId="5C3C0B1F" w14:textId="77777777" w:rsidTr="00B63E49">
        <w:trPr>
          <w:cantSplit/>
        </w:trPr>
        <w:tc>
          <w:tcPr>
            <w:tcW w:w="2405" w:type="dxa"/>
          </w:tcPr>
          <w:p w14:paraId="42BAFB9E" w14:textId="77777777" w:rsidR="00E05AE7" w:rsidRPr="00B073B5" w:rsidRDefault="00E05AE7" w:rsidP="004425B0">
            <w:pPr>
              <w:spacing w:before="60" w:after="60"/>
              <w:rPr>
                <w:sz w:val="18"/>
                <w:lang w:eastAsia="en-US"/>
              </w:rPr>
            </w:pPr>
            <w:r w:rsidRPr="00B073B5">
              <w:rPr>
                <w:sz w:val="18"/>
                <w:lang w:eastAsia="en-US"/>
              </w:rPr>
              <w:t>Staff movement reducing the number of department staff in the Office of the Inspector-General</w:t>
            </w:r>
          </w:p>
        </w:tc>
        <w:tc>
          <w:tcPr>
            <w:tcW w:w="992" w:type="dxa"/>
          </w:tcPr>
          <w:p w14:paraId="1A53BF3B" w14:textId="77777777" w:rsidR="00E05AE7" w:rsidRPr="00B073B5" w:rsidRDefault="00E05AE7" w:rsidP="004425B0">
            <w:pPr>
              <w:spacing w:before="60" w:after="60"/>
              <w:rPr>
                <w:sz w:val="18"/>
                <w:lang w:eastAsia="en-US"/>
              </w:rPr>
            </w:pPr>
            <w:r w:rsidRPr="00B073B5">
              <w:rPr>
                <w:sz w:val="18"/>
                <w:lang w:eastAsia="en-US"/>
              </w:rPr>
              <w:t>Delay in review finalisation</w:t>
            </w:r>
          </w:p>
        </w:tc>
        <w:tc>
          <w:tcPr>
            <w:tcW w:w="4508" w:type="dxa"/>
          </w:tcPr>
          <w:p w14:paraId="19DC0451" w14:textId="77777777" w:rsidR="00E05AE7" w:rsidRPr="00B073B5" w:rsidRDefault="00E05AE7" w:rsidP="004425B0">
            <w:pPr>
              <w:spacing w:before="60" w:after="60"/>
              <w:rPr>
                <w:i/>
                <w:iCs/>
                <w:sz w:val="18"/>
                <w:lang w:eastAsia="en-US"/>
              </w:rPr>
            </w:pPr>
            <w:r w:rsidRPr="00B073B5">
              <w:rPr>
                <w:sz w:val="18"/>
                <w:lang w:eastAsia="en-US"/>
              </w:rPr>
              <w:t xml:space="preserve">The Inspector-General requests adequate resources from the department (e.g., consultancy, expression of interest) to support the review under the </w:t>
            </w:r>
            <w:r w:rsidRPr="00B073B5">
              <w:rPr>
                <w:i/>
                <w:iCs/>
                <w:sz w:val="18"/>
                <w:lang w:eastAsia="en-US"/>
              </w:rPr>
              <w:t>Biosecurity Act 2015</w:t>
            </w:r>
          </w:p>
        </w:tc>
        <w:tc>
          <w:tcPr>
            <w:tcW w:w="1111" w:type="dxa"/>
          </w:tcPr>
          <w:p w14:paraId="289E4EA6" w14:textId="77777777" w:rsidR="00E05AE7" w:rsidRPr="00B073B5" w:rsidRDefault="00E05AE7" w:rsidP="004425B0">
            <w:pPr>
              <w:spacing w:before="60" w:after="60"/>
              <w:rPr>
                <w:sz w:val="18"/>
                <w:lang w:eastAsia="en-US"/>
              </w:rPr>
            </w:pPr>
            <w:r w:rsidRPr="00B073B5">
              <w:rPr>
                <w:sz w:val="18"/>
                <w:lang w:eastAsia="en-US"/>
              </w:rPr>
              <w:t>Medium</w:t>
            </w:r>
          </w:p>
        </w:tc>
      </w:tr>
      <w:tr w:rsidR="00E05AE7" w:rsidRPr="00B073B5" w14:paraId="48349BFE" w14:textId="77777777" w:rsidTr="00B63E49">
        <w:trPr>
          <w:cantSplit/>
        </w:trPr>
        <w:tc>
          <w:tcPr>
            <w:tcW w:w="2405" w:type="dxa"/>
          </w:tcPr>
          <w:p w14:paraId="068395C8" w14:textId="77777777" w:rsidR="00E05AE7" w:rsidRPr="00B073B5" w:rsidRDefault="00E05AE7" w:rsidP="004425B0">
            <w:pPr>
              <w:spacing w:before="60" w:after="60"/>
              <w:rPr>
                <w:sz w:val="18"/>
                <w:lang w:eastAsia="en-US"/>
              </w:rPr>
            </w:pPr>
            <w:r w:rsidRPr="00B073B5">
              <w:rPr>
                <w:sz w:val="18"/>
                <w:lang w:eastAsia="en-US"/>
              </w:rPr>
              <w:t>Changing priorities in the Inspector-General’s review program</w:t>
            </w:r>
          </w:p>
        </w:tc>
        <w:tc>
          <w:tcPr>
            <w:tcW w:w="992" w:type="dxa"/>
          </w:tcPr>
          <w:p w14:paraId="0115D441" w14:textId="77777777" w:rsidR="00E05AE7" w:rsidRPr="00B073B5" w:rsidRDefault="00E05AE7" w:rsidP="004425B0">
            <w:pPr>
              <w:spacing w:before="60" w:after="60"/>
              <w:rPr>
                <w:sz w:val="18"/>
                <w:lang w:eastAsia="en-US"/>
              </w:rPr>
            </w:pPr>
            <w:r w:rsidRPr="00B073B5">
              <w:rPr>
                <w:sz w:val="18"/>
                <w:lang w:eastAsia="en-US"/>
              </w:rPr>
              <w:t>Delay in review finalisation</w:t>
            </w:r>
          </w:p>
        </w:tc>
        <w:tc>
          <w:tcPr>
            <w:tcW w:w="4508" w:type="dxa"/>
          </w:tcPr>
          <w:p w14:paraId="3D7C76BD" w14:textId="77777777" w:rsidR="00E05AE7" w:rsidRPr="00B073B5" w:rsidRDefault="00E05AE7" w:rsidP="004425B0">
            <w:pPr>
              <w:spacing w:before="60" w:after="60"/>
              <w:rPr>
                <w:sz w:val="18"/>
                <w:lang w:eastAsia="en-US"/>
              </w:rPr>
            </w:pPr>
            <w:r w:rsidRPr="00B073B5">
              <w:rPr>
                <w:sz w:val="18"/>
                <w:lang w:eastAsia="en-US"/>
              </w:rPr>
              <w:t xml:space="preserve">The Inspector-General consults with the Director of Biosecurity and Minister regarding any changes impacting the annual work program, including this review. The Inspector-General may request adequate resources from the department (e.g., consultancy, expression of interest) to support completion of this review under the </w:t>
            </w:r>
            <w:r w:rsidRPr="00B073B5">
              <w:rPr>
                <w:i/>
                <w:iCs/>
                <w:sz w:val="18"/>
                <w:lang w:eastAsia="en-US"/>
              </w:rPr>
              <w:t>Biosecurity Act 2015</w:t>
            </w:r>
          </w:p>
        </w:tc>
        <w:tc>
          <w:tcPr>
            <w:tcW w:w="1111" w:type="dxa"/>
          </w:tcPr>
          <w:p w14:paraId="6AE4022E" w14:textId="77777777" w:rsidR="00E05AE7" w:rsidRPr="00B073B5" w:rsidRDefault="00E05AE7" w:rsidP="004425B0">
            <w:pPr>
              <w:spacing w:before="60" w:after="60"/>
              <w:rPr>
                <w:sz w:val="18"/>
                <w:lang w:eastAsia="en-US"/>
              </w:rPr>
            </w:pPr>
            <w:r w:rsidRPr="00B073B5">
              <w:rPr>
                <w:sz w:val="18"/>
                <w:lang w:eastAsia="en-US"/>
              </w:rPr>
              <w:t>Low</w:t>
            </w:r>
          </w:p>
        </w:tc>
      </w:tr>
    </w:tbl>
    <w:p w14:paraId="07DB0D6D" w14:textId="6A2F1D2C" w:rsidR="00E05AE7" w:rsidRDefault="00E05AE7"/>
    <w:p w14:paraId="2C7F0D42" w14:textId="77777777" w:rsidR="005450D3" w:rsidRDefault="005450D3">
      <w:pPr>
        <w:spacing w:line="278" w:lineRule="auto"/>
      </w:pPr>
      <w:r>
        <w:br w:type="page"/>
      </w:r>
    </w:p>
    <w:p w14:paraId="5B4D0658" w14:textId="2B8DD8C8" w:rsidR="00C67F0C" w:rsidRDefault="00C67F0C">
      <w:pPr>
        <w:spacing w:after="160" w:line="278" w:lineRule="auto"/>
        <w:rPr>
          <w:lang w:eastAsia="en-US"/>
        </w:rPr>
      </w:pPr>
      <w:bookmarkStart w:id="22" w:name="_Toc218606005"/>
      <w:bookmarkStart w:id="23" w:name="_Toc218608503"/>
    </w:p>
    <w:p w14:paraId="540B676F" w14:textId="6B1998DE" w:rsidR="00F75E4E" w:rsidRDefault="00F75E4E" w:rsidP="00F75E4E">
      <w:pPr>
        <w:pStyle w:val="Heading1"/>
      </w:pPr>
      <w:bookmarkStart w:id="24" w:name="_Toc224223231"/>
      <w:r>
        <w:t>Appendix A</w:t>
      </w:r>
      <w:bookmarkEnd w:id="22"/>
      <w:bookmarkEnd w:id="23"/>
      <w:bookmarkEnd w:id="24"/>
    </w:p>
    <w:p w14:paraId="3BD56A6E" w14:textId="1606308F" w:rsidR="00D53F2C" w:rsidRDefault="00BB1F84" w:rsidP="00D53F2C">
      <w:pPr>
        <w:pStyle w:val="Heading2"/>
      </w:pPr>
      <w:bookmarkStart w:id="25" w:name="_Toc218606006"/>
      <w:bookmarkStart w:id="26" w:name="_Toc218608504"/>
      <w:bookmarkStart w:id="27" w:name="_Toc224223232"/>
      <w:r>
        <w:t>Background</w:t>
      </w:r>
      <w:bookmarkEnd w:id="25"/>
      <w:bookmarkEnd w:id="26"/>
      <w:r w:rsidR="00A90D6A">
        <w:t xml:space="preserve"> (with references)</w:t>
      </w:r>
      <w:bookmarkEnd w:id="27"/>
    </w:p>
    <w:p w14:paraId="55EDAE1C" w14:textId="3629A980" w:rsidR="003A78A4" w:rsidRPr="003A78A4" w:rsidRDefault="003A78A4" w:rsidP="003A78A4">
      <w:pPr>
        <w:rPr>
          <w:i/>
          <w:iCs/>
        </w:rPr>
      </w:pPr>
      <w:r w:rsidRPr="003A78A4">
        <w:rPr>
          <w:i/>
          <w:iCs/>
        </w:rPr>
        <w:t>References for this appendix are listed in the Bibliography following Appendix A.</w:t>
      </w:r>
    </w:p>
    <w:p w14:paraId="2692AFE0" w14:textId="77777777" w:rsidR="00552993" w:rsidRDefault="00552993" w:rsidP="00552993">
      <w:r w:rsidRPr="00693321">
        <w:t>Australia’s natural geographic isolation has spared it from many pests and diseases that have caused significant environmental, economic, and social impacts in other countries. This strong biosecurity position also supports the international reputation of Australian goods, helping producers secure favourable market access and premium prices for export products.</w:t>
      </w:r>
    </w:p>
    <w:p w14:paraId="6471F6DF" w14:textId="77777777" w:rsidR="00552993" w:rsidRDefault="00552993" w:rsidP="00552993">
      <w:r w:rsidRPr="00693321">
        <w:t xml:space="preserve">However, Australia’s geographic isolation also means that the needs and preferences of the population cannot be met through domestic production alone. Many </w:t>
      </w:r>
      <w:proofErr w:type="gramStart"/>
      <w:r w:rsidRPr="00693321">
        <w:t>goods</w:t>
      </w:r>
      <w:proofErr w:type="gramEnd"/>
      <w:r w:rsidRPr="00693321">
        <w:t xml:space="preserve"> Australians rely on </w:t>
      </w:r>
      <w:r>
        <w:t xml:space="preserve">must </w:t>
      </w:r>
      <w:r w:rsidRPr="00693321">
        <w:t>be imported to meet demand. As a result, significant volumes of goods enter the country by air and sea each year.</w:t>
      </w:r>
    </w:p>
    <w:p w14:paraId="0318A255" w14:textId="77777777" w:rsidR="00552993" w:rsidRDefault="00552993" w:rsidP="00552993">
      <w:r w:rsidRPr="00244089">
        <w:t>Despite recent short</w:t>
      </w:r>
      <w:r w:rsidRPr="00244089">
        <w:noBreakHyphen/>
        <w:t>term declines, overall import volumes remain higher than a decade ago</w:t>
      </w:r>
      <w:r>
        <w:t xml:space="preserve"> (Australia imports, 2026)</w:t>
      </w:r>
      <w:r w:rsidRPr="00D423CB">
        <w:t>.</w:t>
      </w:r>
      <w:r>
        <w:t xml:space="preserve"> </w:t>
      </w:r>
      <w:r w:rsidRPr="00D423CB">
        <w:t>Import volumes in tariff categories associated with higher biosecurity risks</w:t>
      </w:r>
      <w:r>
        <w:t xml:space="preserve"> (e.g. </w:t>
      </w:r>
      <w:r w:rsidRPr="00D423CB">
        <w:t>SITC Section 0: Food and Live Animals</w:t>
      </w:r>
      <w:r>
        <w:t xml:space="preserve">) </w:t>
      </w:r>
      <w:r w:rsidRPr="00D423CB">
        <w:t>continue to show steady year</w:t>
      </w:r>
      <w:r w:rsidRPr="00D423CB">
        <w:noBreakHyphen/>
        <w:t>on</w:t>
      </w:r>
      <w:r w:rsidRPr="00D423CB">
        <w:noBreakHyphen/>
        <w:t>year growth</w:t>
      </w:r>
      <w:r>
        <w:t xml:space="preserve"> (NFDH 2026).</w:t>
      </w:r>
    </w:p>
    <w:p w14:paraId="631837C5" w14:textId="77777777" w:rsidR="00552993" w:rsidRDefault="00552993" w:rsidP="00552993">
      <w:r w:rsidRPr="002C7830">
        <w:t>Through the National Biosecurity Strategy and the DAFF Biosecurity 2030 Roadma</w:t>
      </w:r>
      <w:r>
        <w:t>p</w:t>
      </w:r>
      <w:r w:rsidRPr="002C7830">
        <w:t>, the department sets out its forward priorities for Australia’s biosecurity system. These documents provide clear direction for building a system that focuses on the highest</w:t>
      </w:r>
      <w:r w:rsidRPr="002C7830">
        <w:noBreakHyphen/>
        <w:t>risk threats, and for ensuring resources, intelligence and partnerships are used effectively to protect Australia now and into the future.</w:t>
      </w:r>
    </w:p>
    <w:p w14:paraId="332076CF" w14:textId="77777777" w:rsidR="00552993" w:rsidRDefault="00552993" w:rsidP="00552993">
      <w:r w:rsidRPr="00CF7819">
        <w:t>As a government agency, the department operates within finite resources. At the same time, biosecurity risks continue to grow and must be managed within stable, and at times decreasing, budgets. A risk</w:t>
      </w:r>
      <w:r w:rsidRPr="00CF7819">
        <w:noBreakHyphen/>
        <w:t>based approach enables the department to prioritise the highest</w:t>
      </w:r>
      <w:r w:rsidRPr="00CF7819">
        <w:noBreakHyphen/>
        <w:t>risk areas and commodities, ensuring resources are directed where they will have the greatest impact.</w:t>
      </w:r>
    </w:p>
    <w:p w14:paraId="7F7A9F70" w14:textId="77777777" w:rsidR="00552993" w:rsidRDefault="00552993" w:rsidP="00552993">
      <w:r w:rsidRPr="00EE7472">
        <w:t>Inspecting every item at the border is resource</w:t>
      </w:r>
      <w:r w:rsidRPr="00EE7472">
        <w:noBreakHyphen/>
        <w:t>intensive, and studies show that increasing inspection rates alone does not necessarily lead to improved compliance</w:t>
      </w:r>
      <w:r>
        <w:t xml:space="preserve"> (OECD 2014)</w:t>
      </w:r>
      <w:r w:rsidRPr="00EE7472">
        <w:t>. Effective workload management relies on applying a consistent, risk</w:t>
      </w:r>
      <w:r w:rsidRPr="00EE7472">
        <w:noBreakHyphen/>
        <w:t>based approach to guide intervention decisions.</w:t>
      </w:r>
      <w:r>
        <w:t xml:space="preserve"> </w:t>
      </w:r>
      <w:r w:rsidRPr="00130304">
        <w:t>Documentation plays a critical role in enabling the department to make accurate, risk</w:t>
      </w:r>
      <w:r w:rsidRPr="00130304">
        <w:noBreakHyphen/>
        <w:t>based decisions without relying solely on physical inspections.</w:t>
      </w:r>
      <w:r>
        <w:t xml:space="preserve"> </w:t>
      </w:r>
      <w:r w:rsidRPr="00EE7472">
        <w:t xml:space="preserve"> </w:t>
      </w:r>
    </w:p>
    <w:p w14:paraId="1E438D64" w14:textId="77777777" w:rsidR="00552993" w:rsidRPr="00CE753D" w:rsidRDefault="00552993" w:rsidP="00552993">
      <w:pPr>
        <w:spacing w:after="160" w:line="278" w:lineRule="auto"/>
      </w:pPr>
      <w:r w:rsidRPr="00CE753D">
        <w:t>This system is not without limitations. Changes in policy settings or shifting priorities can result in legacy requirements remaining in place beyond the point at which they are effective. In response to an incident or incursion, new requirements may be introduced quickly, and in the haste to implement them, they can increase regulatory burden without full consideration of alternative options. In some cases, what is ideal from a policy perspective may not be practicable operationally, and without strong shared understanding or effective feedback loops, gaps in clarity and alignment can persist.</w:t>
      </w:r>
    </w:p>
    <w:p w14:paraId="2093F8FE" w14:textId="77777777" w:rsidR="00552993" w:rsidRPr="0003660D" w:rsidRDefault="00552993" w:rsidP="00552993">
      <w:pPr>
        <w:spacing w:after="160" w:line="278" w:lineRule="auto"/>
      </w:pPr>
      <w:r w:rsidRPr="0003660D">
        <w:t xml:space="preserve">In initial discussions with stakeholders, several examples have been raised that illustrate the types of issues being experienced. </w:t>
      </w:r>
      <w:r w:rsidRPr="003F2B37">
        <w:t>Stakeholders have also highlighted how unclear or outdated requirements can create unnecessary regulatory burden and operational inefficiencies.</w:t>
      </w:r>
      <w:r>
        <w:t xml:space="preserve"> </w:t>
      </w:r>
      <w:r w:rsidRPr="0003660D">
        <w:t>In the BICON case for frozen fruit</w:t>
      </w:r>
      <w:r>
        <w:t xml:space="preserve"> (BICON 2026)</w:t>
      </w:r>
      <w:r w:rsidRPr="0003660D">
        <w:t xml:space="preserve">, documentation requirements include a manufacturer’s declaration </w:t>
      </w:r>
      <w:r w:rsidRPr="0003660D">
        <w:lastRenderedPageBreak/>
        <w:t>containing six statements to verify that the goods have undergone an “appropriate freezing process.” Among these statements is a requirement to include the country of origin. Country of origin, however, does not appear to have any material relevance to the biosecurity risk assessment for frozen fruit.</w:t>
      </w:r>
    </w:p>
    <w:p w14:paraId="67C3DC92" w14:textId="77777777" w:rsidR="00552993" w:rsidRDefault="00552993" w:rsidP="00552993">
      <w:r w:rsidRPr="0003660D">
        <w:t>There have been instances where assessment officers, following BICON strictly, have rejected manufacturer’s declarations that omit this information. This results in importers or brokers needing to obtain updated documentation, incurring additional charges and processing delays. Inconsistencies in decision</w:t>
      </w:r>
      <w:r w:rsidRPr="0003660D">
        <w:noBreakHyphen/>
        <w:t>making also occur. There is no discernible change in assessment outcomes when country of origin is included, yet some officers accept declarations without this statement while others do not.</w:t>
      </w:r>
      <w:r>
        <w:t xml:space="preserve"> </w:t>
      </w:r>
      <w:r w:rsidRPr="000B0A5E">
        <w:t>These issues point to a broader challenge: when requirements are unclear or inconsistently applied, voluntary compliance becomes harder to achieve.</w:t>
      </w:r>
      <w:r>
        <w:t xml:space="preserve"> </w:t>
      </w:r>
      <w:r w:rsidRPr="008D491C">
        <w:t xml:space="preserve">Initial engagement suggests these challenges are not isolated to a single pathway or </w:t>
      </w:r>
      <w:proofErr w:type="gramStart"/>
      <w:r w:rsidRPr="008D491C">
        <w:t>commodity, but</w:t>
      </w:r>
      <w:proofErr w:type="gramEnd"/>
      <w:r w:rsidRPr="008D491C">
        <w:t xml:space="preserve"> reflect broader issues.</w:t>
      </w:r>
    </w:p>
    <w:p w14:paraId="5FF1C4FF" w14:textId="77777777" w:rsidR="00552993" w:rsidRPr="002667BB" w:rsidRDefault="00552993" w:rsidP="00552993">
      <w:pPr>
        <w:spacing w:after="160" w:line="278" w:lineRule="auto"/>
      </w:pPr>
      <w:r w:rsidRPr="00E424DF">
        <w:t>Addressing this require</w:t>
      </w:r>
      <w:r>
        <w:t>s</w:t>
      </w:r>
      <w:r w:rsidRPr="00E424DF">
        <w:t xml:space="preserve"> a focus on enabling voluntary compliance, consistent with the guidance in RMG 128, which emphasises the role of regulators in ensuring regulated parties are “informed entities” who understand what is required and why.</w:t>
      </w:r>
      <w:r w:rsidRPr="002667BB">
        <w:t xml:space="preserve"> Research on compliance also shows that intrinsic motivation to comply increases when people understand the rationale behind regulatory </w:t>
      </w:r>
      <w:r w:rsidRPr="001C2A0A">
        <w:t>requirements</w:t>
      </w:r>
      <w:r>
        <w:t xml:space="preserve"> (</w:t>
      </w:r>
      <w:r w:rsidRPr="007957CC">
        <w:t>Feldman</w:t>
      </w:r>
      <w:r>
        <w:rPr>
          <w:rStyle w:val="FootnoteReference"/>
        </w:rPr>
        <w:t xml:space="preserve"> </w:t>
      </w:r>
      <w:r>
        <w:t xml:space="preserve"> 2025), </w:t>
      </w:r>
      <w:r w:rsidRPr="002667BB">
        <w:t>for example, when there is science</w:t>
      </w:r>
      <w:r w:rsidRPr="002667BB">
        <w:noBreakHyphen/>
        <w:t>based evidence demonstrating that a treatment method, when carried out correctly, effectively mitigates a biosecurity risk.</w:t>
      </w:r>
    </w:p>
    <w:p w14:paraId="591F636B" w14:textId="77777777" w:rsidR="00552993" w:rsidRPr="00EE280C" w:rsidRDefault="00552993" w:rsidP="00552993">
      <w:pPr>
        <w:spacing w:after="160" w:line="278" w:lineRule="auto"/>
      </w:pPr>
      <w:r w:rsidRPr="002667BB">
        <w:t>When compliance obligations are clear and easy to meet, regulated parties are more likely to comply voluntarily. This, in turn, allows departmental resources to be focused on areas of greater biosecurity risk and value.</w:t>
      </w:r>
    </w:p>
    <w:p w14:paraId="2435F895" w14:textId="77777777" w:rsidR="00552993" w:rsidRPr="00EF6D33" w:rsidRDefault="00552993" w:rsidP="00552993">
      <w:pPr>
        <w:spacing w:after="160" w:line="278" w:lineRule="auto"/>
      </w:pPr>
      <w:r w:rsidRPr="00EF6D33">
        <w:t>Together, these factors highlight the need to review current documentation requirements to ensure they remain risk</w:t>
      </w:r>
      <w:r w:rsidRPr="00EF6D33">
        <w:noBreakHyphen/>
        <w:t>proportionate, operationally feasible and aligned with contemporary regulatory principles. Strengthening clarity, consistency and the evidence base for requirements will support voluntary compliance, reduce unnecessary regulatory burden and enable the department to focus resources where they provide the greatest biosecurity value.</w:t>
      </w:r>
    </w:p>
    <w:p w14:paraId="4D6A34C7" w14:textId="04B57ADC" w:rsidR="00977AB6" w:rsidRDefault="00A716FB">
      <w:pPr>
        <w:spacing w:after="160" w:line="278" w:lineRule="auto"/>
      </w:pPr>
      <w:r>
        <w:br w:type="page"/>
      </w:r>
    </w:p>
    <w:p w14:paraId="41370D48" w14:textId="77777777" w:rsidR="00977AB6" w:rsidRDefault="00977AB6" w:rsidP="00977AB6"/>
    <w:p w14:paraId="519E2614" w14:textId="5312164A" w:rsidR="00A90D6A" w:rsidRDefault="00A90D6A" w:rsidP="00A716FB">
      <w:pPr>
        <w:pStyle w:val="Heading2"/>
      </w:pPr>
      <w:bookmarkStart w:id="28" w:name="_Toc224223233"/>
      <w:r>
        <w:t>Bibliography</w:t>
      </w:r>
      <w:r w:rsidR="003A78A4">
        <w:t xml:space="preserve"> for Appendix A</w:t>
      </w:r>
      <w:bookmarkEnd w:id="28"/>
    </w:p>
    <w:p w14:paraId="3B27B352" w14:textId="77777777" w:rsidR="00A90D6A" w:rsidRDefault="00A90D6A" w:rsidP="00A90D6A">
      <w:r>
        <w:t xml:space="preserve">Australia Imports 2026, </w:t>
      </w:r>
      <w:hyperlink r:id="rId20" w:history="1">
        <w:r w:rsidRPr="00A6727B">
          <w:rPr>
            <w:rStyle w:val="Hyperlink"/>
          </w:rPr>
          <w:t>Australia Imports</w:t>
        </w:r>
      </w:hyperlink>
      <w:r>
        <w:t xml:space="preserve">, Trading Economics, </w:t>
      </w:r>
      <w:r w:rsidRPr="009E1E3F">
        <w:t xml:space="preserve">accessed </w:t>
      </w:r>
      <w:r>
        <w:t>19 February </w:t>
      </w:r>
      <w:r w:rsidRPr="009E1E3F">
        <w:t>202</w:t>
      </w:r>
      <w:r>
        <w:t>6.</w:t>
      </w:r>
    </w:p>
    <w:p w14:paraId="7D171366" w14:textId="77777777" w:rsidR="00A90D6A" w:rsidRDefault="00A90D6A" w:rsidP="00A90D6A">
      <w:r>
        <w:t xml:space="preserve">BICON 2026, </w:t>
      </w:r>
      <w:hyperlink r:id="rId21" w:history="1">
        <w:r w:rsidRPr="009B7A3A">
          <w:rPr>
            <w:rStyle w:val="Hyperlink"/>
          </w:rPr>
          <w:t>BICON - Case Overview</w:t>
        </w:r>
      </w:hyperlink>
      <w:r>
        <w:t xml:space="preserve">, </w:t>
      </w:r>
      <w:r w:rsidRPr="00803888">
        <w:t>Department of Agriculture, Fisheries and Forestry, Canberra, August</w:t>
      </w:r>
      <w:r>
        <w:t xml:space="preserve">, </w:t>
      </w:r>
      <w:r w:rsidRPr="009E1E3F">
        <w:t xml:space="preserve">accessed </w:t>
      </w:r>
      <w:r>
        <w:t>18 February </w:t>
      </w:r>
      <w:r w:rsidRPr="009E1E3F">
        <w:t>202</w:t>
      </w:r>
      <w:r>
        <w:t>6.</w:t>
      </w:r>
    </w:p>
    <w:p w14:paraId="79501C3F" w14:textId="77777777" w:rsidR="00A90D6A" w:rsidRDefault="00A90D6A" w:rsidP="00A90D6A">
      <w:r w:rsidRPr="00453827">
        <w:t>DAFF Biosecurity 2030 Roadmap</w:t>
      </w:r>
      <w:r>
        <w:t xml:space="preserve"> 2024</w:t>
      </w:r>
      <w:r w:rsidRPr="00453827">
        <w:t xml:space="preserve">, </w:t>
      </w:r>
      <w:hyperlink r:id="rId22" w:history="1">
        <w:r w:rsidRPr="00316939">
          <w:rPr>
            <w:rStyle w:val="Hyperlink"/>
          </w:rPr>
          <w:t>DAFF Biosecurity 2030 Roadmap (PDF 8.9MB)</w:t>
        </w:r>
      </w:hyperlink>
      <w:r>
        <w:t xml:space="preserve"> </w:t>
      </w:r>
      <w:r w:rsidRPr="00803888">
        <w:t>Department of Agriculture, Fisheries and Forestry, Canberra, August</w:t>
      </w:r>
      <w:r>
        <w:t xml:space="preserve">, </w:t>
      </w:r>
      <w:r w:rsidRPr="009E1E3F">
        <w:t xml:space="preserve">accessed </w:t>
      </w:r>
      <w:r>
        <w:t>17 February </w:t>
      </w:r>
      <w:r w:rsidRPr="009E1E3F">
        <w:t>202</w:t>
      </w:r>
      <w:r>
        <w:t>6.</w:t>
      </w:r>
    </w:p>
    <w:p w14:paraId="1158A82E" w14:textId="77777777" w:rsidR="00A90D6A" w:rsidRDefault="00A90D6A" w:rsidP="00A90D6A">
      <w:r w:rsidRPr="007957CC">
        <w:t>Feldman Y.</w:t>
      </w:r>
      <w:r>
        <w:t xml:space="preserve"> 2025,</w:t>
      </w:r>
      <w:r w:rsidRPr="007957CC">
        <w:t xml:space="preserve"> </w:t>
      </w:r>
      <w:r>
        <w:t>‘</w:t>
      </w:r>
      <w:r w:rsidRPr="007957CC">
        <w:t>What Is Intrinsic Compliance Motivation?</w:t>
      </w:r>
      <w:r>
        <w:t>’</w:t>
      </w:r>
      <w:r w:rsidRPr="007957CC">
        <w:t xml:space="preserve"> In: </w:t>
      </w:r>
      <w:hyperlink r:id="rId23" w:history="1">
        <w:r w:rsidRPr="00CF0AA9">
          <w:rPr>
            <w:rStyle w:val="Hyperlink"/>
            <w:i/>
            <w:iCs/>
          </w:rPr>
          <w:t>Can the Public Be Trusted?: On the Promise and Perils of Voluntary Compliance</w:t>
        </w:r>
      </w:hyperlink>
      <w:r>
        <w:rPr>
          <w:i/>
          <w:iCs/>
        </w:rPr>
        <w:t>,</w:t>
      </w:r>
      <w:r w:rsidRPr="00CF0AA9">
        <w:t xml:space="preserve"> </w:t>
      </w:r>
      <w:r w:rsidRPr="009E1E3F">
        <w:t xml:space="preserve">accessed </w:t>
      </w:r>
      <w:r>
        <w:t>17 February </w:t>
      </w:r>
      <w:r w:rsidRPr="009E1E3F">
        <w:t>202</w:t>
      </w:r>
      <w:r>
        <w:t>6.</w:t>
      </w:r>
      <w:r w:rsidRPr="007957CC">
        <w:t xml:space="preserve"> </w:t>
      </w:r>
    </w:p>
    <w:p w14:paraId="1138B9F7" w14:textId="77777777" w:rsidR="00A90D6A" w:rsidRDefault="00A90D6A" w:rsidP="00A90D6A">
      <w:r>
        <w:t xml:space="preserve">National Biosecurity Strategy 2022, </w:t>
      </w:r>
      <w:hyperlink r:id="rId24" w:history="1">
        <w:r w:rsidRPr="008A20E3">
          <w:rPr>
            <w:rStyle w:val="Hyperlink"/>
          </w:rPr>
          <w:t>National Biosecurity Strategy (PDF 10MB)</w:t>
        </w:r>
      </w:hyperlink>
      <w:r>
        <w:t xml:space="preserve">,  </w:t>
      </w:r>
      <w:r w:rsidRPr="00803888">
        <w:t>Department of Agriculture, Fisheries and Forestry, Canberra, August</w:t>
      </w:r>
      <w:r>
        <w:t xml:space="preserve">, </w:t>
      </w:r>
      <w:r w:rsidRPr="009E1E3F">
        <w:t xml:space="preserve">accessed </w:t>
      </w:r>
      <w:r>
        <w:t>17 February </w:t>
      </w:r>
      <w:r w:rsidRPr="009E1E3F">
        <w:t>202</w:t>
      </w:r>
      <w:r>
        <w:t>6.</w:t>
      </w:r>
    </w:p>
    <w:p w14:paraId="4842F69F" w14:textId="77777777" w:rsidR="00A90D6A" w:rsidRDefault="00A90D6A" w:rsidP="00A90D6A">
      <w:r>
        <w:t>NFDH 2026,</w:t>
      </w:r>
      <w:r w:rsidRPr="00AA684E">
        <w:t xml:space="preserve"> </w:t>
      </w:r>
      <w:hyperlink r:id="rId25" w:history="1">
        <w:r w:rsidRPr="00AA684E">
          <w:rPr>
            <w:rStyle w:val="Hyperlink"/>
          </w:rPr>
          <w:t>Import and Export Containerised Merchandise Projections | National Freight Data Hub</w:t>
        </w:r>
      </w:hyperlink>
      <w:r>
        <w:t xml:space="preserve">, </w:t>
      </w:r>
      <w:r w:rsidRPr="00AA684E">
        <w:t>Department of Infrastructure, Transport, Regional Development, Communications, Sport and the Arts</w:t>
      </w:r>
      <w:r>
        <w:t xml:space="preserve">, </w:t>
      </w:r>
      <w:r w:rsidRPr="009E1E3F">
        <w:t xml:space="preserve">accessed </w:t>
      </w:r>
      <w:r>
        <w:t>19 February </w:t>
      </w:r>
      <w:r w:rsidRPr="009E1E3F">
        <w:t>202</w:t>
      </w:r>
      <w:r>
        <w:t>6.</w:t>
      </w:r>
    </w:p>
    <w:p w14:paraId="4BFC0CF3" w14:textId="77777777" w:rsidR="00A90D6A" w:rsidRDefault="00A90D6A" w:rsidP="00A90D6A">
      <w:r w:rsidRPr="008720EF">
        <w:t>OECD 2014, Regulatory Enforcement and Inspections, OECD Best Practice Principles for Regulatory Policy, OECD Publishing.</w:t>
      </w:r>
    </w:p>
    <w:p w14:paraId="69F82837" w14:textId="0344717F" w:rsidR="00DA0BBE" w:rsidRDefault="00DA0BBE" w:rsidP="00977AB6">
      <w:pPr>
        <w:sectPr w:rsidR="00DA0BBE" w:rsidSect="00224B49">
          <w:headerReference w:type="first" r:id="rId26"/>
          <w:footerReference w:type="first" r:id="rId27"/>
          <w:pgSz w:w="11906" w:h="16838"/>
          <w:pgMar w:top="1276" w:right="1440" w:bottom="1440" w:left="1440" w:header="708" w:footer="708" w:gutter="0"/>
          <w:pgNumType w:start="1"/>
          <w:cols w:space="708"/>
          <w:titlePg/>
          <w:docGrid w:linePitch="360"/>
        </w:sectPr>
      </w:pPr>
    </w:p>
    <w:p w14:paraId="37C1C26E" w14:textId="6E5F5AAC" w:rsidR="00743D0D" w:rsidRPr="00743D0D" w:rsidRDefault="00F36403" w:rsidP="005038E1">
      <w:pPr>
        <w:pStyle w:val="Heading1"/>
        <w:rPr>
          <w:rStyle w:val="Heading2Char"/>
          <w:rFonts w:eastAsiaTheme="minorHAnsi"/>
          <w:b/>
          <w:kern w:val="2"/>
          <w:sz w:val="36"/>
          <w:szCs w:val="36"/>
          <w:lang w:eastAsia="en-US"/>
          <w14:ligatures w14:val="standardContextual"/>
        </w:rPr>
      </w:pPr>
      <w:bookmarkStart w:id="29" w:name="_Toc224223234"/>
      <w:r>
        <w:lastRenderedPageBreak/>
        <w:t xml:space="preserve">Appendix </w:t>
      </w:r>
      <w:r w:rsidR="00085BA0">
        <w:t>B</w:t>
      </w:r>
      <w:bookmarkStart w:id="30" w:name="_High_level_project"/>
      <w:bookmarkEnd w:id="29"/>
      <w:bookmarkEnd w:id="30"/>
    </w:p>
    <w:p w14:paraId="15E37C7D" w14:textId="16B13769" w:rsidR="002D02F3" w:rsidRPr="00743D0D" w:rsidRDefault="002A6FCE" w:rsidP="005038E1">
      <w:pPr>
        <w:pStyle w:val="Heading1"/>
        <w:rPr>
          <w:rFonts w:eastAsiaTheme="minorEastAsia"/>
          <w:b w:val="0"/>
          <w:kern w:val="0"/>
          <w:sz w:val="28"/>
          <w:szCs w:val="22"/>
          <w:lang w:eastAsia="en-AU"/>
          <w14:ligatures w14:val="none"/>
        </w:rPr>
      </w:pPr>
      <w:bookmarkStart w:id="31" w:name="_Toc224223235"/>
      <w:r w:rsidRPr="005038E1">
        <w:rPr>
          <w:rStyle w:val="Heading2Char"/>
        </w:rPr>
        <w:t>High level project timeline</w:t>
      </w:r>
      <w:r w:rsidR="00743D0D">
        <w:rPr>
          <w:noProof/>
        </w:rPr>
        <w:drawing>
          <wp:anchor distT="0" distB="0" distL="114300" distR="114300" simplePos="0" relativeHeight="251659264" behindDoc="0" locked="0" layoutInCell="1" allowOverlap="1" wp14:anchorId="696EC724" wp14:editId="64551B59">
            <wp:simplePos x="0" y="0"/>
            <wp:positionH relativeFrom="column">
              <wp:posOffset>-750570</wp:posOffset>
            </wp:positionH>
            <wp:positionV relativeFrom="paragraph">
              <wp:posOffset>499888</wp:posOffset>
            </wp:positionV>
            <wp:extent cx="10411003" cy="4299045"/>
            <wp:effectExtent l="0" t="0" r="0" b="6350"/>
            <wp:wrapNone/>
            <wp:docPr id="1038922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11003" cy="42990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1"/>
    </w:p>
    <w:sectPr w:rsidR="002D02F3" w:rsidRPr="00743D0D" w:rsidSect="00B548C7">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5BDF" w14:textId="77777777" w:rsidR="001B5E72" w:rsidRDefault="001B5E72" w:rsidP="00712838">
      <w:pPr>
        <w:spacing w:after="0" w:line="240" w:lineRule="auto"/>
      </w:pPr>
      <w:r>
        <w:separator/>
      </w:r>
    </w:p>
  </w:endnote>
  <w:endnote w:type="continuationSeparator" w:id="0">
    <w:p w14:paraId="087151F8" w14:textId="77777777" w:rsidR="001B5E72" w:rsidRDefault="001B5E72" w:rsidP="0071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4434" w14:textId="77777777" w:rsidR="00712838" w:rsidRDefault="00005EEC">
    <w:pPr>
      <w:pStyle w:val="Footer"/>
      <w:framePr w:wrap="around" w:vAnchor="text" w:hAnchor="margin" w:xAlign="right" w:y="1"/>
      <w:rPr>
        <w:rStyle w:val="PageNumber"/>
      </w:rPr>
    </w:pPr>
    <w:r>
      <w:rPr>
        <w:noProof/>
        <w14:ligatures w14:val="standardContextual"/>
      </w:rPr>
      <mc:AlternateContent>
        <mc:Choice Requires="wps">
          <w:drawing>
            <wp:anchor distT="0" distB="0" distL="0" distR="0" simplePos="0" relativeHeight="251658752" behindDoc="0" locked="0" layoutInCell="1" allowOverlap="1" wp14:anchorId="3C413DE6" wp14:editId="2DF0644B">
              <wp:simplePos x="635" y="635"/>
              <wp:positionH relativeFrom="page">
                <wp:align>center</wp:align>
              </wp:positionH>
              <wp:positionV relativeFrom="page">
                <wp:align>bottom</wp:align>
              </wp:positionV>
              <wp:extent cx="622300" cy="391160"/>
              <wp:effectExtent l="0" t="0" r="6350" b="0"/>
              <wp:wrapNone/>
              <wp:docPr id="91207190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ACCF6F4" w14:textId="77777777" w:rsidR="00005EEC" w:rsidRPr="00005EEC" w:rsidRDefault="00005EEC"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413DE6" id="_x0000_t202" coordsize="21600,21600" o:spt="202" path="m,l,21600r21600,l21600,xe">
              <v:stroke joinstyle="miter"/>
              <v:path gradientshapeok="t" o:connecttype="rect"/>
            </v:shapetype>
            <v:shape id="Text Box 13" o:spid="_x0000_s1028" type="#_x0000_t202" alt="OFFICIAL" style="position:absolute;margin-left:0;margin-top:0;width:49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1ACCF6F4" w14:textId="77777777" w:rsidR="00005EEC" w:rsidRPr="00005EEC" w:rsidRDefault="00005EEC"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v:textbox>
              <w10:wrap anchorx="page" anchory="page"/>
            </v:shape>
          </w:pict>
        </mc:Fallback>
      </mc:AlternateContent>
    </w:r>
    <w:r w:rsidR="00712838">
      <w:rPr>
        <w:rStyle w:val="PageNumber"/>
      </w:rPr>
      <w:fldChar w:fldCharType="begin"/>
    </w:r>
    <w:r w:rsidR="00712838">
      <w:rPr>
        <w:rStyle w:val="PageNumber"/>
      </w:rPr>
      <w:instrText xml:space="preserve">PAGE  </w:instrText>
    </w:r>
    <w:r w:rsidR="00712838">
      <w:rPr>
        <w:rStyle w:val="PageNumber"/>
      </w:rPr>
      <w:fldChar w:fldCharType="separate"/>
    </w:r>
    <w:r>
      <w:rPr>
        <w:rStyle w:val="PageNumber"/>
        <w:noProof/>
      </w:rPr>
      <w:t>2</w:t>
    </w:r>
    <w:r w:rsidR="00712838">
      <w:rPr>
        <w:rStyle w:val="PageNumber"/>
      </w:rPr>
      <w:fldChar w:fldCharType="end"/>
    </w:r>
  </w:p>
  <w:p w14:paraId="32695762" w14:textId="77777777" w:rsidR="00712838" w:rsidRDefault="007128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337484"/>
      <w:docPartObj>
        <w:docPartGallery w:val="Page Numbers (Bottom of Page)"/>
        <w:docPartUnique/>
      </w:docPartObj>
    </w:sdtPr>
    <w:sdtContent>
      <w:sdt>
        <w:sdtPr>
          <w:id w:val="1326940407"/>
          <w:docPartObj>
            <w:docPartGallery w:val="Page Numbers (Top of Page)"/>
            <w:docPartUnique/>
          </w:docPartObj>
        </w:sdtPr>
        <w:sdtContent>
          <w:p w14:paraId="6776C284" w14:textId="290B22DD" w:rsidR="00CD089D" w:rsidRDefault="003314EB" w:rsidP="00186CEB">
            <w:pPr>
              <w:pStyle w:val="Footer"/>
            </w:pPr>
            <w:r w:rsidRPr="00A31ACB">
              <w:rPr>
                <w:i/>
                <w:iCs/>
              </w:rPr>
              <w:t>Inspector-General of Biosecurity Review Work Plan</w:t>
            </w:r>
            <w:r>
              <w:tab/>
            </w:r>
            <w:r w:rsidRPr="00023E00">
              <w:t xml:space="preserve">Page </w:t>
            </w:r>
            <w:r>
              <w:fldChar w:fldCharType="begin"/>
            </w:r>
            <w:r>
              <w:instrText xml:space="preserve"> </w:instrText>
            </w:r>
            <w:r w:rsidRPr="00023E00">
              <w:instrText xml:space="preserve">PAGE </w:instrText>
            </w:r>
            <w:r>
              <w:fldChar w:fldCharType="separate"/>
            </w:r>
            <w:r>
              <w:t>1</w:t>
            </w:r>
            <w:r>
              <w:fldChar w:fldCharType="end"/>
            </w:r>
            <w:r w:rsidRPr="00023E00">
              <w:t xml:space="preserve"> of </w:t>
            </w:r>
            <w:r w:rsidR="00B548C7">
              <w:fldChar w:fldCharType="begin"/>
            </w:r>
            <w:r w:rsidR="00B548C7">
              <w:instrText xml:space="preserve"> = </w:instrText>
            </w:r>
            <w:r w:rsidR="00B548C7">
              <w:fldChar w:fldCharType="begin"/>
            </w:r>
            <w:r w:rsidR="00B548C7">
              <w:instrText xml:space="preserve">NUMPAGES </w:instrText>
            </w:r>
            <w:r w:rsidR="00B548C7">
              <w:fldChar w:fldCharType="separate"/>
            </w:r>
            <w:r w:rsidR="002D6189">
              <w:rPr>
                <w:noProof/>
              </w:rPr>
              <w:instrText>10</w:instrText>
            </w:r>
            <w:r w:rsidR="00B548C7">
              <w:fldChar w:fldCharType="end"/>
            </w:r>
            <w:r w:rsidR="00B548C7">
              <w:instrText xml:space="preserve">  - 1 </w:instrText>
            </w:r>
            <w:r w:rsidR="00B548C7">
              <w:fldChar w:fldCharType="separate"/>
            </w:r>
            <w:r w:rsidR="002D6189">
              <w:rPr>
                <w:noProof/>
              </w:rPr>
              <w:t>9</w:t>
            </w:r>
            <w:r w:rsidR="00B548C7">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10885"/>
      <w:docPartObj>
        <w:docPartGallery w:val="Page Numbers (Bottom of Page)"/>
        <w:docPartUnique/>
      </w:docPartObj>
    </w:sdtPr>
    <w:sdtContent>
      <w:sdt>
        <w:sdtPr>
          <w:id w:val="-1769616900"/>
          <w:docPartObj>
            <w:docPartGallery w:val="Page Numbers (Top of Page)"/>
            <w:docPartUnique/>
          </w:docPartObj>
        </w:sdtPr>
        <w:sdtContent>
          <w:p w14:paraId="54045F0A" w14:textId="2083CCE2" w:rsidR="00707D05" w:rsidRDefault="00707D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FBB444" w14:textId="77777777" w:rsidR="00F75E4E" w:rsidRDefault="00F75E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DB8D" w14:textId="4BBC9FB3" w:rsidR="00750B9D" w:rsidRDefault="00750B9D">
    <w:pPr>
      <w:pStyle w:val="Footer"/>
      <w:jc w:val="right"/>
    </w:pPr>
  </w:p>
  <w:p w14:paraId="1FF5A650" w14:textId="77777777" w:rsidR="00750B9D" w:rsidRDefault="00750B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9BBD" w14:textId="70C61560" w:rsidR="000F46B8" w:rsidRPr="00A31ACB" w:rsidRDefault="00A31ACB" w:rsidP="00186CEB">
    <w:pPr>
      <w:pStyle w:val="Footer"/>
    </w:pPr>
    <w:r w:rsidRPr="00A31ACB">
      <w:rPr>
        <w:i/>
        <w:iCs/>
      </w:rPr>
      <w:t>Inspector-General of Biosecurity Review Work Plan</w:t>
    </w:r>
    <w:r w:rsidR="00C54169">
      <w:tab/>
    </w:r>
    <w:r w:rsidR="00186CEB">
      <w:t xml:space="preserve"> </w:t>
    </w:r>
    <w:r w:rsidRPr="00023E00">
      <w:t xml:space="preserve">Page </w:t>
    </w:r>
    <w:r>
      <w:fldChar w:fldCharType="begin"/>
    </w:r>
    <w:r>
      <w:instrText xml:space="preserve"> </w:instrText>
    </w:r>
    <w:r w:rsidRPr="00023E00">
      <w:instrText xml:space="preserve">PAGE </w:instrText>
    </w:r>
    <w:r>
      <w:fldChar w:fldCharType="separate"/>
    </w:r>
    <w:r>
      <w:t>1</w:t>
    </w:r>
    <w:r>
      <w:fldChar w:fldCharType="end"/>
    </w:r>
    <w:r w:rsidRPr="00023E00">
      <w:t xml:space="preserve"> of</w:t>
    </w:r>
    <w:r w:rsidR="00202C54">
      <w:t xml:space="preserve"> </w:t>
    </w:r>
    <w:r w:rsidR="00202C54">
      <w:fldChar w:fldCharType="begin"/>
    </w:r>
    <w:r w:rsidR="00202C54">
      <w:instrText xml:space="preserve"> = </w:instrText>
    </w:r>
    <w:r w:rsidR="00202C54">
      <w:fldChar w:fldCharType="begin"/>
    </w:r>
    <w:r w:rsidR="00202C54">
      <w:instrText xml:space="preserve">NUMPAGES </w:instrText>
    </w:r>
    <w:r w:rsidR="00202C54">
      <w:fldChar w:fldCharType="separate"/>
    </w:r>
    <w:r w:rsidR="002D6189">
      <w:rPr>
        <w:noProof/>
      </w:rPr>
      <w:instrText>10</w:instrText>
    </w:r>
    <w:r w:rsidR="00202C54">
      <w:fldChar w:fldCharType="end"/>
    </w:r>
    <w:r w:rsidR="00202C54">
      <w:instrText xml:space="preserve">  - 1 </w:instrText>
    </w:r>
    <w:r w:rsidR="00202C54">
      <w:fldChar w:fldCharType="separate"/>
    </w:r>
    <w:r w:rsidR="002D6189">
      <w:rPr>
        <w:noProof/>
      </w:rPr>
      <w:t>9</w:t>
    </w:r>
    <w:r w:rsidR="00202C54">
      <w:fldChar w:fldCharType="end"/>
    </w:r>
    <w:r w:rsidRPr="00023E0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FE89" w14:textId="77777777" w:rsidR="001B5E72" w:rsidRDefault="001B5E72" w:rsidP="00712838">
      <w:pPr>
        <w:spacing w:after="0" w:line="240" w:lineRule="auto"/>
      </w:pPr>
      <w:r>
        <w:separator/>
      </w:r>
    </w:p>
  </w:footnote>
  <w:footnote w:type="continuationSeparator" w:id="0">
    <w:p w14:paraId="207155C6" w14:textId="77777777" w:rsidR="001B5E72" w:rsidRDefault="001B5E72" w:rsidP="00712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D637" w14:textId="77777777" w:rsidR="00712838" w:rsidRDefault="00005EEC">
    <w:pPr>
      <w:pStyle w:val="Header"/>
    </w:pPr>
    <w:r>
      <w:rPr>
        <w:noProof/>
        <w14:ligatures w14:val="standardContextual"/>
      </w:rPr>
      <mc:AlternateContent>
        <mc:Choice Requires="wps">
          <w:drawing>
            <wp:anchor distT="0" distB="0" distL="0" distR="0" simplePos="0" relativeHeight="251656704" behindDoc="0" locked="0" layoutInCell="1" allowOverlap="1" wp14:anchorId="237DEE6D" wp14:editId="31309FAB">
              <wp:simplePos x="635" y="635"/>
              <wp:positionH relativeFrom="page">
                <wp:align>center</wp:align>
              </wp:positionH>
              <wp:positionV relativeFrom="page">
                <wp:align>top</wp:align>
              </wp:positionV>
              <wp:extent cx="622300" cy="391160"/>
              <wp:effectExtent l="0" t="0" r="6350" b="8890"/>
              <wp:wrapNone/>
              <wp:docPr id="194574572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16F9ECC" w14:textId="77777777" w:rsidR="00005EEC" w:rsidRPr="00005EEC" w:rsidRDefault="00005EEC"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DEE6D" id="_x0000_t202" coordsize="21600,21600" o:spt="202" path="m,l,21600r21600,l21600,xe">
              <v:stroke joinstyle="miter"/>
              <v:path gradientshapeok="t" o:connecttype="rect"/>
            </v:shapetype>
            <v:shape id="Text Box 10" o:spid="_x0000_s1026" type="#_x0000_t202" alt="OFFICIAL" style="position:absolute;margin-left:0;margin-top:0;width:49pt;height:30.8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216F9ECC" w14:textId="77777777" w:rsidR="00005EEC" w:rsidRPr="00005EEC" w:rsidRDefault="00005EEC"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CAFA" w14:textId="5FA30158" w:rsidR="00712838" w:rsidRDefault="00005EEC" w:rsidP="001A3CDF">
    <w:pPr>
      <w:ind w:left="-284"/>
      <w:rPr>
        <w:b/>
        <w:smallCaps/>
        <w:spacing w:val="20"/>
        <w:sz w:val="20"/>
        <w:szCs w:val="20"/>
      </w:rPr>
    </w:pPr>
    <w:r>
      <w:rPr>
        <w:b/>
        <w:smallCaps/>
        <w:noProof/>
        <w:spacing w:val="20"/>
        <w:sz w:val="20"/>
        <w:szCs w:val="20"/>
        <w14:ligatures w14:val="standardContextual"/>
      </w:rPr>
      <mc:AlternateContent>
        <mc:Choice Requires="wps">
          <w:drawing>
            <wp:anchor distT="0" distB="0" distL="0" distR="0" simplePos="0" relativeHeight="251657728" behindDoc="0" locked="0" layoutInCell="1" allowOverlap="1" wp14:anchorId="316A3552" wp14:editId="528C483B">
              <wp:simplePos x="635" y="635"/>
              <wp:positionH relativeFrom="page">
                <wp:align>center</wp:align>
              </wp:positionH>
              <wp:positionV relativeFrom="page">
                <wp:align>top</wp:align>
              </wp:positionV>
              <wp:extent cx="622300" cy="391160"/>
              <wp:effectExtent l="0" t="0" r="6350" b="8890"/>
              <wp:wrapNone/>
              <wp:docPr id="25227302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0768A42" w14:textId="77777777" w:rsidR="00005EEC" w:rsidRPr="00005EEC" w:rsidRDefault="00005EEC"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A3552" id="_x0000_t202" coordsize="21600,21600" o:spt="202" path="m,l,21600r21600,l21600,xe">
              <v:stroke joinstyle="miter"/>
              <v:path gradientshapeok="t" o:connecttype="rect"/>
            </v:shapetype>
            <v:shape id="Text Box 11" o:spid="_x0000_s1027" type="#_x0000_t202" alt="OFFICIAL" style="position:absolute;left:0;text-align:left;margin-left:0;margin-top:0;width:49pt;height:30.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70768A42" w14:textId="77777777" w:rsidR="00005EEC" w:rsidRPr="00005EEC" w:rsidRDefault="00005EEC"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B9D0" w14:textId="6056AC14" w:rsidR="00712838" w:rsidRDefault="00005EEC">
    <w:pPr>
      <w:pStyle w:val="Header"/>
    </w:pPr>
    <w:r>
      <w:rPr>
        <w:noProof/>
        <w14:ligatures w14:val="standardContextual"/>
      </w:rPr>
      <mc:AlternateContent>
        <mc:Choice Requires="wps">
          <w:drawing>
            <wp:anchor distT="0" distB="0" distL="0" distR="0" simplePos="0" relativeHeight="251654656" behindDoc="0" locked="0" layoutInCell="1" allowOverlap="1" wp14:anchorId="6BCD1BE7" wp14:editId="36B4700B">
              <wp:simplePos x="635" y="635"/>
              <wp:positionH relativeFrom="page">
                <wp:align>center</wp:align>
              </wp:positionH>
              <wp:positionV relativeFrom="page">
                <wp:align>top</wp:align>
              </wp:positionV>
              <wp:extent cx="622300" cy="391160"/>
              <wp:effectExtent l="0" t="0" r="6350" b="8890"/>
              <wp:wrapNone/>
              <wp:docPr id="62216877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FE6452B" w14:textId="77777777" w:rsidR="00005EEC" w:rsidRPr="00005EEC" w:rsidRDefault="00005EEC"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D1BE7" id="_x0000_t202" coordsize="21600,21600" o:spt="202" path="m,l,21600r21600,l21600,xe">
              <v:stroke joinstyle="miter"/>
              <v:path gradientshapeok="t" o:connecttype="rect"/>
            </v:shapetype>
            <v:shape id="Text Box 9" o:spid="_x0000_s1029" type="#_x0000_t202" alt="OFFICIAL" style="position:absolute;margin-left:0;margin-top:0;width:49pt;height:30.8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a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T83H6LdRHWsrDie/g5Kql1msR8Fl4IpimJdHi&#10;Ex3aQF9xOFucNeB//s0f8wl3inLWk2AqbknRnJnvlviI2kpGcZt/jmD40b0dDbvv7oFkWNCLcDKZ&#10;MQ/NaGoP3SvJeRkbUUhYSe0qjqN5jyfl0nOQarlMSSQjJ3BtN07G0hGuiOXL8Cq8OwOOxNQjjGoS&#10;5TvcT7nxZnDLPRL6iZQI7QnIM+IkwcTV+blEjb/9T1nXR734BQ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El0FNoMAgAAHAQAAA4A&#10;AAAAAAAAAAAAAAAALgIAAGRycy9lMm9Eb2MueG1sUEsBAi0AFAAGAAgAAAAhAGGiSGjYAAAAAwEA&#10;AA8AAAAAAAAAAAAAAAAAZgQAAGRycy9kb3ducmV2LnhtbFBLBQYAAAAABAAEAPMAAABrBQAAAAA=&#10;" filled="f" stroked="f">
              <v:textbox style="mso-fit-shape-to-text:t" inset="0,15pt,0,0">
                <w:txbxContent>
                  <w:p w14:paraId="6FE6452B" w14:textId="77777777" w:rsidR="00005EEC" w:rsidRPr="00005EEC" w:rsidRDefault="00005EEC"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v:textbox>
              <w10:wrap anchorx="page" anchory="page"/>
            </v:shape>
          </w:pict>
        </mc:Fallback>
      </mc:AlternateContent>
    </w:r>
    <w:r w:rsidR="00186CEB">
      <w:rPr>
        <w:noProof/>
      </w:rPr>
      <w:drawing>
        <wp:inline distT="0" distB="0" distL="0" distR="0" wp14:anchorId="78147613" wp14:editId="44029C95">
          <wp:extent cx="2783758" cy="571500"/>
          <wp:effectExtent l="0" t="0" r="0" b="0"/>
          <wp:docPr id="97599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288" cy="573662"/>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0DBD" w14:textId="41EDA235" w:rsidR="00D867DB" w:rsidRDefault="00186CEB">
    <w:pPr>
      <w:pStyle w:val="Header"/>
    </w:pPr>
    <w:r>
      <w:rPr>
        <w:noProof/>
      </w:rPr>
      <w:drawing>
        <wp:inline distT="0" distB="0" distL="0" distR="0" wp14:anchorId="5474AC23" wp14:editId="1AFC8F3D">
          <wp:extent cx="2783758" cy="571500"/>
          <wp:effectExtent l="0" t="0" r="0" b="0"/>
          <wp:docPr id="683062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288" cy="573662"/>
                  </a:xfrm>
                  <a:prstGeom prst="rect">
                    <a:avLst/>
                  </a:prstGeom>
                  <a:noFill/>
                  <a:ln>
                    <a:noFill/>
                  </a:ln>
                </pic:spPr>
              </pic:pic>
            </a:graphicData>
          </a:graphic>
        </wp:inline>
      </w:drawing>
    </w:r>
    <w:r w:rsidR="00D867DB">
      <w:rPr>
        <w:noProof/>
        <w14:ligatures w14:val="standardContextual"/>
      </w:rPr>
      <mc:AlternateContent>
        <mc:Choice Requires="wps">
          <w:drawing>
            <wp:anchor distT="0" distB="0" distL="0" distR="0" simplePos="0" relativeHeight="251659776" behindDoc="0" locked="0" layoutInCell="1" allowOverlap="1" wp14:anchorId="7FA4BA90" wp14:editId="6D961B46">
              <wp:simplePos x="635" y="635"/>
              <wp:positionH relativeFrom="page">
                <wp:align>center</wp:align>
              </wp:positionH>
              <wp:positionV relativeFrom="page">
                <wp:align>top</wp:align>
              </wp:positionV>
              <wp:extent cx="622300" cy="391160"/>
              <wp:effectExtent l="0" t="0" r="6350" b="8890"/>
              <wp:wrapNone/>
              <wp:docPr id="109512650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3F5A966" w14:textId="77777777" w:rsidR="00D867DB" w:rsidRPr="00005EEC" w:rsidRDefault="00D867DB"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A4BA90" id="_x0000_t202" coordsize="21600,21600" o:spt="202" path="m,l,21600r21600,l21600,xe">
              <v:stroke joinstyle="miter"/>
              <v:path gradientshapeok="t" o:connecttype="rect"/>
            </v:shapetype>
            <v:shape id="_x0000_s1030" type="#_x0000_t202" alt="OFFICIAL" style="position:absolute;margin-left:0;margin-top:0;width:49pt;height:30.8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63F5A966" w14:textId="77777777" w:rsidR="00D867DB" w:rsidRPr="00005EEC" w:rsidRDefault="00D867DB"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E448" w14:textId="2E6719A8" w:rsidR="00D867DB" w:rsidRDefault="00D867DB" w:rsidP="00D867DB">
    <w:pPr>
      <w:pStyle w:val="Header"/>
      <w:tabs>
        <w:tab w:val="clear" w:pos="8306"/>
        <w:tab w:val="left" w:pos="7568"/>
      </w:tabs>
    </w:pPr>
    <w:r>
      <w:rPr>
        <w:noProof/>
        <w14:ligatures w14:val="standardContextual"/>
      </w:rPr>
      <mc:AlternateContent>
        <mc:Choice Requires="wps">
          <w:drawing>
            <wp:anchor distT="0" distB="0" distL="0" distR="0" simplePos="0" relativeHeight="251655680" behindDoc="0" locked="0" layoutInCell="1" allowOverlap="1" wp14:anchorId="3F3790DF" wp14:editId="51BD985F">
              <wp:simplePos x="635" y="635"/>
              <wp:positionH relativeFrom="page">
                <wp:align>center</wp:align>
              </wp:positionH>
              <wp:positionV relativeFrom="page">
                <wp:align>top</wp:align>
              </wp:positionV>
              <wp:extent cx="622300" cy="391160"/>
              <wp:effectExtent l="0" t="0" r="6350" b="8890"/>
              <wp:wrapNone/>
              <wp:docPr id="138961802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2AC4C16" w14:textId="77777777" w:rsidR="00D867DB" w:rsidRPr="00005EEC" w:rsidRDefault="00D867DB"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3790DF" id="_x0000_t202" coordsize="21600,21600" o:spt="202" path="m,l,21600r21600,l21600,xe">
              <v:stroke joinstyle="miter"/>
              <v:path gradientshapeok="t" o:connecttype="rect"/>
            </v:shapetype>
            <v:shape id="_x0000_s1031" type="#_x0000_t202" alt="OFFICIAL" style="position:absolute;margin-left:0;margin-top:0;width:49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n97tXDQIAABwEAAAO&#10;AAAAAAAAAAAAAAAAAC4CAABkcnMvZTJvRG9jLnhtbFBLAQItABQABgAIAAAAIQBhokho2AAAAAMB&#10;AAAPAAAAAAAAAAAAAAAAAGcEAABkcnMvZG93bnJldi54bWxQSwUGAAAAAAQABADzAAAAbAUAAAAA&#10;" filled="f" stroked="f">
              <v:textbox style="mso-fit-shape-to-text:t" inset="0,15pt,0,0">
                <w:txbxContent>
                  <w:p w14:paraId="12AC4C16" w14:textId="77777777" w:rsidR="00D867DB" w:rsidRPr="00005EEC" w:rsidRDefault="00D867DB" w:rsidP="00005EEC">
                    <w:pPr>
                      <w:spacing w:after="0"/>
                      <w:rPr>
                        <w:rFonts w:ascii="Aptos" w:eastAsia="Aptos" w:hAnsi="Aptos" w:cs="Aptos"/>
                        <w:noProof/>
                        <w:color w:val="FF0000"/>
                        <w:sz w:val="24"/>
                        <w:szCs w:val="24"/>
                      </w:rPr>
                    </w:pPr>
                    <w:r w:rsidRPr="00005EEC">
                      <w:rPr>
                        <w:rFonts w:ascii="Aptos" w:eastAsia="Aptos" w:hAnsi="Aptos" w:cs="Aptos"/>
                        <w:noProof/>
                        <w:color w:val="FF0000"/>
                        <w:sz w:val="24"/>
                        <w:szCs w:val="24"/>
                      </w:rPr>
                      <w:t>OFFICIAL</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ADE905E"/>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8"/>
    <w:multiLevelType w:val="singleLevel"/>
    <w:tmpl w:val="ECBEBFB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9F90FC2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FE024FD"/>
    <w:multiLevelType w:val="hybridMultilevel"/>
    <w:tmpl w:val="4E52FE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C9F7C75"/>
    <w:multiLevelType w:val="hybridMultilevel"/>
    <w:tmpl w:val="30F6A7DC"/>
    <w:lvl w:ilvl="0" w:tplc="1BCA74A8">
      <w:start w:val="1"/>
      <w:numFmt w:val="bullet"/>
      <w:pStyle w:val="bulletlevel1"/>
      <w:lvlText w:val=""/>
      <w:lvlJc w:val="left"/>
      <w:pPr>
        <w:ind w:left="720" w:hanging="360"/>
      </w:pPr>
      <w:rPr>
        <w:rFonts w:ascii="Symbol" w:hAnsi="Symbol"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CC7942"/>
    <w:multiLevelType w:val="hybridMultilevel"/>
    <w:tmpl w:val="49EC4A6A"/>
    <w:lvl w:ilvl="0" w:tplc="735AD258">
      <w:start w:val="1"/>
      <w:numFmt w:val="decimal"/>
      <w:pStyle w:val="Heading9"/>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BB7C8B"/>
    <w:multiLevelType w:val="hybridMultilevel"/>
    <w:tmpl w:val="1C880406"/>
    <w:lvl w:ilvl="0" w:tplc="9BA20EA4">
      <w:start w:val="1"/>
      <w:numFmt w:val="bullet"/>
      <w:pStyle w:val="bulletlevel2"/>
      <w:lvlText w:val="o"/>
      <w:lvlJc w:val="left"/>
      <w:pPr>
        <w:ind w:left="1146"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5431038">
    <w:abstractNumId w:val="2"/>
  </w:num>
  <w:num w:numId="2" w16cid:durableId="1274046571">
    <w:abstractNumId w:val="2"/>
  </w:num>
  <w:num w:numId="3" w16cid:durableId="1145465859">
    <w:abstractNumId w:val="0"/>
  </w:num>
  <w:num w:numId="4" w16cid:durableId="205221113">
    <w:abstractNumId w:val="0"/>
  </w:num>
  <w:num w:numId="5" w16cid:durableId="725033822">
    <w:abstractNumId w:val="4"/>
  </w:num>
  <w:num w:numId="6" w16cid:durableId="33968925">
    <w:abstractNumId w:val="6"/>
  </w:num>
  <w:num w:numId="7" w16cid:durableId="715474661">
    <w:abstractNumId w:val="3"/>
  </w:num>
  <w:num w:numId="8" w16cid:durableId="1224294190">
    <w:abstractNumId w:val="1"/>
  </w:num>
  <w:num w:numId="9" w16cid:durableId="190265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E2"/>
    <w:rsid w:val="00005C4A"/>
    <w:rsid w:val="00005EEC"/>
    <w:rsid w:val="00014E35"/>
    <w:rsid w:val="00023E00"/>
    <w:rsid w:val="000307FA"/>
    <w:rsid w:val="00033D8D"/>
    <w:rsid w:val="00036C12"/>
    <w:rsid w:val="000426CB"/>
    <w:rsid w:val="00045ACE"/>
    <w:rsid w:val="00050D38"/>
    <w:rsid w:val="00053047"/>
    <w:rsid w:val="000534A8"/>
    <w:rsid w:val="00056623"/>
    <w:rsid w:val="00056A0D"/>
    <w:rsid w:val="00056F47"/>
    <w:rsid w:val="00064191"/>
    <w:rsid w:val="00065775"/>
    <w:rsid w:val="00066040"/>
    <w:rsid w:val="0006729D"/>
    <w:rsid w:val="00067556"/>
    <w:rsid w:val="00076C0F"/>
    <w:rsid w:val="00081A50"/>
    <w:rsid w:val="00085BA0"/>
    <w:rsid w:val="00087CB9"/>
    <w:rsid w:val="00094F59"/>
    <w:rsid w:val="00096C29"/>
    <w:rsid w:val="000A3239"/>
    <w:rsid w:val="000A6DE3"/>
    <w:rsid w:val="000A7926"/>
    <w:rsid w:val="000C0D1E"/>
    <w:rsid w:val="000C1148"/>
    <w:rsid w:val="000C56C6"/>
    <w:rsid w:val="000E2F44"/>
    <w:rsid w:val="000E4441"/>
    <w:rsid w:val="000F46B8"/>
    <w:rsid w:val="000F62EF"/>
    <w:rsid w:val="0010520A"/>
    <w:rsid w:val="001129E4"/>
    <w:rsid w:val="00112ECC"/>
    <w:rsid w:val="001200C7"/>
    <w:rsid w:val="00123A4E"/>
    <w:rsid w:val="00125D26"/>
    <w:rsid w:val="001266D5"/>
    <w:rsid w:val="00143AA3"/>
    <w:rsid w:val="00144226"/>
    <w:rsid w:val="00144418"/>
    <w:rsid w:val="00145B9F"/>
    <w:rsid w:val="00147FDD"/>
    <w:rsid w:val="00151F10"/>
    <w:rsid w:val="001526B0"/>
    <w:rsid w:val="001762F4"/>
    <w:rsid w:val="00180647"/>
    <w:rsid w:val="001861F3"/>
    <w:rsid w:val="00186CEB"/>
    <w:rsid w:val="001911C6"/>
    <w:rsid w:val="00191504"/>
    <w:rsid w:val="001960A8"/>
    <w:rsid w:val="001A3CDF"/>
    <w:rsid w:val="001B339D"/>
    <w:rsid w:val="001B4CAD"/>
    <w:rsid w:val="001B5E72"/>
    <w:rsid w:val="001B7625"/>
    <w:rsid w:val="001C27C3"/>
    <w:rsid w:val="001D1609"/>
    <w:rsid w:val="001D2326"/>
    <w:rsid w:val="001D6076"/>
    <w:rsid w:val="001D63BF"/>
    <w:rsid w:val="001E1E08"/>
    <w:rsid w:val="001E72EF"/>
    <w:rsid w:val="00202C54"/>
    <w:rsid w:val="00204993"/>
    <w:rsid w:val="0020622E"/>
    <w:rsid w:val="00206EAF"/>
    <w:rsid w:val="00210105"/>
    <w:rsid w:val="0022140C"/>
    <w:rsid w:val="00222D4C"/>
    <w:rsid w:val="00224B49"/>
    <w:rsid w:val="002263FA"/>
    <w:rsid w:val="00231061"/>
    <w:rsid w:val="00231288"/>
    <w:rsid w:val="00243C34"/>
    <w:rsid w:val="0025142D"/>
    <w:rsid w:val="002660CF"/>
    <w:rsid w:val="00275B2C"/>
    <w:rsid w:val="00283496"/>
    <w:rsid w:val="00287191"/>
    <w:rsid w:val="00290206"/>
    <w:rsid w:val="0029115E"/>
    <w:rsid w:val="00297EBB"/>
    <w:rsid w:val="002A6FCE"/>
    <w:rsid w:val="002B5195"/>
    <w:rsid w:val="002B64BB"/>
    <w:rsid w:val="002B6CD5"/>
    <w:rsid w:val="002C00A8"/>
    <w:rsid w:val="002D02F3"/>
    <w:rsid w:val="002D3253"/>
    <w:rsid w:val="002D6189"/>
    <w:rsid w:val="002E0289"/>
    <w:rsid w:val="002E60F5"/>
    <w:rsid w:val="002F11B3"/>
    <w:rsid w:val="002F1BF0"/>
    <w:rsid w:val="00301762"/>
    <w:rsid w:val="003020C7"/>
    <w:rsid w:val="00304892"/>
    <w:rsid w:val="00311A2C"/>
    <w:rsid w:val="0031296F"/>
    <w:rsid w:val="003227E0"/>
    <w:rsid w:val="003254C1"/>
    <w:rsid w:val="00327C51"/>
    <w:rsid w:val="003314EB"/>
    <w:rsid w:val="003322AD"/>
    <w:rsid w:val="00350367"/>
    <w:rsid w:val="00365E52"/>
    <w:rsid w:val="00371510"/>
    <w:rsid w:val="00384D14"/>
    <w:rsid w:val="00391574"/>
    <w:rsid w:val="00393050"/>
    <w:rsid w:val="003A2DCB"/>
    <w:rsid w:val="003A507B"/>
    <w:rsid w:val="003A78A4"/>
    <w:rsid w:val="003B29DB"/>
    <w:rsid w:val="003C2791"/>
    <w:rsid w:val="003D1208"/>
    <w:rsid w:val="003D2695"/>
    <w:rsid w:val="003E2D37"/>
    <w:rsid w:val="00416B5C"/>
    <w:rsid w:val="004177E1"/>
    <w:rsid w:val="004252C9"/>
    <w:rsid w:val="004279AD"/>
    <w:rsid w:val="00435E74"/>
    <w:rsid w:val="00435FC9"/>
    <w:rsid w:val="00437803"/>
    <w:rsid w:val="00441954"/>
    <w:rsid w:val="004425B0"/>
    <w:rsid w:val="0044269E"/>
    <w:rsid w:val="00443470"/>
    <w:rsid w:val="004440E2"/>
    <w:rsid w:val="0044544A"/>
    <w:rsid w:val="004474AC"/>
    <w:rsid w:val="00453C82"/>
    <w:rsid w:val="00453E65"/>
    <w:rsid w:val="0046211E"/>
    <w:rsid w:val="0046270F"/>
    <w:rsid w:val="00462ABD"/>
    <w:rsid w:val="0047199B"/>
    <w:rsid w:val="00476BF6"/>
    <w:rsid w:val="00480C2B"/>
    <w:rsid w:val="00483084"/>
    <w:rsid w:val="00495E72"/>
    <w:rsid w:val="004A5E1C"/>
    <w:rsid w:val="004B09CA"/>
    <w:rsid w:val="004B5E73"/>
    <w:rsid w:val="004B7AB8"/>
    <w:rsid w:val="004C2F52"/>
    <w:rsid w:val="004C7BE2"/>
    <w:rsid w:val="004D24AE"/>
    <w:rsid w:val="004D3854"/>
    <w:rsid w:val="004D49D0"/>
    <w:rsid w:val="004E3296"/>
    <w:rsid w:val="004E5977"/>
    <w:rsid w:val="004E6826"/>
    <w:rsid w:val="004F03F3"/>
    <w:rsid w:val="004F146D"/>
    <w:rsid w:val="00500AAF"/>
    <w:rsid w:val="005038E1"/>
    <w:rsid w:val="0051679E"/>
    <w:rsid w:val="00524648"/>
    <w:rsid w:val="00524E71"/>
    <w:rsid w:val="00526119"/>
    <w:rsid w:val="0053717C"/>
    <w:rsid w:val="005450D3"/>
    <w:rsid w:val="005506AA"/>
    <w:rsid w:val="00550A48"/>
    <w:rsid w:val="00550E0C"/>
    <w:rsid w:val="00552993"/>
    <w:rsid w:val="00554E54"/>
    <w:rsid w:val="00557642"/>
    <w:rsid w:val="00557A99"/>
    <w:rsid w:val="0056436E"/>
    <w:rsid w:val="00570A47"/>
    <w:rsid w:val="005739BA"/>
    <w:rsid w:val="0057789A"/>
    <w:rsid w:val="00583468"/>
    <w:rsid w:val="00592925"/>
    <w:rsid w:val="005B021A"/>
    <w:rsid w:val="005B0960"/>
    <w:rsid w:val="005B2E5B"/>
    <w:rsid w:val="005B7E68"/>
    <w:rsid w:val="005B7F9A"/>
    <w:rsid w:val="005C090E"/>
    <w:rsid w:val="005D498B"/>
    <w:rsid w:val="005E163B"/>
    <w:rsid w:val="005E1FE8"/>
    <w:rsid w:val="005F04A2"/>
    <w:rsid w:val="005F5C8D"/>
    <w:rsid w:val="005F6B10"/>
    <w:rsid w:val="006063FF"/>
    <w:rsid w:val="006253AD"/>
    <w:rsid w:val="006306B2"/>
    <w:rsid w:val="00637C2C"/>
    <w:rsid w:val="00652400"/>
    <w:rsid w:val="00655969"/>
    <w:rsid w:val="00657AF6"/>
    <w:rsid w:val="00660FE1"/>
    <w:rsid w:val="006808B4"/>
    <w:rsid w:val="0068560E"/>
    <w:rsid w:val="00685B77"/>
    <w:rsid w:val="00685F8F"/>
    <w:rsid w:val="006A274E"/>
    <w:rsid w:val="006A499A"/>
    <w:rsid w:val="006A5527"/>
    <w:rsid w:val="006B6F74"/>
    <w:rsid w:val="006C2C63"/>
    <w:rsid w:val="006C34E8"/>
    <w:rsid w:val="006C4183"/>
    <w:rsid w:val="006C59B8"/>
    <w:rsid w:val="006C79B6"/>
    <w:rsid w:val="006D0197"/>
    <w:rsid w:val="006D2579"/>
    <w:rsid w:val="006D2E32"/>
    <w:rsid w:val="006D7D7F"/>
    <w:rsid w:val="006E4206"/>
    <w:rsid w:val="006F1374"/>
    <w:rsid w:val="006F2DB1"/>
    <w:rsid w:val="006F4ABB"/>
    <w:rsid w:val="006F5739"/>
    <w:rsid w:val="00701C58"/>
    <w:rsid w:val="00703B1A"/>
    <w:rsid w:val="00704052"/>
    <w:rsid w:val="00707D05"/>
    <w:rsid w:val="00710271"/>
    <w:rsid w:val="0071264F"/>
    <w:rsid w:val="00712838"/>
    <w:rsid w:val="00714EEE"/>
    <w:rsid w:val="0071789A"/>
    <w:rsid w:val="00723100"/>
    <w:rsid w:val="007328FE"/>
    <w:rsid w:val="0074081D"/>
    <w:rsid w:val="00743D0D"/>
    <w:rsid w:val="00743D57"/>
    <w:rsid w:val="007506EA"/>
    <w:rsid w:val="00750B9D"/>
    <w:rsid w:val="00752CDE"/>
    <w:rsid w:val="007551B4"/>
    <w:rsid w:val="00765464"/>
    <w:rsid w:val="007872A6"/>
    <w:rsid w:val="00796F5B"/>
    <w:rsid w:val="007A7904"/>
    <w:rsid w:val="007B29B1"/>
    <w:rsid w:val="007B386F"/>
    <w:rsid w:val="007C1886"/>
    <w:rsid w:val="007C3FF8"/>
    <w:rsid w:val="007C7F9F"/>
    <w:rsid w:val="007D1563"/>
    <w:rsid w:val="007D4A7D"/>
    <w:rsid w:val="007D4DB7"/>
    <w:rsid w:val="007F28B8"/>
    <w:rsid w:val="008058DD"/>
    <w:rsid w:val="008123A3"/>
    <w:rsid w:val="0081296D"/>
    <w:rsid w:val="0082058C"/>
    <w:rsid w:val="00824A43"/>
    <w:rsid w:val="008271AE"/>
    <w:rsid w:val="00835C7E"/>
    <w:rsid w:val="0083798C"/>
    <w:rsid w:val="008402F1"/>
    <w:rsid w:val="00841C77"/>
    <w:rsid w:val="00842671"/>
    <w:rsid w:val="00850497"/>
    <w:rsid w:val="00853422"/>
    <w:rsid w:val="00871235"/>
    <w:rsid w:val="008770A4"/>
    <w:rsid w:val="00877F66"/>
    <w:rsid w:val="00881B3B"/>
    <w:rsid w:val="00885BCB"/>
    <w:rsid w:val="00893D07"/>
    <w:rsid w:val="008A587E"/>
    <w:rsid w:val="008C36AA"/>
    <w:rsid w:val="008D1056"/>
    <w:rsid w:val="008D4A73"/>
    <w:rsid w:val="008D5E0F"/>
    <w:rsid w:val="008D74F4"/>
    <w:rsid w:val="008E68F2"/>
    <w:rsid w:val="008F0836"/>
    <w:rsid w:val="00901194"/>
    <w:rsid w:val="009062C0"/>
    <w:rsid w:val="009172DC"/>
    <w:rsid w:val="00921D15"/>
    <w:rsid w:val="009349C8"/>
    <w:rsid w:val="00937E50"/>
    <w:rsid w:val="00945321"/>
    <w:rsid w:val="00953EC2"/>
    <w:rsid w:val="0095660B"/>
    <w:rsid w:val="00967381"/>
    <w:rsid w:val="009673FD"/>
    <w:rsid w:val="00970A36"/>
    <w:rsid w:val="00971D7B"/>
    <w:rsid w:val="009742E0"/>
    <w:rsid w:val="00974A40"/>
    <w:rsid w:val="00977AB6"/>
    <w:rsid w:val="009879C2"/>
    <w:rsid w:val="009900AE"/>
    <w:rsid w:val="00990A50"/>
    <w:rsid w:val="00992BAE"/>
    <w:rsid w:val="009B4140"/>
    <w:rsid w:val="009C41ED"/>
    <w:rsid w:val="009D2003"/>
    <w:rsid w:val="009F0430"/>
    <w:rsid w:val="009F1539"/>
    <w:rsid w:val="009F7B17"/>
    <w:rsid w:val="00A00644"/>
    <w:rsid w:val="00A0579D"/>
    <w:rsid w:val="00A21553"/>
    <w:rsid w:val="00A2622D"/>
    <w:rsid w:val="00A278FA"/>
    <w:rsid w:val="00A31ACB"/>
    <w:rsid w:val="00A31AF6"/>
    <w:rsid w:val="00A31F6F"/>
    <w:rsid w:val="00A32C1D"/>
    <w:rsid w:val="00A44BE2"/>
    <w:rsid w:val="00A514DE"/>
    <w:rsid w:val="00A51713"/>
    <w:rsid w:val="00A5403F"/>
    <w:rsid w:val="00A5524A"/>
    <w:rsid w:val="00A57DB3"/>
    <w:rsid w:val="00A62AB7"/>
    <w:rsid w:val="00A7116B"/>
    <w:rsid w:val="00A716FB"/>
    <w:rsid w:val="00A80E12"/>
    <w:rsid w:val="00A90D6A"/>
    <w:rsid w:val="00A925E2"/>
    <w:rsid w:val="00A97AD5"/>
    <w:rsid w:val="00A97EB5"/>
    <w:rsid w:val="00AA160D"/>
    <w:rsid w:val="00AA1754"/>
    <w:rsid w:val="00AA6C2D"/>
    <w:rsid w:val="00AB0541"/>
    <w:rsid w:val="00AB23BF"/>
    <w:rsid w:val="00AB31D8"/>
    <w:rsid w:val="00AC4357"/>
    <w:rsid w:val="00AD69E8"/>
    <w:rsid w:val="00AF10A6"/>
    <w:rsid w:val="00AF25AD"/>
    <w:rsid w:val="00AF345F"/>
    <w:rsid w:val="00AF664E"/>
    <w:rsid w:val="00B03B14"/>
    <w:rsid w:val="00B13D4C"/>
    <w:rsid w:val="00B25236"/>
    <w:rsid w:val="00B32C16"/>
    <w:rsid w:val="00B34BDD"/>
    <w:rsid w:val="00B352C2"/>
    <w:rsid w:val="00B35799"/>
    <w:rsid w:val="00B4265A"/>
    <w:rsid w:val="00B46107"/>
    <w:rsid w:val="00B46E77"/>
    <w:rsid w:val="00B54777"/>
    <w:rsid w:val="00B548C7"/>
    <w:rsid w:val="00B5740E"/>
    <w:rsid w:val="00B62B92"/>
    <w:rsid w:val="00B63E49"/>
    <w:rsid w:val="00B72E62"/>
    <w:rsid w:val="00B773CD"/>
    <w:rsid w:val="00B818B1"/>
    <w:rsid w:val="00B81AD8"/>
    <w:rsid w:val="00BA1698"/>
    <w:rsid w:val="00BA3A05"/>
    <w:rsid w:val="00BB0ABC"/>
    <w:rsid w:val="00BB1F84"/>
    <w:rsid w:val="00BC606A"/>
    <w:rsid w:val="00BD2A79"/>
    <w:rsid w:val="00BD555F"/>
    <w:rsid w:val="00BD6597"/>
    <w:rsid w:val="00C10857"/>
    <w:rsid w:val="00C10F84"/>
    <w:rsid w:val="00C12D6D"/>
    <w:rsid w:val="00C148F0"/>
    <w:rsid w:val="00C14C23"/>
    <w:rsid w:val="00C22806"/>
    <w:rsid w:val="00C27DB3"/>
    <w:rsid w:val="00C30C65"/>
    <w:rsid w:val="00C314FA"/>
    <w:rsid w:val="00C45262"/>
    <w:rsid w:val="00C54169"/>
    <w:rsid w:val="00C56A80"/>
    <w:rsid w:val="00C570AE"/>
    <w:rsid w:val="00C61D69"/>
    <w:rsid w:val="00C65084"/>
    <w:rsid w:val="00C67D0E"/>
    <w:rsid w:val="00C67F0C"/>
    <w:rsid w:val="00CA0DAB"/>
    <w:rsid w:val="00CA2235"/>
    <w:rsid w:val="00CA24DD"/>
    <w:rsid w:val="00CA6C94"/>
    <w:rsid w:val="00CB1C80"/>
    <w:rsid w:val="00CD089D"/>
    <w:rsid w:val="00CD59FB"/>
    <w:rsid w:val="00CD6A55"/>
    <w:rsid w:val="00CE2163"/>
    <w:rsid w:val="00CF22ED"/>
    <w:rsid w:val="00CF4BFD"/>
    <w:rsid w:val="00CF692F"/>
    <w:rsid w:val="00D036A4"/>
    <w:rsid w:val="00D06866"/>
    <w:rsid w:val="00D12E31"/>
    <w:rsid w:val="00D25144"/>
    <w:rsid w:val="00D26F31"/>
    <w:rsid w:val="00D439ED"/>
    <w:rsid w:val="00D47AA6"/>
    <w:rsid w:val="00D532B6"/>
    <w:rsid w:val="00D53547"/>
    <w:rsid w:val="00D53F2C"/>
    <w:rsid w:val="00D56F39"/>
    <w:rsid w:val="00D7149B"/>
    <w:rsid w:val="00D72AAB"/>
    <w:rsid w:val="00D80D50"/>
    <w:rsid w:val="00D81EA8"/>
    <w:rsid w:val="00D867DB"/>
    <w:rsid w:val="00D976CB"/>
    <w:rsid w:val="00DA0BBE"/>
    <w:rsid w:val="00DA13F3"/>
    <w:rsid w:val="00DA313A"/>
    <w:rsid w:val="00DA5969"/>
    <w:rsid w:val="00DA7626"/>
    <w:rsid w:val="00DB0BD3"/>
    <w:rsid w:val="00DB68EA"/>
    <w:rsid w:val="00DD1FFB"/>
    <w:rsid w:val="00DE367D"/>
    <w:rsid w:val="00DF3E18"/>
    <w:rsid w:val="00DF4CC7"/>
    <w:rsid w:val="00DF6610"/>
    <w:rsid w:val="00E01EA9"/>
    <w:rsid w:val="00E05368"/>
    <w:rsid w:val="00E05AE7"/>
    <w:rsid w:val="00E07EDE"/>
    <w:rsid w:val="00E12920"/>
    <w:rsid w:val="00E16AB0"/>
    <w:rsid w:val="00E23F95"/>
    <w:rsid w:val="00E268CD"/>
    <w:rsid w:val="00E37411"/>
    <w:rsid w:val="00E5456E"/>
    <w:rsid w:val="00E64CB0"/>
    <w:rsid w:val="00E73218"/>
    <w:rsid w:val="00E77372"/>
    <w:rsid w:val="00E86B06"/>
    <w:rsid w:val="00EA04BA"/>
    <w:rsid w:val="00EA052F"/>
    <w:rsid w:val="00EA2B26"/>
    <w:rsid w:val="00EA6EEE"/>
    <w:rsid w:val="00EB7DBA"/>
    <w:rsid w:val="00EB7EAD"/>
    <w:rsid w:val="00EC7394"/>
    <w:rsid w:val="00ED2433"/>
    <w:rsid w:val="00ED3F4F"/>
    <w:rsid w:val="00ED514A"/>
    <w:rsid w:val="00ED5698"/>
    <w:rsid w:val="00EE53E2"/>
    <w:rsid w:val="00EF01B3"/>
    <w:rsid w:val="00EF1398"/>
    <w:rsid w:val="00EF647E"/>
    <w:rsid w:val="00F00666"/>
    <w:rsid w:val="00F008D3"/>
    <w:rsid w:val="00F0123F"/>
    <w:rsid w:val="00F05A36"/>
    <w:rsid w:val="00F10544"/>
    <w:rsid w:val="00F232B2"/>
    <w:rsid w:val="00F25A3A"/>
    <w:rsid w:val="00F300A7"/>
    <w:rsid w:val="00F36403"/>
    <w:rsid w:val="00F3781F"/>
    <w:rsid w:val="00F40300"/>
    <w:rsid w:val="00F454AF"/>
    <w:rsid w:val="00F4684C"/>
    <w:rsid w:val="00F55BC6"/>
    <w:rsid w:val="00F57A1C"/>
    <w:rsid w:val="00F629C3"/>
    <w:rsid w:val="00F63C2E"/>
    <w:rsid w:val="00F661CC"/>
    <w:rsid w:val="00F75D48"/>
    <w:rsid w:val="00F75E4E"/>
    <w:rsid w:val="00F81140"/>
    <w:rsid w:val="00F83501"/>
    <w:rsid w:val="00F84084"/>
    <w:rsid w:val="00F8431A"/>
    <w:rsid w:val="00F90E28"/>
    <w:rsid w:val="00F935F6"/>
    <w:rsid w:val="00F972AE"/>
    <w:rsid w:val="00FB49FC"/>
    <w:rsid w:val="00FD3D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E4DE3"/>
  <w15:chartTrackingRefBased/>
  <w15:docId w15:val="{877FB321-E6E7-4E2F-A599-02C25FEB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07"/>
    <w:pPr>
      <w:spacing w:after="200" w:line="259" w:lineRule="auto"/>
    </w:pPr>
    <w:rPr>
      <w:rFonts w:ascii="Calibri" w:eastAsiaTheme="minorEastAsia" w:hAnsi="Calibri"/>
      <w:kern w:val="0"/>
      <w:sz w:val="22"/>
      <w:szCs w:val="22"/>
      <w:lang w:eastAsia="en-AU"/>
      <w14:ligatures w14:val="none"/>
    </w:rPr>
  </w:style>
  <w:style w:type="paragraph" w:styleId="Heading1">
    <w:name w:val="heading 1"/>
    <w:next w:val="Normal"/>
    <w:link w:val="Heading1Char"/>
    <w:uiPriority w:val="9"/>
    <w:qFormat/>
    <w:rsid w:val="00550E0C"/>
    <w:pPr>
      <w:spacing w:after="0" w:line="240" w:lineRule="auto"/>
      <w:outlineLvl w:val="0"/>
    </w:pPr>
    <w:rPr>
      <w:rFonts w:ascii="Calibri" w:hAnsi="Calibri" w:cs="Calibri"/>
      <w:b/>
      <w:bCs/>
      <w:sz w:val="36"/>
      <w:szCs w:val="36"/>
    </w:rPr>
  </w:style>
  <w:style w:type="paragraph" w:styleId="Heading2">
    <w:name w:val="heading 2"/>
    <w:basedOn w:val="IIGBHeading2"/>
    <w:next w:val="Normal"/>
    <w:link w:val="Heading2Char"/>
    <w:uiPriority w:val="9"/>
    <w:unhideWhenUsed/>
    <w:qFormat/>
    <w:rsid w:val="00EF1398"/>
    <w:pPr>
      <w:spacing w:before="160" w:after="60" w:line="240" w:lineRule="auto"/>
      <w:outlineLvl w:val="1"/>
    </w:pPr>
    <w:rPr>
      <w:rFonts w:asciiTheme="minorHAnsi" w:hAnsiTheme="minorHAnsi"/>
      <w:smallCaps w:val="0"/>
    </w:rPr>
  </w:style>
  <w:style w:type="paragraph" w:styleId="Heading3">
    <w:name w:val="heading 3"/>
    <w:basedOn w:val="Heading5"/>
    <w:next w:val="Normal"/>
    <w:link w:val="Heading3Char"/>
    <w:uiPriority w:val="9"/>
    <w:unhideWhenUsed/>
    <w:qFormat/>
    <w:rsid w:val="00210105"/>
    <w:pPr>
      <w:spacing w:before="160"/>
      <w:outlineLvl w:val="2"/>
    </w:pPr>
  </w:style>
  <w:style w:type="paragraph" w:styleId="Heading4">
    <w:name w:val="heading 4"/>
    <w:basedOn w:val="Normal"/>
    <w:next w:val="Normal"/>
    <w:link w:val="Heading4Char"/>
    <w:uiPriority w:val="9"/>
    <w:semiHidden/>
    <w:unhideWhenUsed/>
    <w:qFormat/>
    <w:rsid w:val="007128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28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28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28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28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712838"/>
    <w:pPr>
      <w:keepNext/>
      <w:keepLines/>
      <w:numPr>
        <w:numId w:val="9"/>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E0C"/>
    <w:rPr>
      <w:rFonts w:ascii="Calibri" w:hAnsi="Calibri" w:cs="Calibri"/>
      <w:b/>
      <w:bCs/>
      <w:sz w:val="36"/>
      <w:szCs w:val="36"/>
    </w:rPr>
  </w:style>
  <w:style w:type="character" w:customStyle="1" w:styleId="Heading2Char">
    <w:name w:val="Heading 2 Char"/>
    <w:basedOn w:val="DefaultParagraphFont"/>
    <w:link w:val="Heading2"/>
    <w:uiPriority w:val="9"/>
    <w:rsid w:val="00D53F2C"/>
    <w:rPr>
      <w:rFonts w:eastAsiaTheme="minorEastAsia"/>
      <w:b/>
      <w:kern w:val="0"/>
      <w:sz w:val="28"/>
      <w:szCs w:val="22"/>
      <w:lang w:eastAsia="en-AU"/>
      <w14:ligatures w14:val="none"/>
    </w:rPr>
  </w:style>
  <w:style w:type="paragraph" w:customStyle="1" w:styleId="PaperSeparator">
    <w:name w:val="Paper Separator"/>
    <w:next w:val="Normal"/>
    <w:qFormat/>
    <w:rsid w:val="00550E0C"/>
    <w:pPr>
      <w:spacing w:before="120" w:after="120" w:line="240" w:lineRule="auto"/>
    </w:pPr>
    <w:rPr>
      <w:rFonts w:ascii="Calibri" w:hAnsi="Calibri" w:cs="Calibri"/>
      <w:b/>
      <w:sz w:val="22"/>
      <w:szCs w:val="22"/>
    </w:rPr>
  </w:style>
  <w:style w:type="paragraph" w:customStyle="1" w:styleId="Notes">
    <w:name w:val="Notes"/>
    <w:next w:val="Normal"/>
    <w:qFormat/>
    <w:rsid w:val="00550E0C"/>
    <w:rPr>
      <w:rFonts w:ascii="Calibri" w:hAnsi="Calibri" w:cs="Calibri"/>
      <w:i/>
      <w:iCs/>
      <w:color w:val="FF0000"/>
      <w:sz w:val="22"/>
      <w:szCs w:val="22"/>
    </w:rPr>
  </w:style>
  <w:style w:type="paragraph" w:customStyle="1" w:styleId="DateDetails">
    <w:name w:val="Date Details"/>
    <w:qFormat/>
    <w:rsid w:val="00550E0C"/>
    <w:pPr>
      <w:spacing w:after="0" w:line="240" w:lineRule="auto"/>
      <w:jc w:val="right"/>
    </w:pPr>
    <w:rPr>
      <w:rFonts w:ascii="Calibri" w:hAnsi="Calibri" w:cs="Calibri"/>
      <w:sz w:val="22"/>
      <w:szCs w:val="22"/>
    </w:rPr>
  </w:style>
  <w:style w:type="paragraph" w:styleId="ListBullet">
    <w:name w:val="List Bullet"/>
    <w:basedOn w:val="Normal"/>
    <w:uiPriority w:val="99"/>
    <w:unhideWhenUsed/>
    <w:rsid w:val="00DD1FFB"/>
    <w:pPr>
      <w:numPr>
        <w:numId w:val="2"/>
      </w:numPr>
      <w:spacing w:before="60" w:after="60"/>
      <w:ind w:left="357" w:hanging="357"/>
    </w:pPr>
  </w:style>
  <w:style w:type="paragraph" w:styleId="ListBullet2">
    <w:name w:val="List Bullet 2"/>
    <w:basedOn w:val="Normal"/>
    <w:uiPriority w:val="99"/>
    <w:unhideWhenUsed/>
    <w:rsid w:val="00D81EA8"/>
    <w:pPr>
      <w:numPr>
        <w:numId w:val="4"/>
      </w:numPr>
      <w:contextualSpacing/>
    </w:pPr>
  </w:style>
  <w:style w:type="character" w:customStyle="1" w:styleId="Heading3Char">
    <w:name w:val="Heading 3 Char"/>
    <w:basedOn w:val="DefaultParagraphFont"/>
    <w:link w:val="Heading3"/>
    <w:uiPriority w:val="9"/>
    <w:rsid w:val="00D53F2C"/>
    <w:rPr>
      <w:rFonts w:eastAsiaTheme="majorEastAsia" w:cstheme="majorBidi"/>
      <w:color w:val="0F4761" w:themeColor="accent1" w:themeShade="BF"/>
      <w:kern w:val="0"/>
      <w:sz w:val="22"/>
      <w:szCs w:val="22"/>
      <w:lang w:eastAsia="en-AU"/>
      <w14:ligatures w14:val="none"/>
    </w:rPr>
  </w:style>
  <w:style w:type="character" w:customStyle="1" w:styleId="Heading4Char">
    <w:name w:val="Heading 4 Char"/>
    <w:basedOn w:val="DefaultParagraphFont"/>
    <w:link w:val="Heading4"/>
    <w:uiPriority w:val="9"/>
    <w:semiHidden/>
    <w:rsid w:val="00712838"/>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712838"/>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712838"/>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12838"/>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12838"/>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rsid w:val="00712838"/>
    <w:rPr>
      <w:rFonts w:eastAsiaTheme="majorEastAsia" w:cstheme="majorBidi"/>
      <w:color w:val="272727" w:themeColor="text1" w:themeTint="D8"/>
      <w:kern w:val="0"/>
      <w:sz w:val="22"/>
      <w:szCs w:val="22"/>
      <w:lang w:eastAsia="en-AU"/>
      <w14:ligatures w14:val="none"/>
    </w:rPr>
  </w:style>
  <w:style w:type="paragraph" w:styleId="Title">
    <w:name w:val="Title"/>
    <w:basedOn w:val="Normal"/>
    <w:next w:val="Normal"/>
    <w:link w:val="TitleChar"/>
    <w:uiPriority w:val="10"/>
    <w:qFormat/>
    <w:rsid w:val="00712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8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838"/>
    <w:pPr>
      <w:spacing w:before="160"/>
      <w:jc w:val="center"/>
    </w:pPr>
    <w:rPr>
      <w:i/>
      <w:iCs/>
      <w:color w:val="404040" w:themeColor="text1" w:themeTint="BF"/>
    </w:rPr>
  </w:style>
  <w:style w:type="character" w:customStyle="1" w:styleId="QuoteChar">
    <w:name w:val="Quote Char"/>
    <w:basedOn w:val="DefaultParagraphFont"/>
    <w:link w:val="Quote"/>
    <w:uiPriority w:val="29"/>
    <w:rsid w:val="00712838"/>
    <w:rPr>
      <w:rFonts w:ascii="Calibri" w:hAnsi="Calibri"/>
      <w:i/>
      <w:iCs/>
      <w:color w:val="404040" w:themeColor="text1" w:themeTint="BF"/>
      <w:sz w:val="22"/>
    </w:rPr>
  </w:style>
  <w:style w:type="paragraph" w:styleId="ListParagraph">
    <w:name w:val="List Paragraph"/>
    <w:basedOn w:val="Normal"/>
    <w:uiPriority w:val="34"/>
    <w:qFormat/>
    <w:rsid w:val="00712838"/>
    <w:pPr>
      <w:ind w:left="720"/>
      <w:contextualSpacing/>
    </w:pPr>
  </w:style>
  <w:style w:type="character" w:styleId="IntenseEmphasis">
    <w:name w:val="Intense Emphasis"/>
    <w:basedOn w:val="DefaultParagraphFont"/>
    <w:uiPriority w:val="21"/>
    <w:qFormat/>
    <w:rsid w:val="00712838"/>
    <w:rPr>
      <w:i/>
      <w:iCs/>
      <w:color w:val="0F4761" w:themeColor="accent1" w:themeShade="BF"/>
    </w:rPr>
  </w:style>
  <w:style w:type="paragraph" w:styleId="IntenseQuote">
    <w:name w:val="Intense Quote"/>
    <w:basedOn w:val="Normal"/>
    <w:next w:val="Normal"/>
    <w:link w:val="IntenseQuoteChar"/>
    <w:uiPriority w:val="30"/>
    <w:qFormat/>
    <w:rsid w:val="00712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838"/>
    <w:rPr>
      <w:rFonts w:ascii="Calibri" w:hAnsi="Calibri"/>
      <w:i/>
      <w:iCs/>
      <w:color w:val="0F4761" w:themeColor="accent1" w:themeShade="BF"/>
      <w:sz w:val="22"/>
    </w:rPr>
  </w:style>
  <w:style w:type="character" w:styleId="IntenseReference">
    <w:name w:val="Intense Reference"/>
    <w:basedOn w:val="DefaultParagraphFont"/>
    <w:uiPriority w:val="32"/>
    <w:qFormat/>
    <w:rsid w:val="00712838"/>
    <w:rPr>
      <w:b/>
      <w:bCs/>
      <w:smallCaps/>
      <w:color w:val="0F4761" w:themeColor="accent1" w:themeShade="BF"/>
      <w:spacing w:val="5"/>
    </w:rPr>
  </w:style>
  <w:style w:type="paragraph" w:styleId="Header">
    <w:name w:val="header"/>
    <w:basedOn w:val="Normal"/>
    <w:link w:val="HeaderChar"/>
    <w:rsid w:val="00712838"/>
    <w:pPr>
      <w:tabs>
        <w:tab w:val="center" w:pos="4153"/>
        <w:tab w:val="right" w:pos="8306"/>
      </w:tabs>
    </w:pPr>
  </w:style>
  <w:style w:type="character" w:customStyle="1" w:styleId="HeaderChar">
    <w:name w:val="Header Char"/>
    <w:basedOn w:val="DefaultParagraphFont"/>
    <w:link w:val="Header"/>
    <w:rsid w:val="00712838"/>
    <w:rPr>
      <w:rFonts w:eastAsiaTheme="minorEastAsia"/>
      <w:kern w:val="0"/>
      <w:sz w:val="22"/>
      <w:szCs w:val="22"/>
      <w:lang w:eastAsia="en-AU"/>
      <w14:ligatures w14:val="none"/>
    </w:rPr>
  </w:style>
  <w:style w:type="paragraph" w:styleId="Footer">
    <w:name w:val="footer"/>
    <w:basedOn w:val="Normal"/>
    <w:link w:val="FooterChar"/>
    <w:uiPriority w:val="99"/>
    <w:rsid w:val="00712838"/>
    <w:pPr>
      <w:tabs>
        <w:tab w:val="center" w:pos="4153"/>
        <w:tab w:val="right" w:pos="8306"/>
      </w:tabs>
    </w:pPr>
  </w:style>
  <w:style w:type="character" w:customStyle="1" w:styleId="FooterChar">
    <w:name w:val="Footer Char"/>
    <w:basedOn w:val="DefaultParagraphFont"/>
    <w:link w:val="Footer"/>
    <w:uiPriority w:val="99"/>
    <w:rsid w:val="00712838"/>
    <w:rPr>
      <w:rFonts w:eastAsiaTheme="minorEastAsia"/>
      <w:kern w:val="0"/>
      <w:sz w:val="22"/>
      <w:szCs w:val="22"/>
      <w:lang w:eastAsia="en-AU"/>
      <w14:ligatures w14:val="none"/>
    </w:rPr>
  </w:style>
  <w:style w:type="paragraph" w:customStyle="1" w:styleId="IIGBHeading2">
    <w:name w:val="IIGB Heading 2"/>
    <w:basedOn w:val="Normal"/>
    <w:rsid w:val="00712838"/>
    <w:pPr>
      <w:spacing w:before="120" w:after="120"/>
    </w:pPr>
    <w:rPr>
      <w:rFonts w:ascii="Palatino Linotype" w:hAnsi="Palatino Linotype"/>
      <w:b/>
      <w:smallCaps/>
      <w:sz w:val="28"/>
    </w:rPr>
  </w:style>
  <w:style w:type="paragraph" w:styleId="Index1">
    <w:name w:val="index 1"/>
    <w:basedOn w:val="Normal"/>
    <w:next w:val="Normal"/>
    <w:rsid w:val="00712838"/>
    <w:pPr>
      <w:tabs>
        <w:tab w:val="left" w:pos="9356"/>
      </w:tabs>
    </w:pPr>
    <w:rPr>
      <w:szCs w:val="20"/>
      <w:lang w:eastAsia="en-US"/>
    </w:rPr>
  </w:style>
  <w:style w:type="character" w:styleId="PageNumber">
    <w:name w:val="page number"/>
    <w:basedOn w:val="DefaultParagraphFont"/>
    <w:rsid w:val="00712838"/>
  </w:style>
  <w:style w:type="paragraph" w:customStyle="1" w:styleId="bulletlevel1">
    <w:name w:val="bullet level 1"/>
    <w:basedOn w:val="Normal"/>
    <w:qFormat/>
    <w:rsid w:val="00712838"/>
    <w:pPr>
      <w:numPr>
        <w:numId w:val="5"/>
      </w:numPr>
      <w:spacing w:before="80" w:after="80" w:line="260" w:lineRule="atLeast"/>
      <w:ind w:left="567" w:hanging="567"/>
    </w:pPr>
    <w:rPr>
      <w:rFonts w:eastAsia="Calibri"/>
      <w:lang w:eastAsia="en-US"/>
    </w:rPr>
  </w:style>
  <w:style w:type="paragraph" w:customStyle="1" w:styleId="bulletlevel2">
    <w:name w:val="bullet level 2"/>
    <w:basedOn w:val="ListParagraph"/>
    <w:qFormat/>
    <w:rsid w:val="00712838"/>
    <w:pPr>
      <w:numPr>
        <w:numId w:val="6"/>
      </w:numPr>
      <w:spacing w:before="80" w:after="80" w:line="260" w:lineRule="atLeast"/>
      <w:contextualSpacing w:val="0"/>
    </w:pPr>
    <w:rPr>
      <w:rFonts w:eastAsia="Calibri"/>
    </w:rPr>
  </w:style>
  <w:style w:type="table" w:styleId="TableGridLight">
    <w:name w:val="Grid Table Light"/>
    <w:basedOn w:val="TableNormal"/>
    <w:uiPriority w:val="40"/>
    <w:rsid w:val="00712838"/>
    <w:pPr>
      <w:spacing w:after="0" w:line="240" w:lineRule="auto"/>
    </w:pPr>
    <w:rPr>
      <w:rFonts w:ascii="Calibri" w:eastAsia="Calibri" w:hAnsi="Calibri" w:cs="Times New Roman"/>
      <w:kern w:val="0"/>
      <w:sz w:val="20"/>
      <w:szCs w:val="20"/>
      <w:lang w:eastAsia="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712838"/>
    <w:rPr>
      <w:i/>
      <w:iCs/>
    </w:rPr>
  </w:style>
  <w:style w:type="character" w:styleId="CommentReference">
    <w:name w:val="annotation reference"/>
    <w:basedOn w:val="DefaultParagraphFont"/>
    <w:uiPriority w:val="99"/>
    <w:semiHidden/>
    <w:unhideWhenUsed/>
    <w:rsid w:val="00712838"/>
    <w:rPr>
      <w:sz w:val="16"/>
      <w:szCs w:val="16"/>
    </w:rPr>
  </w:style>
  <w:style w:type="paragraph" w:styleId="CommentText">
    <w:name w:val="annotation text"/>
    <w:basedOn w:val="Normal"/>
    <w:link w:val="CommentTextChar"/>
    <w:uiPriority w:val="99"/>
    <w:unhideWhenUsed/>
    <w:rsid w:val="00712838"/>
    <w:pPr>
      <w:spacing w:line="240" w:lineRule="auto"/>
    </w:pPr>
    <w:rPr>
      <w:sz w:val="20"/>
      <w:szCs w:val="20"/>
    </w:rPr>
  </w:style>
  <w:style w:type="character" w:customStyle="1" w:styleId="CommentTextChar">
    <w:name w:val="Comment Text Char"/>
    <w:basedOn w:val="DefaultParagraphFont"/>
    <w:link w:val="CommentText"/>
    <w:uiPriority w:val="99"/>
    <w:rsid w:val="00712838"/>
    <w:rPr>
      <w:rFonts w:eastAsiaTheme="minorEastAsia"/>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712838"/>
    <w:rPr>
      <w:b/>
      <w:bCs/>
    </w:rPr>
  </w:style>
  <w:style w:type="character" w:customStyle="1" w:styleId="CommentSubjectChar">
    <w:name w:val="Comment Subject Char"/>
    <w:basedOn w:val="CommentTextChar"/>
    <w:link w:val="CommentSubject"/>
    <w:uiPriority w:val="99"/>
    <w:semiHidden/>
    <w:rsid w:val="00712838"/>
    <w:rPr>
      <w:rFonts w:eastAsiaTheme="minorEastAsia"/>
      <w:b/>
      <w:bCs/>
      <w:kern w:val="0"/>
      <w:sz w:val="20"/>
      <w:szCs w:val="20"/>
      <w:lang w:eastAsia="en-AU"/>
      <w14:ligatures w14:val="none"/>
    </w:rPr>
  </w:style>
  <w:style w:type="character" w:styleId="Hyperlink">
    <w:name w:val="Hyperlink"/>
    <w:basedOn w:val="DefaultParagraphFont"/>
    <w:uiPriority w:val="99"/>
    <w:unhideWhenUsed/>
    <w:rsid w:val="00A44BE2"/>
    <w:rPr>
      <w:color w:val="467886" w:themeColor="hyperlink"/>
      <w:u w:val="single"/>
    </w:rPr>
  </w:style>
  <w:style w:type="paragraph" w:styleId="TOCHeading">
    <w:name w:val="TOC Heading"/>
    <w:basedOn w:val="Heading1"/>
    <w:next w:val="Normal"/>
    <w:uiPriority w:val="39"/>
    <w:unhideWhenUsed/>
    <w:qFormat/>
    <w:rsid w:val="00F75E4E"/>
    <w:pPr>
      <w:keepNext/>
      <w:keepLines/>
      <w:spacing w:before="240" w:line="259" w:lineRule="auto"/>
      <w:outlineLvl w:val="9"/>
    </w:pPr>
    <w:rPr>
      <w:rFonts w:asciiTheme="majorHAnsi" w:eastAsiaTheme="majorEastAsia" w:hAnsiTheme="majorHAnsi" w:cstheme="majorBidi"/>
      <w:b w:val="0"/>
      <w:bCs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F75E4E"/>
    <w:pPr>
      <w:spacing w:after="100"/>
      <w:ind w:left="220"/>
    </w:pPr>
  </w:style>
  <w:style w:type="paragraph" w:styleId="TOC1">
    <w:name w:val="toc 1"/>
    <w:basedOn w:val="Normal"/>
    <w:next w:val="Normal"/>
    <w:autoRedefine/>
    <w:uiPriority w:val="39"/>
    <w:unhideWhenUsed/>
    <w:rsid w:val="00F75E4E"/>
    <w:pPr>
      <w:spacing w:after="100"/>
    </w:pPr>
  </w:style>
  <w:style w:type="paragraph" w:styleId="TOC3">
    <w:name w:val="toc 3"/>
    <w:basedOn w:val="Normal"/>
    <w:next w:val="Normal"/>
    <w:autoRedefine/>
    <w:uiPriority w:val="39"/>
    <w:unhideWhenUsed/>
    <w:rsid w:val="00F75E4E"/>
    <w:pPr>
      <w:spacing w:after="100"/>
      <w:ind w:left="440"/>
    </w:pPr>
  </w:style>
  <w:style w:type="paragraph" w:styleId="NoSpacing">
    <w:name w:val="No Spacing"/>
    <w:link w:val="NoSpacingChar"/>
    <w:uiPriority w:val="1"/>
    <w:qFormat/>
    <w:rsid w:val="00F75E4E"/>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F75E4E"/>
    <w:rPr>
      <w:rFonts w:eastAsiaTheme="minorEastAsia"/>
      <w:kern w:val="0"/>
      <w:sz w:val="22"/>
      <w:szCs w:val="22"/>
      <w:lang w:val="en-US"/>
      <w14:ligatures w14:val="none"/>
    </w:rPr>
  </w:style>
  <w:style w:type="paragraph" w:styleId="Revision">
    <w:name w:val="Revision"/>
    <w:hidden/>
    <w:uiPriority w:val="99"/>
    <w:semiHidden/>
    <w:rsid w:val="00B5740E"/>
    <w:pPr>
      <w:spacing w:after="0" w:line="240" w:lineRule="auto"/>
    </w:pPr>
    <w:rPr>
      <w:rFonts w:ascii="Calibri" w:eastAsiaTheme="minorEastAsia" w:hAnsi="Calibri"/>
      <w:kern w:val="0"/>
      <w:sz w:val="22"/>
      <w:szCs w:val="22"/>
      <w:lang w:eastAsia="en-AU"/>
      <w14:ligatures w14:val="none"/>
    </w:rPr>
  </w:style>
  <w:style w:type="paragraph" w:styleId="ListNumber">
    <w:name w:val="List Number"/>
    <w:basedOn w:val="Normal"/>
    <w:uiPriority w:val="99"/>
    <w:unhideWhenUsed/>
    <w:rsid w:val="00096C29"/>
    <w:pPr>
      <w:numPr>
        <w:numId w:val="8"/>
      </w:numPr>
      <w:spacing w:after="120"/>
      <w:ind w:left="357" w:hanging="357"/>
    </w:pPr>
  </w:style>
  <w:style w:type="paragraph" w:styleId="Caption">
    <w:name w:val="caption"/>
    <w:basedOn w:val="Normal"/>
    <w:next w:val="Normal"/>
    <w:uiPriority w:val="35"/>
    <w:unhideWhenUsed/>
    <w:qFormat/>
    <w:rsid w:val="004252C9"/>
    <w:pPr>
      <w:spacing w:line="240" w:lineRule="auto"/>
    </w:pPr>
    <w:rPr>
      <w:i/>
      <w:iCs/>
      <w:color w:val="0E2841" w:themeColor="text2"/>
      <w:sz w:val="18"/>
      <w:szCs w:val="18"/>
    </w:rPr>
  </w:style>
  <w:style w:type="table" w:customStyle="1" w:styleId="TableGrid2">
    <w:name w:val="Table Grid2"/>
    <w:basedOn w:val="TableNormal"/>
    <w:next w:val="TableGrid"/>
    <w:uiPriority w:val="59"/>
    <w:rsid w:val="00143AA3"/>
    <w:pPr>
      <w:spacing w:after="0" w:line="240" w:lineRule="auto"/>
    </w:pPr>
    <w:rPr>
      <w:rFonts w:ascii="Cambria" w:eastAsia="Calibri" w:hAnsi="Cambria"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3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er">
    <w:name w:val="Cover Header"/>
    <w:basedOn w:val="Normal"/>
    <w:qFormat/>
    <w:rsid w:val="00143AA3"/>
    <w:pPr>
      <w:spacing w:line="278" w:lineRule="auto"/>
    </w:pPr>
    <w:rPr>
      <w:b/>
      <w:bCs/>
      <w:color w:val="2C6765"/>
      <w:sz w:val="72"/>
      <w:szCs w:val="72"/>
    </w:rPr>
  </w:style>
  <w:style w:type="paragraph" w:customStyle="1" w:styleId="CoverPageSub-heading">
    <w:name w:val="Cover Page Sub-heading"/>
    <w:basedOn w:val="Normal"/>
    <w:qFormat/>
    <w:rsid w:val="00143AA3"/>
    <w:pPr>
      <w:spacing w:line="278" w:lineRule="auto"/>
    </w:pPr>
    <w:rPr>
      <w:b/>
      <w:sz w:val="32"/>
      <w:szCs w:val="32"/>
    </w:rPr>
  </w:style>
  <w:style w:type="character" w:styleId="UnresolvedMention">
    <w:name w:val="Unresolved Mention"/>
    <w:basedOn w:val="DefaultParagraphFont"/>
    <w:uiPriority w:val="99"/>
    <w:semiHidden/>
    <w:unhideWhenUsed/>
    <w:rsid w:val="00143AA3"/>
    <w:rPr>
      <w:color w:val="605E5C"/>
      <w:shd w:val="clear" w:color="auto" w:fill="E1DFDD"/>
    </w:rPr>
  </w:style>
  <w:style w:type="character" w:styleId="FollowedHyperlink">
    <w:name w:val="FollowedHyperlink"/>
    <w:basedOn w:val="DefaultParagraphFont"/>
    <w:uiPriority w:val="99"/>
    <w:semiHidden/>
    <w:unhideWhenUsed/>
    <w:rsid w:val="00143AA3"/>
    <w:rPr>
      <w:color w:val="96607D" w:themeColor="followedHyperlink"/>
      <w:u w:val="single"/>
    </w:rPr>
  </w:style>
  <w:style w:type="paragraph" w:customStyle="1" w:styleId="TablebodyText">
    <w:name w:val="Table body Text"/>
    <w:basedOn w:val="Normal"/>
    <w:qFormat/>
    <w:rsid w:val="00E16AB0"/>
    <w:pPr>
      <w:spacing w:before="20" w:after="20"/>
    </w:pPr>
    <w:rPr>
      <w:rFonts w:cs="Times New Roman"/>
    </w:rPr>
  </w:style>
  <w:style w:type="paragraph" w:customStyle="1" w:styleId="Heading9text">
    <w:name w:val="Heading 9 text"/>
    <w:basedOn w:val="Normal"/>
    <w:qFormat/>
    <w:rsid w:val="00E16AB0"/>
    <w:pPr>
      <w:spacing w:after="120"/>
    </w:pPr>
  </w:style>
  <w:style w:type="paragraph" w:customStyle="1" w:styleId="Tableheading">
    <w:name w:val="Table heading"/>
    <w:basedOn w:val="Normal"/>
    <w:qFormat/>
    <w:rsid w:val="00E16AB0"/>
    <w:pPr>
      <w:spacing w:before="40" w:after="40"/>
    </w:pPr>
    <w:rPr>
      <w:rFonts w:cs="Times New Roman"/>
      <w:b/>
      <w:bCs/>
      <w:color w:val="FFFFFF" w:themeColor="background1"/>
    </w:rPr>
  </w:style>
  <w:style w:type="character" w:styleId="FootnoteReference">
    <w:name w:val="footnote reference"/>
    <w:basedOn w:val="DefaultParagraphFont"/>
    <w:uiPriority w:val="99"/>
    <w:semiHidden/>
    <w:unhideWhenUsed/>
    <w:rsid w:val="00E16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biconnet.internal.agriculture.gov.au/BICONWeb4.0/ImportConditions/Questions/EvaluateCase?elementID=0000067987&amp;elementVersionID=209"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datahub.freightaustralia.gov.au/explore-freight-data/interactives/importexport-containerised-merchandise-projection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tradingeconomics.com/australia/impor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iosecurity.gov.au/sites/default/files/2024-02/national-biosecurity-strategy.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ambridge.org/core/books/can-the-public-be-trusted/what-is-intrinsic-compliance-motivation/01DAC62F9B294F48EACEC3745C180079"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griculture.gov.au/sites/default/files/documents/daff-biosecurity-2030-roadmap.pdf" TargetMode="External"/><Relationship Id="rId27" Type="http://schemas.openxmlformats.org/officeDocument/2006/relationships/footer" Target="foot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0069\OneDrive%20-%20Agriculture\Work%20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ac64a6-388e-41c6-b055-e21094d35574">
      <Terms xmlns="http://schemas.microsoft.com/office/infopath/2007/PartnerControls"/>
    </lcf76f155ced4ddcb4097134ff3c332f>
    <TaxCatchAll xmlns="81c01dc6-2c49-4730-b140-874c95cac377" xsi:nil="true"/>
    <Lastmodified xmlns="18ac64a6-388e-41c6-b055-e21094d355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D8D595FC52294DA5849739F152FA32" ma:contentTypeVersion="12" ma:contentTypeDescription="Create a new document." ma:contentTypeScope="" ma:versionID="eb1f51843fce32b35a1b452901a5fa35">
  <xsd:schema xmlns:xsd="http://www.w3.org/2001/XMLSchema" xmlns:xs="http://www.w3.org/2001/XMLSchema" xmlns:p="http://schemas.microsoft.com/office/2006/metadata/properties" xmlns:ns2="18ac64a6-388e-41c6-b055-e21094d35574" xmlns:ns3="81c01dc6-2c49-4730-b140-874c95cac377" targetNamespace="http://schemas.microsoft.com/office/2006/metadata/properties" ma:root="true" ma:fieldsID="1c24c6db6e9b1c59c0878fbf81ff3f95" ns2:_="" ns3:_="">
    <xsd:import namespace="18ac64a6-388e-41c6-b055-e21094d35574"/>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c64a6-388e-41c6-b055-e21094d35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astmodified" ma:index="19"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96ca-dee5-4168-bae2-87ca98e03ad3}" ma:internalName="TaxCatchAll" ma:showField="CatchAllData" ma:web="18d09e40-fc21-4734-bdfa-18418760f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A8CAD-1A48-4750-9168-1FF50C23DE3B}">
  <ds:schemaRefs>
    <ds:schemaRef ds:uri="http://schemas.openxmlformats.org/officeDocument/2006/bibliography"/>
  </ds:schemaRefs>
</ds:datastoreItem>
</file>

<file path=customXml/itemProps2.xml><?xml version="1.0" encoding="utf-8"?>
<ds:datastoreItem xmlns:ds="http://schemas.openxmlformats.org/officeDocument/2006/customXml" ds:itemID="{4B232658-C92E-492D-805F-C72230F2B9C9}">
  <ds:schemaRefs>
    <ds:schemaRef ds:uri="http://schemas.microsoft.com/office/2006/metadata/properties"/>
    <ds:schemaRef ds:uri="http://schemas.microsoft.com/office/infopath/2007/PartnerControls"/>
    <ds:schemaRef ds:uri="18ac64a6-388e-41c6-b055-e21094d35574"/>
    <ds:schemaRef ds:uri="81c01dc6-2c49-4730-b140-874c95cac377"/>
  </ds:schemaRefs>
</ds:datastoreItem>
</file>

<file path=customXml/itemProps3.xml><?xml version="1.0" encoding="utf-8"?>
<ds:datastoreItem xmlns:ds="http://schemas.openxmlformats.org/officeDocument/2006/customXml" ds:itemID="{1ABE0772-8422-4DC5-BE41-83BD79876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c64a6-388e-41c6-b055-e21094d35574"/>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EA3D9-CB81-47BE-B0E7-74D2092EDA8D}">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Work Plan</Template>
  <TotalTime>4</TotalTime>
  <Pages>11</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Sharra Lannan</dc:creator>
  <cp:keywords/>
  <dc:description/>
  <cp:lastModifiedBy>Lannan, Sharra</cp:lastModifiedBy>
  <cp:revision>8</cp:revision>
  <cp:lastPrinted>2026-03-12T04:53:00Z</cp:lastPrinted>
  <dcterms:created xsi:type="dcterms:W3CDTF">2026-03-12T04:32:00Z</dcterms:created>
  <dcterms:modified xsi:type="dcterms:W3CDTF">2026-03-12T04:54:00Z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25158ac8,73f9b938,f096180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281dd3f1,365d1cde,2db9ac11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0x0101009AD8D595FC52294DA5849739F152FA32</vt:lpwstr>
  </property>
  <property fmtid="{D5CDD505-2E9C-101B-9397-08002B2CF9AE}" pid="9" name="MediaServiceImageTags">
    <vt:lpwstr/>
  </property>
</Properties>
</file>