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25F2A" w14:textId="77777777" w:rsidR="00CC703E" w:rsidRDefault="00E37FDB">
      <w:pPr>
        <w:tabs>
          <w:tab w:val="clear" w:pos="567"/>
        </w:tabs>
        <w:spacing w:before="0" w:after="0"/>
        <w:rPr>
          <w:b/>
          <w:bCs/>
        </w:rPr>
      </w:pPr>
      <w:r>
        <w:rPr>
          <w:noProof/>
          <w:lang w:eastAsia="en-AU"/>
        </w:rPr>
        <w:drawing>
          <wp:inline distT="0" distB="0" distL="0" distR="0" wp14:anchorId="47C3ECEA" wp14:editId="4264A426">
            <wp:extent cx="2035810" cy="1041400"/>
            <wp:effectExtent l="0" t="0" r="2540" b="6350"/>
            <wp:docPr id="22" name="Picture 22" descr="Australian Government Inspector-General of Bio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GB_crest-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1041400"/>
                    </a:xfrm>
                    <a:prstGeom prst="rect">
                      <a:avLst/>
                    </a:prstGeom>
                    <a:noFill/>
                    <a:ln>
                      <a:noFill/>
                    </a:ln>
                  </pic:spPr>
                </pic:pic>
              </a:graphicData>
            </a:graphic>
          </wp:inline>
        </w:drawing>
      </w:r>
    </w:p>
    <w:p w14:paraId="46F6E655" w14:textId="3D639A37" w:rsidR="00405CC5" w:rsidRDefault="00405CC5" w:rsidP="0011644D">
      <w:pPr>
        <w:spacing w:before="240" w:after="0"/>
        <w:rPr>
          <w:rFonts w:cs="Calibri"/>
          <w:szCs w:val="24"/>
        </w:rPr>
      </w:pPr>
      <w:r>
        <w:rPr>
          <w:rStyle w:val="Bold"/>
        </w:rPr>
        <w:t xml:space="preserve">Review report </w:t>
      </w:r>
      <w:r w:rsidRPr="004A72FB">
        <w:rPr>
          <w:rStyle w:val="Bold"/>
        </w:rPr>
        <w:t>No.</w:t>
      </w:r>
      <w:r>
        <w:rPr>
          <w:rFonts w:cs="Calibri"/>
          <w:szCs w:val="24"/>
        </w:rPr>
        <w:t xml:space="preserve"> 2017–18/01</w:t>
      </w:r>
    </w:p>
    <w:p w14:paraId="3A9312C3" w14:textId="77777777" w:rsidR="003007ED" w:rsidRDefault="003007ED" w:rsidP="0011644D">
      <w:pPr>
        <w:spacing w:before="240" w:after="0"/>
        <w:rPr>
          <w:rFonts w:cs="Calibri"/>
          <w:szCs w:val="24"/>
        </w:rPr>
      </w:pPr>
    </w:p>
    <w:p w14:paraId="374384B4" w14:textId="5A742807" w:rsidR="003007ED" w:rsidRDefault="003007ED" w:rsidP="003007ED">
      <w:pPr>
        <w:pStyle w:val="Heading1"/>
        <w:spacing w:before="240"/>
      </w:pPr>
      <w:r>
        <w:t>S</w:t>
      </w:r>
      <w:bookmarkStart w:id="0" w:name="_GoBack"/>
      <w:r>
        <w:t>ummary–</w:t>
      </w:r>
      <w:r w:rsidRPr="00A5158F">
        <w:t>Uncooked prawn imports: effectiveness of biosecurity controls</w:t>
      </w:r>
    </w:p>
    <w:bookmarkEnd w:id="0"/>
    <w:p w14:paraId="4948FF87" w14:textId="57C5153C" w:rsidR="006E13AF" w:rsidRDefault="00DF7A74" w:rsidP="006E13AF">
      <w:pPr>
        <w:spacing w:before="0" w:after="0"/>
        <w:rPr>
          <w:rFonts w:ascii="Times New Roman" w:hAnsi="Times New Roman"/>
        </w:rPr>
      </w:pPr>
      <w:r>
        <w:rPr>
          <w:rFonts w:ascii="Times New Roman" w:hAnsi="Times New Roman"/>
        </w:rPr>
        <w:pict w14:anchorId="227E0651">
          <v:rect id="_x0000_i1025" style="width:0;height:1.5pt" o:hralign="center" o:hrstd="t" o:hr="t" fillcolor="#aca899" stroked="f"/>
        </w:pict>
      </w:r>
    </w:p>
    <w:p w14:paraId="3ECC8766" w14:textId="77777777" w:rsidR="006E13AF" w:rsidRPr="006E13AF" w:rsidRDefault="006E13AF" w:rsidP="006E13AF">
      <w:pPr>
        <w:spacing w:before="0" w:after="0"/>
        <w:jc w:val="center"/>
        <w:rPr>
          <w:sz w:val="18"/>
          <w:szCs w:val="18"/>
        </w:rPr>
      </w:pPr>
    </w:p>
    <w:p w14:paraId="4F47AE20" w14:textId="77777777" w:rsidR="006E13AF" w:rsidRPr="006E13AF" w:rsidRDefault="006E13AF" w:rsidP="006E13AF">
      <w:pPr>
        <w:spacing w:before="0" w:after="0"/>
        <w:jc w:val="center"/>
      </w:pPr>
    </w:p>
    <w:p w14:paraId="16D1E723" w14:textId="0F06154F" w:rsidR="00CC703E" w:rsidRPr="006E13AF" w:rsidRDefault="004237FF" w:rsidP="006E13AF">
      <w:r w:rsidRPr="00C3711C">
        <w:rPr>
          <w:noProof/>
          <w:lang w:eastAsia="en-AU"/>
        </w:rPr>
        <w:drawing>
          <wp:inline distT="0" distB="0" distL="0" distR="0" wp14:anchorId="5CC9E3A9" wp14:editId="58FBA72B">
            <wp:extent cx="5955527" cy="5496776"/>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3211_1117_IGB word cover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61254" cy="5502062"/>
                    </a:xfrm>
                    <a:prstGeom prst="rect">
                      <a:avLst/>
                    </a:prstGeom>
                  </pic:spPr>
                </pic:pic>
              </a:graphicData>
            </a:graphic>
          </wp:inline>
        </w:drawing>
      </w:r>
    </w:p>
    <w:p w14:paraId="0106F9D0" w14:textId="59DF25CE" w:rsidR="00CC703E" w:rsidRDefault="005C45CC" w:rsidP="009865B8">
      <w:pPr>
        <w:pStyle w:val="Author"/>
        <w:spacing w:before="360" w:after="0"/>
        <w:rPr>
          <w:b w:val="0"/>
          <w:bCs/>
        </w:rPr>
      </w:pPr>
      <w:r>
        <w:t>Dr Helen Scott-Orr, Dr Brian Jones and Dr Naveen Bhatia</w:t>
      </w:r>
      <w:r w:rsidR="00E37FDB">
        <w:rPr>
          <w:bCs/>
        </w:rPr>
        <w:br w:type="page"/>
      </w:r>
    </w:p>
    <w:p w14:paraId="03AA4D60" w14:textId="77777777" w:rsidR="00CC703E" w:rsidRDefault="00E37FDB" w:rsidP="00A5158F">
      <w:r>
        <w:lastRenderedPageBreak/>
        <w:t>© Commonwealth of Australia 2017</w:t>
      </w:r>
    </w:p>
    <w:p w14:paraId="376700D1" w14:textId="77777777" w:rsidR="00CC703E" w:rsidRDefault="00E37FDB" w:rsidP="00A5158F">
      <w:r>
        <w:t>Ownership of intellectual property rights</w:t>
      </w:r>
    </w:p>
    <w:p w14:paraId="059725F5" w14:textId="77777777" w:rsidR="00CC703E" w:rsidRDefault="00E37FDB" w:rsidP="00A5158F">
      <w:r>
        <w:t>Unless otherwise noted, copyright (and any other intellectual property rights, if any) in this publication is owned by the Commonwealth of Australia (referred to as the Commonwealth).</w:t>
      </w:r>
    </w:p>
    <w:p w14:paraId="1297DBEF" w14:textId="77777777" w:rsidR="00CC703E" w:rsidRDefault="00E37FDB" w:rsidP="00A5158F">
      <w:pPr>
        <w:rPr>
          <w:rStyle w:val="Strong"/>
        </w:rPr>
      </w:pPr>
      <w:proofErr w:type="gramStart"/>
      <w:r>
        <w:rPr>
          <w:rStyle w:val="Strong"/>
        </w:rPr>
        <w:t>Creative Commons</w:t>
      </w:r>
      <w:proofErr w:type="gramEnd"/>
      <w:r>
        <w:rPr>
          <w:rStyle w:val="Strong"/>
        </w:rPr>
        <w:t xml:space="preserve"> licence</w:t>
      </w:r>
    </w:p>
    <w:p w14:paraId="66DD0E94" w14:textId="77777777" w:rsidR="00CC703E" w:rsidRDefault="00E37FDB" w:rsidP="00A5158F">
      <w:r>
        <w:t xml:space="preserve">All material in this publication is licensed under a Creative </w:t>
      </w:r>
      <w:hyperlink r:id="rId10" w:history="1">
        <w:r>
          <w:rPr>
            <w:rStyle w:val="Hyperlink"/>
          </w:rPr>
          <w:t>Commons Attribution 4.0 International Licence</w:t>
        </w:r>
      </w:hyperlink>
      <w:r>
        <w:t xml:space="preserve"> except content supplied by third parties, logos and the Commonwealth Coat of Arms.</w:t>
      </w:r>
    </w:p>
    <w:p w14:paraId="49852ACB" w14:textId="77777777" w:rsidR="00CC703E" w:rsidRDefault="00E37FDB" w:rsidP="00A5158F">
      <w:r>
        <w:t xml:space="preserve">Inquiries about the licence and any use of this document should be emailed to </w:t>
      </w:r>
      <w:hyperlink r:id="rId11" w:history="1">
        <w:r>
          <w:rPr>
            <w:rStyle w:val="Hyperlink"/>
          </w:rPr>
          <w:t>copyright@agriculture.gov.au</w:t>
        </w:r>
      </w:hyperlink>
      <w:r>
        <w:t>.</w:t>
      </w:r>
    </w:p>
    <w:p w14:paraId="14C77E39" w14:textId="77777777" w:rsidR="00CC703E" w:rsidRDefault="00E37FDB" w:rsidP="00A5158F">
      <w:pPr>
        <w:rPr>
          <w:highlight w:val="yellow"/>
        </w:rPr>
      </w:pPr>
      <w:r>
        <w:rPr>
          <w:noProof/>
          <w:highlight w:val="yellow"/>
          <w:lang w:eastAsia="en-AU"/>
        </w:rPr>
        <w:drawing>
          <wp:inline distT="0" distB="0" distL="0" distR="0" wp14:anchorId="7ACBCA60" wp14:editId="771FBAE2">
            <wp:extent cx="723265" cy="254635"/>
            <wp:effectExtent l="0" t="0" r="635" b="0"/>
            <wp:docPr id="23" name="Picture 2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44420754" w14:textId="77777777" w:rsidR="00CC703E" w:rsidRDefault="00E37FDB" w:rsidP="00A5158F">
      <w:pPr>
        <w:rPr>
          <w:rStyle w:val="Strong"/>
        </w:rPr>
      </w:pPr>
      <w:r>
        <w:rPr>
          <w:rStyle w:val="Strong"/>
        </w:rPr>
        <w:t>Cataloguing data</w:t>
      </w:r>
    </w:p>
    <w:p w14:paraId="34200B51" w14:textId="5DF006C2" w:rsidR="00CC703E" w:rsidRDefault="00E37FDB" w:rsidP="00A5158F">
      <w:r>
        <w:t xml:space="preserve">Inspector-General of Biosecurity 2017, </w:t>
      </w:r>
      <w:r>
        <w:rPr>
          <w:rStyle w:val="Emphasis"/>
        </w:rPr>
        <w:t>Uncooked prawn imports: effectiveness of biosecurity controls</w:t>
      </w:r>
      <w:r>
        <w:t>, Department of Agriculture and Water Resources, Canberra.</w:t>
      </w:r>
    </w:p>
    <w:p w14:paraId="4C5EE82F" w14:textId="77777777" w:rsidR="00CC703E" w:rsidRDefault="00E37FDB" w:rsidP="00A5158F">
      <w:r>
        <w:t xml:space="preserve">This publication is available at </w:t>
      </w:r>
      <w:hyperlink r:id="rId13" w:history="1">
        <w:r>
          <w:rPr>
            <w:rStyle w:val="Hyperlink"/>
          </w:rPr>
          <w:t>igb.gov.au/Pages/completed-audits-and-reviews.aspx</w:t>
        </w:r>
      </w:hyperlink>
      <w:r>
        <w:t>.</w:t>
      </w:r>
    </w:p>
    <w:p w14:paraId="6FFE3108" w14:textId="77777777" w:rsidR="00CC703E" w:rsidRDefault="00E37FDB" w:rsidP="00A5158F">
      <w:pPr>
        <w:spacing w:before="0" w:after="0"/>
      </w:pPr>
      <w:r>
        <w:t>Inspector-General of Biosecurity</w:t>
      </w:r>
    </w:p>
    <w:p w14:paraId="05ABF792" w14:textId="77777777" w:rsidR="00CC703E" w:rsidRDefault="00E37FDB" w:rsidP="00A5158F">
      <w:pPr>
        <w:spacing w:before="0" w:after="0"/>
      </w:pPr>
      <w:proofErr w:type="gramStart"/>
      <w:r>
        <w:t>c/o</w:t>
      </w:r>
      <w:proofErr w:type="gramEnd"/>
      <w:r>
        <w:t xml:space="preserve"> Department of Agriculture and Water Resources</w:t>
      </w:r>
    </w:p>
    <w:p w14:paraId="314552AA" w14:textId="5C401A64" w:rsidR="00CC703E" w:rsidRDefault="00E37FDB" w:rsidP="00A5158F">
      <w:pPr>
        <w:spacing w:before="0" w:after="0"/>
      </w:pPr>
      <w:r>
        <w:t>PO Box 657</w:t>
      </w:r>
    </w:p>
    <w:p w14:paraId="4B810731" w14:textId="77777777" w:rsidR="00CC703E" w:rsidRDefault="00E37FDB" w:rsidP="00A5158F">
      <w:pPr>
        <w:spacing w:before="0" w:after="0"/>
      </w:pPr>
      <w:r>
        <w:t>Mascot NSW 1460</w:t>
      </w:r>
    </w:p>
    <w:p w14:paraId="2FFDCEEC" w14:textId="77777777" w:rsidR="00CC703E" w:rsidRDefault="00E37FDB" w:rsidP="00A5158F">
      <w:pPr>
        <w:spacing w:before="0" w:after="0"/>
      </w:pPr>
      <w:r>
        <w:t>Switchboard +61 2 6272 3933</w:t>
      </w:r>
    </w:p>
    <w:p w14:paraId="36F811B2" w14:textId="77777777" w:rsidR="00CC703E" w:rsidRDefault="00E37FDB" w:rsidP="00A5158F">
      <w:pPr>
        <w:spacing w:before="0" w:after="0"/>
      </w:pPr>
      <w:r>
        <w:t xml:space="preserve">Email </w:t>
      </w:r>
      <w:hyperlink r:id="rId14" w:history="1">
        <w:r>
          <w:rPr>
            <w:rStyle w:val="Hyperlink"/>
          </w:rPr>
          <w:t>inspgenbiosecurity@agriculture.gov.au</w:t>
        </w:r>
      </w:hyperlink>
    </w:p>
    <w:p w14:paraId="65CBAAF6" w14:textId="77777777" w:rsidR="00CC703E" w:rsidRDefault="00E37FDB" w:rsidP="00A5158F">
      <w:pPr>
        <w:spacing w:before="0" w:after="0"/>
      </w:pPr>
      <w:r>
        <w:t xml:space="preserve">Web </w:t>
      </w:r>
      <w:hyperlink r:id="rId15" w:history="1">
        <w:r>
          <w:rPr>
            <w:rStyle w:val="Hyperlink"/>
          </w:rPr>
          <w:t>igb.gov.au/Pages/default.aspx</w:t>
        </w:r>
      </w:hyperlink>
    </w:p>
    <w:p w14:paraId="516A7C47" w14:textId="77777777" w:rsidR="00CC703E" w:rsidRDefault="00E37FDB" w:rsidP="00A5158F">
      <w:r>
        <w:t>The Australian Government, represented by the Inspector-General of Biosecurity, has exercised due care and skill in preparing and compiling the information and data in this publication. Notwithstanding, the Inspector-General of Biosecurity, the Australian Government’s employees and advisers disclaim all liability, including for negligence and for any loss, damage, injury, expense or cost incurred by any person as a result of accessing, using or relying on information or data in this publication to the maximum extent permitted by law.</w:t>
      </w:r>
    </w:p>
    <w:p w14:paraId="7D2E929F" w14:textId="77777777" w:rsidR="00CC703E" w:rsidRDefault="00E37FDB" w:rsidP="00A5158F">
      <w:pPr>
        <w:rPr>
          <w:rStyle w:val="Strong"/>
        </w:rPr>
      </w:pPr>
      <w:r>
        <w:rPr>
          <w:rStyle w:val="Strong"/>
        </w:rPr>
        <w:t>Credits</w:t>
      </w:r>
    </w:p>
    <w:p w14:paraId="7EBBCE00" w14:textId="004A686D" w:rsidR="00CC703E" w:rsidRDefault="00E37FDB" w:rsidP="00A5158F">
      <w:r>
        <w:t>Photographs courtesy of the Department of Agriculture and Water Resources</w:t>
      </w:r>
      <w:r w:rsidR="001B5D47">
        <w:t xml:space="preserve"> and Dr</w:t>
      </w:r>
      <w:r w:rsidR="00572DAE" w:rsidRPr="00572DAE">
        <w:rPr>
          <w:lang w:val="en"/>
        </w:rPr>
        <w:t> </w:t>
      </w:r>
      <w:r w:rsidR="001B5D47">
        <w:t>Helen</w:t>
      </w:r>
      <w:r w:rsidR="00572DAE" w:rsidRPr="00572DAE">
        <w:rPr>
          <w:lang w:val="en"/>
        </w:rPr>
        <w:t> </w:t>
      </w:r>
      <w:r w:rsidR="001B5D47">
        <w:t>Scott-Orr</w:t>
      </w:r>
      <w:r>
        <w:t>.</w:t>
      </w:r>
      <w:r>
        <w:rPr>
          <w:b/>
          <w:bCs/>
        </w:rPr>
        <w:br w:type="page"/>
      </w:r>
    </w:p>
    <w:sdt>
      <w:sdtPr>
        <w:rPr>
          <w:rFonts w:ascii="Calibri" w:hAnsi="Calibri"/>
          <w:b w:val="0"/>
          <w:bCs/>
          <w:color w:val="auto"/>
          <w:sz w:val="24"/>
          <w:szCs w:val="22"/>
          <w:lang w:val="en-AU"/>
        </w:rPr>
        <w:id w:val="1274512769"/>
        <w:docPartObj>
          <w:docPartGallery w:val="Table of Contents"/>
          <w:docPartUnique/>
        </w:docPartObj>
      </w:sdtPr>
      <w:sdtEndPr>
        <w:rPr>
          <w:rFonts w:asciiTheme="minorHAnsi" w:hAnsiTheme="minorHAnsi"/>
          <w:bCs w:val="0"/>
          <w:noProof/>
        </w:rPr>
      </w:sdtEndPr>
      <w:sdtContent>
        <w:p w14:paraId="05DADA1A" w14:textId="77777777" w:rsidR="00CC703E" w:rsidRDefault="00E37FDB" w:rsidP="00A5158F">
          <w:pPr>
            <w:pStyle w:val="TOCHeading"/>
          </w:pPr>
          <w:r>
            <w:t>Contents</w:t>
          </w:r>
        </w:p>
        <w:p w14:paraId="7414A904" w14:textId="77777777" w:rsidR="008A28A1" w:rsidRDefault="00572F22">
          <w:pPr>
            <w:pStyle w:val="TOC1"/>
            <w:tabs>
              <w:tab w:val="left" w:pos="480"/>
              <w:tab w:val="right" w:leader="dot" w:pos="9402"/>
            </w:tabs>
            <w:rPr>
              <w:rFonts w:eastAsiaTheme="minorEastAsia" w:cstheme="minorBidi"/>
              <w:b w:val="0"/>
              <w:bCs w:val="0"/>
              <w:noProof/>
              <w:sz w:val="22"/>
              <w:szCs w:val="22"/>
              <w:lang w:eastAsia="en-AU"/>
            </w:rPr>
          </w:pPr>
          <w:r>
            <w:rPr>
              <w:iCs/>
              <w:sz w:val="20"/>
            </w:rPr>
            <w:fldChar w:fldCharType="begin"/>
          </w:r>
          <w:r>
            <w:rPr>
              <w:iCs/>
              <w:sz w:val="20"/>
            </w:rPr>
            <w:instrText xml:space="preserve"> TOC \h \z \t "Heading 2,1" </w:instrText>
          </w:r>
          <w:r>
            <w:rPr>
              <w:iCs/>
              <w:sz w:val="20"/>
            </w:rPr>
            <w:fldChar w:fldCharType="separate"/>
          </w:r>
          <w:hyperlink w:anchor="_Toc500511626" w:history="1">
            <w:r w:rsidR="008A28A1" w:rsidRPr="0075430B">
              <w:rPr>
                <w:rStyle w:val="Hyperlink"/>
                <w:rFonts w:ascii="Calibri" w:hAnsi="Calibri"/>
                <w:noProof/>
              </w:rPr>
              <w:t>1</w:t>
            </w:r>
            <w:r w:rsidR="008A28A1">
              <w:rPr>
                <w:rFonts w:eastAsiaTheme="minorEastAsia" w:cstheme="minorBidi"/>
                <w:b w:val="0"/>
                <w:bCs w:val="0"/>
                <w:noProof/>
                <w:sz w:val="22"/>
                <w:szCs w:val="22"/>
                <w:lang w:eastAsia="en-AU"/>
              </w:rPr>
              <w:tab/>
            </w:r>
            <w:r w:rsidR="008A28A1" w:rsidRPr="0075430B">
              <w:rPr>
                <w:rStyle w:val="Hyperlink"/>
                <w:noProof/>
              </w:rPr>
              <w:t>Background</w:t>
            </w:r>
            <w:r w:rsidR="008A28A1">
              <w:rPr>
                <w:noProof/>
                <w:webHidden/>
              </w:rPr>
              <w:tab/>
            </w:r>
            <w:r w:rsidR="008A28A1">
              <w:rPr>
                <w:noProof/>
                <w:webHidden/>
              </w:rPr>
              <w:fldChar w:fldCharType="begin"/>
            </w:r>
            <w:r w:rsidR="008A28A1">
              <w:rPr>
                <w:noProof/>
                <w:webHidden/>
              </w:rPr>
              <w:instrText xml:space="preserve"> PAGEREF _Toc500511626 \h </w:instrText>
            </w:r>
            <w:r w:rsidR="008A28A1">
              <w:rPr>
                <w:noProof/>
                <w:webHidden/>
              </w:rPr>
            </w:r>
            <w:r w:rsidR="008A28A1">
              <w:rPr>
                <w:noProof/>
                <w:webHidden/>
              </w:rPr>
              <w:fldChar w:fldCharType="separate"/>
            </w:r>
            <w:r w:rsidR="005305C1">
              <w:rPr>
                <w:noProof/>
                <w:webHidden/>
              </w:rPr>
              <w:t>1</w:t>
            </w:r>
            <w:r w:rsidR="008A28A1">
              <w:rPr>
                <w:noProof/>
                <w:webHidden/>
              </w:rPr>
              <w:fldChar w:fldCharType="end"/>
            </w:r>
          </w:hyperlink>
        </w:p>
        <w:p w14:paraId="57A4E5EE"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27" w:history="1">
            <w:r w:rsidR="008A28A1" w:rsidRPr="0075430B">
              <w:rPr>
                <w:rStyle w:val="Hyperlink"/>
                <w:rFonts w:ascii="Calibri" w:hAnsi="Calibri"/>
                <w:noProof/>
              </w:rPr>
              <w:t>2</w:t>
            </w:r>
            <w:r w:rsidR="008A28A1">
              <w:rPr>
                <w:rFonts w:eastAsiaTheme="minorEastAsia" w:cstheme="minorBidi"/>
                <w:b w:val="0"/>
                <w:bCs w:val="0"/>
                <w:noProof/>
                <w:sz w:val="22"/>
                <w:szCs w:val="22"/>
                <w:lang w:eastAsia="en-AU"/>
              </w:rPr>
              <w:tab/>
            </w:r>
            <w:r w:rsidR="008A28A1" w:rsidRPr="0075430B">
              <w:rPr>
                <w:rStyle w:val="Hyperlink"/>
                <w:noProof/>
              </w:rPr>
              <w:t>White spot disease outbreak in south-east Queensland, 2016</w:t>
            </w:r>
            <w:r w:rsidR="008A28A1" w:rsidRPr="0075430B">
              <w:rPr>
                <w:rStyle w:val="Hyperlink"/>
                <w:rFonts w:ascii="Calibri" w:hAnsi="Calibri"/>
                <w:noProof/>
              </w:rPr>
              <w:t>–</w:t>
            </w:r>
            <w:r w:rsidR="008A28A1" w:rsidRPr="0075430B">
              <w:rPr>
                <w:rStyle w:val="Hyperlink"/>
                <w:noProof/>
              </w:rPr>
              <w:t>17</w:t>
            </w:r>
            <w:r w:rsidR="008A28A1">
              <w:rPr>
                <w:noProof/>
                <w:webHidden/>
              </w:rPr>
              <w:tab/>
            </w:r>
            <w:r w:rsidR="008A28A1">
              <w:rPr>
                <w:noProof/>
                <w:webHidden/>
              </w:rPr>
              <w:fldChar w:fldCharType="begin"/>
            </w:r>
            <w:r w:rsidR="008A28A1">
              <w:rPr>
                <w:noProof/>
                <w:webHidden/>
              </w:rPr>
              <w:instrText xml:space="preserve"> PAGEREF _Toc500511627 \h </w:instrText>
            </w:r>
            <w:r w:rsidR="008A28A1">
              <w:rPr>
                <w:noProof/>
                <w:webHidden/>
              </w:rPr>
            </w:r>
            <w:r w:rsidR="008A28A1">
              <w:rPr>
                <w:noProof/>
                <w:webHidden/>
              </w:rPr>
              <w:fldChar w:fldCharType="separate"/>
            </w:r>
            <w:r w:rsidR="005305C1">
              <w:rPr>
                <w:noProof/>
                <w:webHidden/>
              </w:rPr>
              <w:t>1</w:t>
            </w:r>
            <w:r w:rsidR="008A28A1">
              <w:rPr>
                <w:noProof/>
                <w:webHidden/>
              </w:rPr>
              <w:fldChar w:fldCharType="end"/>
            </w:r>
          </w:hyperlink>
        </w:p>
        <w:p w14:paraId="6C15AF74"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28" w:history="1">
            <w:r w:rsidR="008A28A1" w:rsidRPr="0075430B">
              <w:rPr>
                <w:rStyle w:val="Hyperlink"/>
                <w:rFonts w:ascii="Calibri" w:hAnsi="Calibri"/>
                <w:noProof/>
              </w:rPr>
              <w:t>3</w:t>
            </w:r>
            <w:r w:rsidR="008A28A1">
              <w:rPr>
                <w:rFonts w:eastAsiaTheme="minorEastAsia" w:cstheme="minorBidi"/>
                <w:b w:val="0"/>
                <w:bCs w:val="0"/>
                <w:noProof/>
                <w:sz w:val="22"/>
                <w:szCs w:val="22"/>
                <w:lang w:eastAsia="en-AU"/>
              </w:rPr>
              <w:tab/>
            </w:r>
            <w:r w:rsidR="008A28A1" w:rsidRPr="0075430B">
              <w:rPr>
                <w:rStyle w:val="Hyperlink"/>
                <w:noProof/>
              </w:rPr>
              <w:t>Prawn production, trade and diseases</w:t>
            </w:r>
            <w:r w:rsidR="008A28A1">
              <w:rPr>
                <w:noProof/>
                <w:webHidden/>
              </w:rPr>
              <w:tab/>
            </w:r>
            <w:r w:rsidR="008A28A1">
              <w:rPr>
                <w:noProof/>
                <w:webHidden/>
              </w:rPr>
              <w:fldChar w:fldCharType="begin"/>
            </w:r>
            <w:r w:rsidR="008A28A1">
              <w:rPr>
                <w:noProof/>
                <w:webHidden/>
              </w:rPr>
              <w:instrText xml:space="preserve"> PAGEREF _Toc500511628 \h </w:instrText>
            </w:r>
            <w:r w:rsidR="008A28A1">
              <w:rPr>
                <w:noProof/>
                <w:webHidden/>
              </w:rPr>
            </w:r>
            <w:r w:rsidR="008A28A1">
              <w:rPr>
                <w:noProof/>
                <w:webHidden/>
              </w:rPr>
              <w:fldChar w:fldCharType="separate"/>
            </w:r>
            <w:r w:rsidR="005305C1">
              <w:rPr>
                <w:noProof/>
                <w:webHidden/>
              </w:rPr>
              <w:t>3</w:t>
            </w:r>
            <w:r w:rsidR="008A28A1">
              <w:rPr>
                <w:noProof/>
                <w:webHidden/>
              </w:rPr>
              <w:fldChar w:fldCharType="end"/>
            </w:r>
          </w:hyperlink>
        </w:p>
        <w:p w14:paraId="16F8E6BC"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29" w:history="1">
            <w:r w:rsidR="008A28A1" w:rsidRPr="0075430B">
              <w:rPr>
                <w:rStyle w:val="Hyperlink"/>
                <w:rFonts w:ascii="Calibri" w:hAnsi="Calibri"/>
                <w:noProof/>
              </w:rPr>
              <w:t>4</w:t>
            </w:r>
            <w:r w:rsidR="008A28A1">
              <w:rPr>
                <w:rFonts w:eastAsiaTheme="minorEastAsia" w:cstheme="minorBidi"/>
                <w:b w:val="0"/>
                <w:bCs w:val="0"/>
                <w:noProof/>
                <w:sz w:val="22"/>
                <w:szCs w:val="22"/>
                <w:lang w:eastAsia="en-AU"/>
              </w:rPr>
              <w:tab/>
            </w:r>
            <w:r w:rsidR="008A28A1" w:rsidRPr="0075430B">
              <w:rPr>
                <w:rStyle w:val="Hyperlink"/>
                <w:noProof/>
              </w:rPr>
              <w:t>Regulatory control of biosecurity risks in Australia</w:t>
            </w:r>
            <w:r w:rsidR="008A28A1">
              <w:rPr>
                <w:noProof/>
                <w:webHidden/>
              </w:rPr>
              <w:tab/>
            </w:r>
            <w:r w:rsidR="008A28A1">
              <w:rPr>
                <w:noProof/>
                <w:webHidden/>
              </w:rPr>
              <w:fldChar w:fldCharType="begin"/>
            </w:r>
            <w:r w:rsidR="008A28A1">
              <w:rPr>
                <w:noProof/>
                <w:webHidden/>
              </w:rPr>
              <w:instrText xml:space="preserve"> PAGEREF _Toc500511629 \h </w:instrText>
            </w:r>
            <w:r w:rsidR="008A28A1">
              <w:rPr>
                <w:noProof/>
                <w:webHidden/>
              </w:rPr>
            </w:r>
            <w:r w:rsidR="008A28A1">
              <w:rPr>
                <w:noProof/>
                <w:webHidden/>
              </w:rPr>
              <w:fldChar w:fldCharType="separate"/>
            </w:r>
            <w:r w:rsidR="005305C1">
              <w:rPr>
                <w:noProof/>
                <w:webHidden/>
              </w:rPr>
              <w:t>4</w:t>
            </w:r>
            <w:r w:rsidR="008A28A1">
              <w:rPr>
                <w:noProof/>
                <w:webHidden/>
              </w:rPr>
              <w:fldChar w:fldCharType="end"/>
            </w:r>
          </w:hyperlink>
        </w:p>
        <w:p w14:paraId="65B87BDB"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0" w:history="1">
            <w:r w:rsidR="008A28A1" w:rsidRPr="0075430B">
              <w:rPr>
                <w:rStyle w:val="Hyperlink"/>
                <w:rFonts w:ascii="Calibri" w:hAnsi="Calibri"/>
                <w:noProof/>
              </w:rPr>
              <w:t>5</w:t>
            </w:r>
            <w:r w:rsidR="008A28A1">
              <w:rPr>
                <w:rFonts w:eastAsiaTheme="minorEastAsia" w:cstheme="minorBidi"/>
                <w:b w:val="0"/>
                <w:bCs w:val="0"/>
                <w:noProof/>
                <w:sz w:val="22"/>
                <w:szCs w:val="22"/>
                <w:lang w:eastAsia="en-AU"/>
              </w:rPr>
              <w:tab/>
            </w:r>
            <w:r w:rsidR="008A28A1" w:rsidRPr="0075430B">
              <w:rPr>
                <w:rStyle w:val="Hyperlink"/>
                <w:noProof/>
              </w:rPr>
              <w:t>Generic import risk analysis (IRA) for prawns, 2009</w:t>
            </w:r>
            <w:r w:rsidR="008A28A1">
              <w:rPr>
                <w:noProof/>
                <w:webHidden/>
              </w:rPr>
              <w:tab/>
            </w:r>
            <w:r w:rsidR="008A28A1">
              <w:rPr>
                <w:noProof/>
                <w:webHidden/>
              </w:rPr>
              <w:fldChar w:fldCharType="begin"/>
            </w:r>
            <w:r w:rsidR="008A28A1">
              <w:rPr>
                <w:noProof/>
                <w:webHidden/>
              </w:rPr>
              <w:instrText xml:space="preserve"> PAGEREF _Toc500511630 \h </w:instrText>
            </w:r>
            <w:r w:rsidR="008A28A1">
              <w:rPr>
                <w:noProof/>
                <w:webHidden/>
              </w:rPr>
            </w:r>
            <w:r w:rsidR="008A28A1">
              <w:rPr>
                <w:noProof/>
                <w:webHidden/>
              </w:rPr>
              <w:fldChar w:fldCharType="separate"/>
            </w:r>
            <w:r w:rsidR="005305C1">
              <w:rPr>
                <w:noProof/>
                <w:webHidden/>
              </w:rPr>
              <w:t>6</w:t>
            </w:r>
            <w:r w:rsidR="008A28A1">
              <w:rPr>
                <w:noProof/>
                <w:webHidden/>
              </w:rPr>
              <w:fldChar w:fldCharType="end"/>
            </w:r>
          </w:hyperlink>
        </w:p>
        <w:p w14:paraId="71747E49"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1" w:history="1">
            <w:r w:rsidR="008A28A1" w:rsidRPr="0075430B">
              <w:rPr>
                <w:rStyle w:val="Hyperlink"/>
                <w:rFonts w:ascii="Calibri" w:hAnsi="Calibri"/>
                <w:noProof/>
              </w:rPr>
              <w:t>6</w:t>
            </w:r>
            <w:r w:rsidR="008A28A1">
              <w:rPr>
                <w:rFonts w:eastAsiaTheme="minorEastAsia" w:cstheme="minorBidi"/>
                <w:b w:val="0"/>
                <w:bCs w:val="0"/>
                <w:noProof/>
                <w:sz w:val="22"/>
                <w:szCs w:val="22"/>
                <w:lang w:eastAsia="en-AU"/>
              </w:rPr>
              <w:tab/>
            </w:r>
            <w:r w:rsidR="008A28A1" w:rsidRPr="0075430B">
              <w:rPr>
                <w:rStyle w:val="Hyperlink"/>
                <w:noProof/>
              </w:rPr>
              <w:t>Implementing IRA prawn import conditions, 2010 to 2016</w:t>
            </w:r>
            <w:r w:rsidR="008A28A1">
              <w:rPr>
                <w:noProof/>
                <w:webHidden/>
              </w:rPr>
              <w:tab/>
            </w:r>
            <w:r w:rsidR="008A28A1">
              <w:rPr>
                <w:noProof/>
                <w:webHidden/>
              </w:rPr>
              <w:fldChar w:fldCharType="begin"/>
            </w:r>
            <w:r w:rsidR="008A28A1">
              <w:rPr>
                <w:noProof/>
                <w:webHidden/>
              </w:rPr>
              <w:instrText xml:space="preserve"> PAGEREF _Toc500511631 \h </w:instrText>
            </w:r>
            <w:r w:rsidR="008A28A1">
              <w:rPr>
                <w:noProof/>
                <w:webHidden/>
              </w:rPr>
            </w:r>
            <w:r w:rsidR="008A28A1">
              <w:rPr>
                <w:noProof/>
                <w:webHidden/>
              </w:rPr>
              <w:fldChar w:fldCharType="separate"/>
            </w:r>
            <w:r w:rsidR="005305C1">
              <w:rPr>
                <w:noProof/>
                <w:webHidden/>
              </w:rPr>
              <w:t>6</w:t>
            </w:r>
            <w:r w:rsidR="008A28A1">
              <w:rPr>
                <w:noProof/>
                <w:webHidden/>
              </w:rPr>
              <w:fldChar w:fldCharType="end"/>
            </w:r>
          </w:hyperlink>
        </w:p>
        <w:p w14:paraId="1D1DAEC8"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2" w:history="1">
            <w:r w:rsidR="008A28A1" w:rsidRPr="0075430B">
              <w:rPr>
                <w:rStyle w:val="Hyperlink"/>
                <w:rFonts w:ascii="Calibri" w:hAnsi="Calibri"/>
                <w:noProof/>
              </w:rPr>
              <w:t>7</w:t>
            </w:r>
            <w:r w:rsidR="008A28A1">
              <w:rPr>
                <w:rFonts w:eastAsiaTheme="minorEastAsia" w:cstheme="minorBidi"/>
                <w:b w:val="0"/>
                <w:bCs w:val="0"/>
                <w:noProof/>
                <w:sz w:val="22"/>
                <w:szCs w:val="22"/>
                <w:lang w:eastAsia="en-AU"/>
              </w:rPr>
              <w:tab/>
            </w:r>
            <w:r w:rsidR="008A28A1" w:rsidRPr="0075430B">
              <w:rPr>
                <w:rStyle w:val="Hyperlink"/>
                <w:noProof/>
              </w:rPr>
              <w:t>Non-compliance with prawn import conditions, 2010 to 2016</w:t>
            </w:r>
            <w:r w:rsidR="008A28A1">
              <w:rPr>
                <w:noProof/>
                <w:webHidden/>
              </w:rPr>
              <w:tab/>
            </w:r>
            <w:r w:rsidR="008A28A1">
              <w:rPr>
                <w:noProof/>
                <w:webHidden/>
              </w:rPr>
              <w:fldChar w:fldCharType="begin"/>
            </w:r>
            <w:r w:rsidR="008A28A1">
              <w:rPr>
                <w:noProof/>
                <w:webHidden/>
              </w:rPr>
              <w:instrText xml:space="preserve"> PAGEREF _Toc500511632 \h </w:instrText>
            </w:r>
            <w:r w:rsidR="008A28A1">
              <w:rPr>
                <w:noProof/>
                <w:webHidden/>
              </w:rPr>
            </w:r>
            <w:r w:rsidR="008A28A1">
              <w:rPr>
                <w:noProof/>
                <w:webHidden/>
              </w:rPr>
              <w:fldChar w:fldCharType="separate"/>
            </w:r>
            <w:r w:rsidR="005305C1">
              <w:rPr>
                <w:noProof/>
                <w:webHidden/>
              </w:rPr>
              <w:t>8</w:t>
            </w:r>
            <w:r w:rsidR="008A28A1">
              <w:rPr>
                <w:noProof/>
                <w:webHidden/>
              </w:rPr>
              <w:fldChar w:fldCharType="end"/>
            </w:r>
          </w:hyperlink>
        </w:p>
        <w:p w14:paraId="16C6F6AA"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3" w:history="1">
            <w:r w:rsidR="008A28A1" w:rsidRPr="0075430B">
              <w:rPr>
                <w:rStyle w:val="Hyperlink"/>
                <w:rFonts w:ascii="Calibri" w:hAnsi="Calibri"/>
                <w:noProof/>
              </w:rPr>
              <w:t>8</w:t>
            </w:r>
            <w:r w:rsidR="008A28A1">
              <w:rPr>
                <w:rFonts w:eastAsiaTheme="minorEastAsia" w:cstheme="minorBidi"/>
                <w:b w:val="0"/>
                <w:bCs w:val="0"/>
                <w:noProof/>
                <w:sz w:val="22"/>
                <w:szCs w:val="22"/>
                <w:lang w:eastAsia="en-AU"/>
              </w:rPr>
              <w:tab/>
            </w:r>
            <w:r w:rsidR="008A28A1" w:rsidRPr="0075430B">
              <w:rPr>
                <w:rStyle w:val="Hyperlink"/>
                <w:noProof/>
              </w:rPr>
              <w:t>Lessons from Operation Cattai</w:t>
            </w:r>
            <w:r w:rsidR="008A28A1">
              <w:rPr>
                <w:noProof/>
                <w:webHidden/>
              </w:rPr>
              <w:tab/>
            </w:r>
            <w:r w:rsidR="008A28A1">
              <w:rPr>
                <w:noProof/>
                <w:webHidden/>
              </w:rPr>
              <w:fldChar w:fldCharType="begin"/>
            </w:r>
            <w:r w:rsidR="008A28A1">
              <w:rPr>
                <w:noProof/>
                <w:webHidden/>
              </w:rPr>
              <w:instrText xml:space="preserve"> PAGEREF _Toc500511633 \h </w:instrText>
            </w:r>
            <w:r w:rsidR="008A28A1">
              <w:rPr>
                <w:noProof/>
                <w:webHidden/>
              </w:rPr>
            </w:r>
            <w:r w:rsidR="008A28A1">
              <w:rPr>
                <w:noProof/>
                <w:webHidden/>
              </w:rPr>
              <w:fldChar w:fldCharType="separate"/>
            </w:r>
            <w:r w:rsidR="005305C1">
              <w:rPr>
                <w:noProof/>
                <w:webHidden/>
              </w:rPr>
              <w:t>9</w:t>
            </w:r>
            <w:r w:rsidR="008A28A1">
              <w:rPr>
                <w:noProof/>
                <w:webHidden/>
              </w:rPr>
              <w:fldChar w:fldCharType="end"/>
            </w:r>
          </w:hyperlink>
        </w:p>
        <w:p w14:paraId="69F1A096"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4" w:history="1">
            <w:r w:rsidR="008A28A1" w:rsidRPr="0075430B">
              <w:rPr>
                <w:rStyle w:val="Hyperlink"/>
                <w:rFonts w:ascii="Calibri" w:hAnsi="Calibri"/>
                <w:noProof/>
              </w:rPr>
              <w:t>9</w:t>
            </w:r>
            <w:r w:rsidR="008A28A1">
              <w:rPr>
                <w:rFonts w:eastAsiaTheme="minorEastAsia" w:cstheme="minorBidi"/>
                <w:b w:val="0"/>
                <w:bCs w:val="0"/>
                <w:noProof/>
                <w:sz w:val="22"/>
                <w:szCs w:val="22"/>
                <w:lang w:eastAsia="en-AU"/>
              </w:rPr>
              <w:tab/>
            </w:r>
            <w:r w:rsidR="008A28A1" w:rsidRPr="0075430B">
              <w:rPr>
                <w:rStyle w:val="Hyperlink"/>
                <w:noProof/>
              </w:rPr>
              <w:t>Handling prawns during import suspension, 6 January to 6 July 2017</w:t>
            </w:r>
            <w:r w:rsidR="008A28A1">
              <w:rPr>
                <w:noProof/>
                <w:webHidden/>
              </w:rPr>
              <w:tab/>
            </w:r>
            <w:r w:rsidR="008A28A1">
              <w:rPr>
                <w:noProof/>
                <w:webHidden/>
              </w:rPr>
              <w:fldChar w:fldCharType="begin"/>
            </w:r>
            <w:r w:rsidR="008A28A1">
              <w:rPr>
                <w:noProof/>
                <w:webHidden/>
              </w:rPr>
              <w:instrText xml:space="preserve"> PAGEREF _Toc500511634 \h </w:instrText>
            </w:r>
            <w:r w:rsidR="008A28A1">
              <w:rPr>
                <w:noProof/>
                <w:webHidden/>
              </w:rPr>
            </w:r>
            <w:r w:rsidR="008A28A1">
              <w:rPr>
                <w:noProof/>
                <w:webHidden/>
              </w:rPr>
              <w:fldChar w:fldCharType="separate"/>
            </w:r>
            <w:r w:rsidR="005305C1">
              <w:rPr>
                <w:noProof/>
                <w:webHidden/>
              </w:rPr>
              <w:t>10</w:t>
            </w:r>
            <w:r w:rsidR="008A28A1">
              <w:rPr>
                <w:noProof/>
                <w:webHidden/>
              </w:rPr>
              <w:fldChar w:fldCharType="end"/>
            </w:r>
          </w:hyperlink>
        </w:p>
        <w:p w14:paraId="75AA899C"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5" w:history="1">
            <w:r w:rsidR="008A28A1" w:rsidRPr="0075430B">
              <w:rPr>
                <w:rStyle w:val="Hyperlink"/>
                <w:rFonts w:ascii="Calibri" w:hAnsi="Calibri"/>
                <w:noProof/>
              </w:rPr>
              <w:t>10</w:t>
            </w:r>
            <w:r w:rsidR="008A28A1">
              <w:rPr>
                <w:rFonts w:eastAsiaTheme="minorEastAsia" w:cstheme="minorBidi"/>
                <w:b w:val="0"/>
                <w:bCs w:val="0"/>
                <w:noProof/>
                <w:sz w:val="22"/>
                <w:szCs w:val="22"/>
                <w:lang w:eastAsia="en-AU"/>
              </w:rPr>
              <w:tab/>
            </w:r>
            <w:r w:rsidR="008A28A1" w:rsidRPr="0075430B">
              <w:rPr>
                <w:rStyle w:val="Hyperlink"/>
                <w:noProof/>
              </w:rPr>
              <w:t>Future pre-border and border measures for trade in prawns</w:t>
            </w:r>
            <w:r w:rsidR="008A28A1">
              <w:rPr>
                <w:noProof/>
                <w:webHidden/>
              </w:rPr>
              <w:tab/>
            </w:r>
            <w:r w:rsidR="008A28A1">
              <w:rPr>
                <w:noProof/>
                <w:webHidden/>
              </w:rPr>
              <w:fldChar w:fldCharType="begin"/>
            </w:r>
            <w:r w:rsidR="008A28A1">
              <w:rPr>
                <w:noProof/>
                <w:webHidden/>
              </w:rPr>
              <w:instrText xml:space="preserve"> PAGEREF _Toc500511635 \h </w:instrText>
            </w:r>
            <w:r w:rsidR="008A28A1">
              <w:rPr>
                <w:noProof/>
                <w:webHidden/>
              </w:rPr>
            </w:r>
            <w:r w:rsidR="008A28A1">
              <w:rPr>
                <w:noProof/>
                <w:webHidden/>
              </w:rPr>
              <w:fldChar w:fldCharType="separate"/>
            </w:r>
            <w:r w:rsidR="005305C1">
              <w:rPr>
                <w:noProof/>
                <w:webHidden/>
              </w:rPr>
              <w:t>12</w:t>
            </w:r>
            <w:r w:rsidR="008A28A1">
              <w:rPr>
                <w:noProof/>
                <w:webHidden/>
              </w:rPr>
              <w:fldChar w:fldCharType="end"/>
            </w:r>
          </w:hyperlink>
        </w:p>
        <w:p w14:paraId="2A6E0DD3"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6" w:history="1">
            <w:r w:rsidR="008A28A1" w:rsidRPr="0075430B">
              <w:rPr>
                <w:rStyle w:val="Hyperlink"/>
                <w:rFonts w:ascii="Calibri" w:hAnsi="Calibri"/>
                <w:noProof/>
              </w:rPr>
              <w:t>11</w:t>
            </w:r>
            <w:r w:rsidR="008A28A1">
              <w:rPr>
                <w:rFonts w:eastAsiaTheme="minorEastAsia" w:cstheme="minorBidi"/>
                <w:b w:val="0"/>
                <w:bCs w:val="0"/>
                <w:noProof/>
                <w:sz w:val="22"/>
                <w:szCs w:val="22"/>
                <w:lang w:eastAsia="en-AU"/>
              </w:rPr>
              <w:tab/>
            </w:r>
            <w:r w:rsidR="008A28A1" w:rsidRPr="0075430B">
              <w:rPr>
                <w:rStyle w:val="Hyperlink"/>
                <w:noProof/>
              </w:rPr>
              <w:t>Future post-border biosecurity—implementing a shared responsibility</w:t>
            </w:r>
            <w:r w:rsidR="008A28A1">
              <w:rPr>
                <w:noProof/>
                <w:webHidden/>
              </w:rPr>
              <w:tab/>
            </w:r>
            <w:r w:rsidR="008A28A1">
              <w:rPr>
                <w:noProof/>
                <w:webHidden/>
              </w:rPr>
              <w:fldChar w:fldCharType="begin"/>
            </w:r>
            <w:r w:rsidR="008A28A1">
              <w:rPr>
                <w:noProof/>
                <w:webHidden/>
              </w:rPr>
              <w:instrText xml:space="preserve"> PAGEREF _Toc500511636 \h </w:instrText>
            </w:r>
            <w:r w:rsidR="008A28A1">
              <w:rPr>
                <w:noProof/>
                <w:webHidden/>
              </w:rPr>
            </w:r>
            <w:r w:rsidR="008A28A1">
              <w:rPr>
                <w:noProof/>
                <w:webHidden/>
              </w:rPr>
              <w:fldChar w:fldCharType="separate"/>
            </w:r>
            <w:r w:rsidR="005305C1">
              <w:rPr>
                <w:noProof/>
                <w:webHidden/>
              </w:rPr>
              <w:t>14</w:t>
            </w:r>
            <w:r w:rsidR="008A28A1">
              <w:rPr>
                <w:noProof/>
                <w:webHidden/>
              </w:rPr>
              <w:fldChar w:fldCharType="end"/>
            </w:r>
          </w:hyperlink>
        </w:p>
        <w:p w14:paraId="5B151DB5"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7" w:history="1">
            <w:r w:rsidR="008A28A1" w:rsidRPr="0075430B">
              <w:rPr>
                <w:rStyle w:val="Hyperlink"/>
                <w:rFonts w:ascii="Calibri" w:hAnsi="Calibri"/>
                <w:noProof/>
              </w:rPr>
              <w:t>12</w:t>
            </w:r>
            <w:r w:rsidR="008A28A1">
              <w:rPr>
                <w:rFonts w:eastAsiaTheme="minorEastAsia" w:cstheme="minorBidi"/>
                <w:b w:val="0"/>
                <w:bCs w:val="0"/>
                <w:noProof/>
                <w:sz w:val="22"/>
                <w:szCs w:val="22"/>
                <w:lang w:eastAsia="en-AU"/>
              </w:rPr>
              <w:tab/>
            </w:r>
            <w:r w:rsidR="008A28A1" w:rsidRPr="0075430B">
              <w:rPr>
                <w:rStyle w:val="Hyperlink"/>
                <w:noProof/>
              </w:rPr>
              <w:t>Conclusion</w:t>
            </w:r>
            <w:r w:rsidR="008A28A1">
              <w:rPr>
                <w:noProof/>
                <w:webHidden/>
              </w:rPr>
              <w:tab/>
            </w:r>
            <w:r w:rsidR="008A28A1">
              <w:rPr>
                <w:noProof/>
                <w:webHidden/>
              </w:rPr>
              <w:fldChar w:fldCharType="begin"/>
            </w:r>
            <w:r w:rsidR="008A28A1">
              <w:rPr>
                <w:noProof/>
                <w:webHidden/>
              </w:rPr>
              <w:instrText xml:space="preserve"> PAGEREF _Toc500511637 \h </w:instrText>
            </w:r>
            <w:r w:rsidR="008A28A1">
              <w:rPr>
                <w:noProof/>
                <w:webHidden/>
              </w:rPr>
            </w:r>
            <w:r w:rsidR="008A28A1">
              <w:rPr>
                <w:noProof/>
                <w:webHidden/>
              </w:rPr>
              <w:fldChar w:fldCharType="separate"/>
            </w:r>
            <w:r w:rsidR="005305C1">
              <w:rPr>
                <w:noProof/>
                <w:webHidden/>
              </w:rPr>
              <w:t>15</w:t>
            </w:r>
            <w:r w:rsidR="008A28A1">
              <w:rPr>
                <w:noProof/>
                <w:webHidden/>
              </w:rPr>
              <w:fldChar w:fldCharType="end"/>
            </w:r>
          </w:hyperlink>
        </w:p>
        <w:p w14:paraId="5421A296" w14:textId="77777777" w:rsidR="008A28A1" w:rsidRDefault="00DF7A74">
          <w:pPr>
            <w:pStyle w:val="TOC1"/>
            <w:tabs>
              <w:tab w:val="left" w:pos="480"/>
              <w:tab w:val="right" w:leader="dot" w:pos="9402"/>
            </w:tabs>
            <w:rPr>
              <w:rFonts w:eastAsiaTheme="minorEastAsia" w:cstheme="minorBidi"/>
              <w:b w:val="0"/>
              <w:bCs w:val="0"/>
              <w:noProof/>
              <w:sz w:val="22"/>
              <w:szCs w:val="22"/>
              <w:lang w:eastAsia="en-AU"/>
            </w:rPr>
          </w:pPr>
          <w:hyperlink w:anchor="_Toc500511638" w:history="1">
            <w:r w:rsidR="008A28A1" w:rsidRPr="0075430B">
              <w:rPr>
                <w:rStyle w:val="Hyperlink"/>
                <w:rFonts w:ascii="Calibri" w:hAnsi="Calibri"/>
                <w:noProof/>
              </w:rPr>
              <w:t>13</w:t>
            </w:r>
            <w:r w:rsidR="008A28A1">
              <w:rPr>
                <w:rFonts w:eastAsiaTheme="minorEastAsia" w:cstheme="minorBidi"/>
                <w:b w:val="0"/>
                <w:bCs w:val="0"/>
                <w:noProof/>
                <w:sz w:val="22"/>
                <w:szCs w:val="22"/>
                <w:lang w:eastAsia="en-AU"/>
              </w:rPr>
              <w:tab/>
            </w:r>
            <w:r w:rsidR="008A28A1" w:rsidRPr="0075430B">
              <w:rPr>
                <w:rStyle w:val="Hyperlink"/>
                <w:noProof/>
              </w:rPr>
              <w:t>Recommendations and departmental responses</w:t>
            </w:r>
            <w:r w:rsidR="008A28A1">
              <w:rPr>
                <w:noProof/>
                <w:webHidden/>
              </w:rPr>
              <w:tab/>
            </w:r>
            <w:r w:rsidR="008A28A1">
              <w:rPr>
                <w:noProof/>
                <w:webHidden/>
              </w:rPr>
              <w:fldChar w:fldCharType="begin"/>
            </w:r>
            <w:r w:rsidR="008A28A1">
              <w:rPr>
                <w:noProof/>
                <w:webHidden/>
              </w:rPr>
              <w:instrText xml:space="preserve"> PAGEREF _Toc500511638 \h </w:instrText>
            </w:r>
            <w:r w:rsidR="008A28A1">
              <w:rPr>
                <w:noProof/>
                <w:webHidden/>
              </w:rPr>
            </w:r>
            <w:r w:rsidR="008A28A1">
              <w:rPr>
                <w:noProof/>
                <w:webHidden/>
              </w:rPr>
              <w:fldChar w:fldCharType="separate"/>
            </w:r>
            <w:r w:rsidR="005305C1">
              <w:rPr>
                <w:noProof/>
                <w:webHidden/>
              </w:rPr>
              <w:t>16</w:t>
            </w:r>
            <w:r w:rsidR="008A28A1">
              <w:rPr>
                <w:noProof/>
                <w:webHidden/>
              </w:rPr>
              <w:fldChar w:fldCharType="end"/>
            </w:r>
          </w:hyperlink>
        </w:p>
        <w:p w14:paraId="6524767A" w14:textId="454583CD" w:rsidR="00CC703E" w:rsidRDefault="00572F22">
          <w:r>
            <w:rPr>
              <w:iCs/>
              <w:sz w:val="20"/>
              <w:szCs w:val="20"/>
            </w:rPr>
            <w:fldChar w:fldCharType="end"/>
          </w:r>
        </w:p>
      </w:sdtContent>
    </w:sdt>
    <w:p w14:paraId="1E1196EE" w14:textId="7D770426" w:rsidR="002338E2" w:rsidRDefault="002338E2">
      <w:pPr>
        <w:rPr>
          <w:b/>
          <w:bCs/>
          <w:sz w:val="20"/>
          <w:szCs w:val="20"/>
        </w:rPr>
        <w:sectPr w:rsidR="002338E2">
          <w:headerReference w:type="default" r:id="rId16"/>
          <w:footerReference w:type="default" r:id="rId17"/>
          <w:headerReference w:type="first" r:id="rId18"/>
          <w:footerReference w:type="first" r:id="rId19"/>
          <w:endnotePr>
            <w:numFmt w:val="decimal"/>
          </w:endnotePr>
          <w:pgSz w:w="11906" w:h="16838"/>
          <w:pgMar w:top="1134" w:right="1247" w:bottom="1134" w:left="1247" w:header="567" w:footer="425" w:gutter="0"/>
          <w:pgNumType w:fmt="lowerRoman" w:start="1"/>
          <w:cols w:space="708"/>
          <w:titlePg/>
          <w:docGrid w:linePitch="360"/>
        </w:sectPr>
      </w:pPr>
    </w:p>
    <w:p w14:paraId="0CE504A3" w14:textId="3F6AB61F" w:rsidR="00CC703E" w:rsidRPr="004901C8" w:rsidRDefault="006068F4" w:rsidP="007C529C">
      <w:pPr>
        <w:pStyle w:val="Heading2"/>
      </w:pPr>
      <w:bookmarkStart w:id="1" w:name="_Toc500511626"/>
      <w:bookmarkStart w:id="2" w:name="_Toc367702802"/>
      <w:bookmarkStart w:id="3" w:name="_Toc367706515"/>
      <w:bookmarkStart w:id="4" w:name="_Toc367707095"/>
      <w:bookmarkStart w:id="5" w:name="_Toc367707276"/>
      <w:bookmarkStart w:id="6" w:name="_Toc367708158"/>
      <w:bookmarkStart w:id="7" w:name="_Toc367947776"/>
      <w:bookmarkStart w:id="8" w:name="_Toc367976910"/>
      <w:bookmarkStart w:id="9" w:name="_Toc368493165"/>
      <w:bookmarkStart w:id="10" w:name="_Toc391391127"/>
      <w:r>
        <w:lastRenderedPageBreak/>
        <w:t>Background</w:t>
      </w:r>
      <w:bookmarkEnd w:id="1"/>
    </w:p>
    <w:p w14:paraId="48EFAC38" w14:textId="10FEA937" w:rsidR="00CC703E" w:rsidRDefault="00E37FDB">
      <w:pPr>
        <w:shd w:val="clear" w:color="auto" w:fill="FFFFFF"/>
        <w:spacing w:after="0"/>
        <w:textAlignment w:val="top"/>
        <w:rPr>
          <w:rFonts w:cs="Segoe UI"/>
          <w:color w:val="000000"/>
          <w:lang w:val="en"/>
        </w:rPr>
      </w:pPr>
      <w:r>
        <w:rPr>
          <w:rFonts w:cs="Segoe UI"/>
          <w:color w:val="000000"/>
          <w:lang w:val="en"/>
        </w:rPr>
        <w:t>On 17 February 2017 I advised the Hon. Barnaby Joyce, Minister for Agriculture and Water Resources, of my intention to review:</w:t>
      </w:r>
    </w:p>
    <w:p w14:paraId="2DAEB35E" w14:textId="18856F8E" w:rsidR="00CC703E" w:rsidRDefault="00E37FDB" w:rsidP="00A65BCE">
      <w:pPr>
        <w:pStyle w:val="ListBullet"/>
        <w:spacing w:before="60" w:after="0"/>
        <w:rPr>
          <w:lang w:val="en"/>
        </w:rPr>
      </w:pPr>
      <w:r>
        <w:rPr>
          <w:lang w:val="en"/>
        </w:rPr>
        <w:t>circumstances leading to the 6 January 2017 suspension of uncooked prawn imports into Australia</w:t>
      </w:r>
      <w:r w:rsidR="008243BB">
        <w:rPr>
          <w:lang w:val="en"/>
        </w:rPr>
        <w:t>, and</w:t>
      </w:r>
    </w:p>
    <w:p w14:paraId="2223DA84" w14:textId="77777777" w:rsidR="00CC703E" w:rsidRDefault="00E37FDB" w:rsidP="00FD08D8">
      <w:pPr>
        <w:pStyle w:val="ListBullet"/>
        <w:rPr>
          <w:lang w:val="en"/>
        </w:rPr>
      </w:pPr>
      <w:proofErr w:type="gramStart"/>
      <w:r>
        <w:rPr>
          <w:lang w:val="en"/>
        </w:rPr>
        <w:t>biosecurity</w:t>
      </w:r>
      <w:proofErr w:type="gramEnd"/>
      <w:r>
        <w:rPr>
          <w:lang w:val="en"/>
        </w:rPr>
        <w:t xml:space="preserve"> considerations relevant to future trade in uncooked prawns.</w:t>
      </w:r>
    </w:p>
    <w:p w14:paraId="5482CABA" w14:textId="77777777" w:rsidR="00CC703E" w:rsidRDefault="00E37FDB">
      <w:pPr>
        <w:shd w:val="clear" w:color="auto" w:fill="FFFFFF"/>
        <w:spacing w:after="0"/>
        <w:textAlignment w:val="top"/>
        <w:rPr>
          <w:lang w:eastAsia="ja-JP"/>
        </w:rPr>
      </w:pPr>
      <w:r>
        <w:rPr>
          <w:rFonts w:cs="Segoe UI"/>
          <w:color w:val="000000"/>
          <w:lang w:val="en"/>
        </w:rPr>
        <w:t xml:space="preserve">The suspension followed </w:t>
      </w:r>
      <w:r>
        <w:rPr>
          <w:lang w:eastAsia="ja-JP"/>
        </w:rPr>
        <w:t xml:space="preserve">initial investigations into the source of an </w:t>
      </w:r>
      <w:r>
        <w:rPr>
          <w:rFonts w:cs="Segoe UI"/>
          <w:color w:val="000000"/>
          <w:lang w:val="en"/>
        </w:rPr>
        <w:t>outbreak of the previously exotic white spot disease (WSD) in prawn farms and wild crustacean populations near the Logan River, in south-east Queensland</w:t>
      </w:r>
      <w:r>
        <w:rPr>
          <w:lang w:eastAsia="ja-JP"/>
        </w:rPr>
        <w:t>.</w:t>
      </w:r>
    </w:p>
    <w:p w14:paraId="38A81411" w14:textId="17D07677" w:rsidR="00CC703E" w:rsidRDefault="00E37FDB">
      <w:pPr>
        <w:shd w:val="clear" w:color="auto" w:fill="FFFFFF"/>
        <w:spacing w:after="0"/>
        <w:textAlignment w:val="top"/>
        <w:rPr>
          <w:rFonts w:cs="Segoe UI"/>
          <w:color w:val="000000"/>
          <w:lang w:val="en"/>
        </w:rPr>
      </w:pPr>
      <w:r>
        <w:rPr>
          <w:rFonts w:cs="Segoe UI"/>
          <w:color w:val="000000"/>
          <w:lang w:val="en"/>
        </w:rPr>
        <w:t>WSD is caused by white spot syndrome virus (WSSV) infection of crustaceans. It is not of concern to human health. However, it is one of the most severe diseases of farmed prawns, especially the valuable black tiger prawn</w:t>
      </w:r>
      <w:r>
        <w:rPr>
          <w:rFonts w:cs="Segoe UI"/>
          <w:color w:val="000000"/>
        </w:rPr>
        <w:t xml:space="preserve"> </w:t>
      </w:r>
      <w:proofErr w:type="spellStart"/>
      <w:r>
        <w:rPr>
          <w:rStyle w:val="Emphasis"/>
          <w:rFonts w:cs="Segoe UI"/>
          <w:color w:val="000000"/>
        </w:rPr>
        <w:t>Penaeus</w:t>
      </w:r>
      <w:proofErr w:type="spellEnd"/>
      <w:r>
        <w:rPr>
          <w:rStyle w:val="Emphasis"/>
          <w:rFonts w:cs="Segoe UI"/>
          <w:color w:val="000000"/>
          <w:lang w:val="en"/>
        </w:rPr>
        <w:t xml:space="preserve"> monodon</w:t>
      </w:r>
      <w:r>
        <w:rPr>
          <w:rFonts w:cs="Segoe UI"/>
          <w:color w:val="000000"/>
          <w:lang w:val="en"/>
        </w:rPr>
        <w:t xml:space="preserve"> farmed in Australia. WSD can </w:t>
      </w:r>
      <w:r w:rsidR="004C5646">
        <w:rPr>
          <w:rFonts w:cs="Segoe UI"/>
          <w:color w:val="000000"/>
          <w:lang w:val="en"/>
        </w:rPr>
        <w:t xml:space="preserve">kill </w:t>
      </w:r>
      <w:r>
        <w:rPr>
          <w:rFonts w:cs="Segoe UI"/>
          <w:color w:val="000000"/>
          <w:lang w:val="en"/>
        </w:rPr>
        <w:t>up to 100 per cent of prawns in a pond within two to five days of the first signs of disease.</w:t>
      </w:r>
      <w:r w:rsidR="003C29F5">
        <w:rPr>
          <w:rFonts w:cs="Segoe UI"/>
          <w:color w:val="000000"/>
          <w:lang w:val="en"/>
        </w:rPr>
        <w:t xml:space="preserve"> Since its emergence in </w:t>
      </w:r>
      <w:r w:rsidR="00E235EF">
        <w:rPr>
          <w:rFonts w:cs="Segoe UI"/>
          <w:color w:val="000000"/>
          <w:lang w:val="en"/>
        </w:rPr>
        <w:t>China</w:t>
      </w:r>
      <w:r w:rsidR="003C29F5">
        <w:rPr>
          <w:rFonts w:cs="Segoe UI"/>
          <w:color w:val="000000"/>
          <w:lang w:val="en"/>
        </w:rPr>
        <w:t xml:space="preserve"> in 1992, </w:t>
      </w:r>
      <w:r w:rsidR="00BB0383">
        <w:rPr>
          <w:rFonts w:cs="Segoe UI"/>
          <w:color w:val="000000"/>
          <w:lang w:val="en"/>
        </w:rPr>
        <w:t>WSSV</w:t>
      </w:r>
      <w:r w:rsidR="003C29F5">
        <w:rPr>
          <w:rFonts w:cs="Segoe UI"/>
          <w:color w:val="000000"/>
          <w:lang w:val="en"/>
        </w:rPr>
        <w:t xml:space="preserve"> has become endemic in all countries with prawn aquaculture industries, except New Caledonia and Australia</w:t>
      </w:r>
      <w:r w:rsidR="006068F4">
        <w:rPr>
          <w:rFonts w:cs="Segoe UI"/>
          <w:color w:val="000000"/>
          <w:lang w:val="en"/>
        </w:rPr>
        <w:t>, costing at least US$1 billion a year</w:t>
      </w:r>
      <w:r w:rsidR="003C29F5">
        <w:rPr>
          <w:rFonts w:cs="Segoe UI"/>
          <w:color w:val="000000"/>
          <w:lang w:val="en"/>
        </w:rPr>
        <w:t xml:space="preserve">. </w:t>
      </w:r>
    </w:p>
    <w:p w14:paraId="37710E08" w14:textId="12CDCF01" w:rsidR="00CC703E" w:rsidRDefault="00E37FDB">
      <w:pPr>
        <w:shd w:val="clear" w:color="auto" w:fill="FFFFFF"/>
        <w:spacing w:after="0"/>
        <w:textAlignment w:val="top"/>
      </w:pPr>
      <w:r>
        <w:rPr>
          <w:lang w:eastAsia="ja-JP"/>
        </w:rPr>
        <w:t xml:space="preserve">On 21 March 2017 the Senate, through its Rural and Regional Affairs and Transport References Committee, finalised terms of reference of an inquiry into ‘Biosecurity risks associated with the importation of seafood and seafood products (including uncooked prawns and uncooked prawn meat) into Australia’. The committee held public hearings and published </w:t>
      </w:r>
      <w:r w:rsidR="006068F4">
        <w:rPr>
          <w:lang w:eastAsia="ja-JP"/>
        </w:rPr>
        <w:t>its</w:t>
      </w:r>
      <w:r>
        <w:rPr>
          <w:lang w:eastAsia="ja-JP"/>
        </w:rPr>
        <w:t xml:space="preserve"> final report on 31 October 2017.</w:t>
      </w:r>
    </w:p>
    <w:p w14:paraId="073418C9" w14:textId="77777777" w:rsidR="00CC703E" w:rsidRDefault="00E37FDB">
      <w:pPr>
        <w:shd w:val="clear" w:color="auto" w:fill="FFFFFF"/>
        <w:spacing w:after="0"/>
        <w:textAlignment w:val="top"/>
      </w:pPr>
      <w:r>
        <w:rPr>
          <w:lang w:eastAsia="ja-JP"/>
        </w:rPr>
        <w:t>On 6 July 2017 the suspension of uncooked prawn imports lapsed. By this time, the Director of Biosecurity had put in place alternative import conditions for selected prawn products from specified countries. Implementation was underway when this report was being prepared.</w:t>
      </w:r>
    </w:p>
    <w:p w14:paraId="5856D461" w14:textId="74839924" w:rsidR="00CC703E" w:rsidRDefault="00E37FDB" w:rsidP="001B5D47">
      <w:pPr>
        <w:shd w:val="clear" w:color="auto" w:fill="FFFFFF"/>
        <w:spacing w:after="0"/>
        <w:textAlignment w:val="top"/>
        <w:rPr>
          <w:lang w:eastAsia="ja-JP"/>
        </w:rPr>
      </w:pPr>
      <w:r>
        <w:rPr>
          <w:lang w:eastAsia="ja-JP"/>
        </w:rPr>
        <w:t>Public submissions to both my review and the Senate inquiry have been published. The information summarised in my report is drawn from these documents and from the findings of my field work and internal inquiries at the Department of Agriculture and Water Resources.</w:t>
      </w:r>
    </w:p>
    <w:p w14:paraId="161E765E" w14:textId="1409EF0D" w:rsidR="00CC703E" w:rsidRDefault="00E37FDB" w:rsidP="007C529C">
      <w:pPr>
        <w:pStyle w:val="Heading2"/>
        <w:rPr>
          <w:i/>
        </w:rPr>
      </w:pPr>
      <w:bookmarkStart w:id="11" w:name="_Toc500511627"/>
      <w:r>
        <w:t>White spot disease outbreak in south-east Queensland, 2016</w:t>
      </w:r>
      <w:r w:rsidR="00185BBF" w:rsidRPr="00894BB4">
        <w:rPr>
          <w:rFonts w:ascii="Calibri" w:hAnsi="Calibri"/>
        </w:rPr>
        <w:t>–</w:t>
      </w:r>
      <w:r>
        <w:t>17</w:t>
      </w:r>
      <w:bookmarkEnd w:id="11"/>
    </w:p>
    <w:p w14:paraId="29AFA18F" w14:textId="77777777" w:rsidR="00CC703E" w:rsidRDefault="00E37FDB" w:rsidP="007C529C">
      <w:pPr>
        <w:pStyle w:val="Heading3"/>
      </w:pPr>
      <w:r>
        <w:t>Outbreak and disease control in prawn farms near the Logan River</w:t>
      </w:r>
    </w:p>
    <w:p w14:paraId="51D5A145" w14:textId="56A7F0DB" w:rsidR="00CC703E" w:rsidRDefault="00E37FDB" w:rsidP="007C59C5">
      <w:pPr>
        <w:widowControl w:val="0"/>
        <w:shd w:val="clear" w:color="auto" w:fill="FFFFFF"/>
        <w:spacing w:after="0"/>
        <w:textAlignment w:val="top"/>
        <w:rPr>
          <w:rFonts w:ascii="Calibri" w:hAnsi="Calibri"/>
        </w:rPr>
      </w:pPr>
      <w:r>
        <w:rPr>
          <w:rFonts w:ascii="Calibri" w:hAnsi="Calibri"/>
        </w:rPr>
        <w:t xml:space="preserve">On 22 November 2016 the owner of a prawn farm (first infected premises ‘1IP’) near the Logan River in south-east Queensland noticed unusual prawn </w:t>
      </w:r>
      <w:r w:rsidR="005F53D6">
        <w:rPr>
          <w:rFonts w:ascii="Calibri" w:hAnsi="Calibri"/>
        </w:rPr>
        <w:t>deaths</w:t>
      </w:r>
      <w:r>
        <w:rPr>
          <w:rFonts w:ascii="Calibri" w:hAnsi="Calibri"/>
        </w:rPr>
        <w:t xml:space="preserve"> in one pond. </w:t>
      </w:r>
      <w:r w:rsidR="00E43410">
        <w:rPr>
          <w:rFonts w:ascii="Calibri" w:hAnsi="Calibri"/>
        </w:rPr>
        <w:t xml:space="preserve">He </w:t>
      </w:r>
      <w:r>
        <w:rPr>
          <w:rFonts w:ascii="Calibri" w:hAnsi="Calibri"/>
        </w:rPr>
        <w:t>notified the Queensland Department of Agriculture and Fisheries (QDAF) on 24 November. By 28 November, 90 per cent of prawns in the first pond were dead, and prawns were dying in other ponds. On 30 November QDAF’s Biosecurity Sciences Laboratory found that specimens from 1IP tested positive for WSSV. On 1 December th</w:t>
      </w:r>
      <w:r w:rsidR="00EC09DD">
        <w:rPr>
          <w:rFonts w:ascii="Calibri" w:hAnsi="Calibri"/>
        </w:rPr>
        <w:t>is</w:t>
      </w:r>
      <w:r>
        <w:rPr>
          <w:rFonts w:ascii="Calibri" w:hAnsi="Calibri"/>
        </w:rPr>
        <w:t xml:space="preserve"> was confirmed by the Australian Animal Health Laboratory (AAHL).</w:t>
      </w:r>
    </w:p>
    <w:p w14:paraId="0B98C85C" w14:textId="207C8F74" w:rsidR="00CC703E" w:rsidRDefault="00E37FDB" w:rsidP="007C59C5">
      <w:pPr>
        <w:widowControl w:val="0"/>
        <w:shd w:val="clear" w:color="auto" w:fill="FFFFFF"/>
        <w:spacing w:after="0"/>
        <w:textAlignment w:val="top"/>
        <w:rPr>
          <w:rFonts w:ascii="Calibri" w:hAnsi="Calibri"/>
        </w:rPr>
      </w:pPr>
      <w:r>
        <w:rPr>
          <w:rFonts w:ascii="Calibri" w:hAnsi="Calibri"/>
        </w:rPr>
        <w:lastRenderedPageBreak/>
        <w:t>Australia’s Aquatic Consultative Committee on Emergency Animal Diseases (</w:t>
      </w:r>
      <w:proofErr w:type="spellStart"/>
      <w:r>
        <w:rPr>
          <w:rFonts w:ascii="Calibri" w:hAnsi="Calibri"/>
        </w:rPr>
        <w:t>AqCCEAD</w:t>
      </w:r>
      <w:proofErr w:type="spellEnd"/>
      <w:r>
        <w:rPr>
          <w:rFonts w:ascii="Calibri" w:hAnsi="Calibri"/>
        </w:rPr>
        <w:t>) coordinated the subsequent response in accordance with a pre-existing disease control strategy. QDAF led the response, supported by the Department of Agriculture and Water Resources.</w:t>
      </w:r>
    </w:p>
    <w:p w14:paraId="7F4B214C" w14:textId="3B0BACA5" w:rsidR="00CC703E" w:rsidRDefault="00E37FDB">
      <w:pPr>
        <w:shd w:val="clear" w:color="auto" w:fill="FFFFFF"/>
        <w:spacing w:after="0"/>
        <w:textAlignment w:val="top"/>
        <w:rPr>
          <w:rFonts w:ascii="Calibri" w:hAnsi="Calibri"/>
        </w:rPr>
      </w:pPr>
      <w:r>
        <w:rPr>
          <w:rFonts w:ascii="Calibri" w:hAnsi="Calibri"/>
        </w:rPr>
        <w:t xml:space="preserve">Despite rapid chlorination and destocking of 1IP, by 13 February 2017 WSD had spread to six nearby prawn farms. By late May 2017 these farms </w:t>
      </w:r>
      <w:r w:rsidR="00E5048C">
        <w:rPr>
          <w:rFonts w:ascii="Calibri" w:hAnsi="Calibri"/>
        </w:rPr>
        <w:t>were</w:t>
      </w:r>
      <w:r>
        <w:rPr>
          <w:rFonts w:ascii="Calibri" w:hAnsi="Calibri"/>
        </w:rPr>
        <w:t xml:space="preserve"> also destocked and decontaminated.</w:t>
      </w:r>
    </w:p>
    <w:p w14:paraId="00496370" w14:textId="2138ED52" w:rsidR="00CC703E" w:rsidRDefault="00E37FDB">
      <w:pPr>
        <w:shd w:val="clear" w:color="auto" w:fill="FFFFFF"/>
        <w:spacing w:after="0"/>
        <w:textAlignment w:val="top"/>
        <w:rPr>
          <w:rFonts w:ascii="Calibri" w:hAnsi="Calibri"/>
        </w:rPr>
      </w:pPr>
      <w:r>
        <w:rPr>
          <w:rFonts w:ascii="Calibri" w:hAnsi="Calibri"/>
        </w:rPr>
        <w:t xml:space="preserve">The Australian Government provided financial support </w:t>
      </w:r>
      <w:r w:rsidR="00EC09DD">
        <w:rPr>
          <w:rFonts w:ascii="Calibri" w:hAnsi="Calibri"/>
        </w:rPr>
        <w:t>so that</w:t>
      </w:r>
      <w:r>
        <w:rPr>
          <w:rFonts w:ascii="Calibri" w:hAnsi="Calibri"/>
        </w:rPr>
        <w:t xml:space="preserve"> affected farms </w:t>
      </w:r>
      <w:r w:rsidR="00EC09DD">
        <w:rPr>
          <w:rFonts w:ascii="Calibri" w:hAnsi="Calibri"/>
        </w:rPr>
        <w:t xml:space="preserve">could </w:t>
      </w:r>
      <w:r>
        <w:rPr>
          <w:rFonts w:ascii="Calibri" w:hAnsi="Calibri"/>
        </w:rPr>
        <w:t xml:space="preserve">remain destocked during the 2017–18 prawn-growing season. It was hoped they would be able to resume production the following </w:t>
      </w:r>
      <w:r w:rsidR="00D6279F">
        <w:rPr>
          <w:rFonts w:ascii="Calibri" w:hAnsi="Calibri"/>
        </w:rPr>
        <w:t>season</w:t>
      </w:r>
      <w:r>
        <w:rPr>
          <w:rFonts w:ascii="Calibri" w:hAnsi="Calibri"/>
        </w:rPr>
        <w:t>.</w:t>
      </w:r>
    </w:p>
    <w:p w14:paraId="1A7878DC" w14:textId="77777777" w:rsidR="00CC703E" w:rsidRDefault="00E37FDB" w:rsidP="007C529C">
      <w:pPr>
        <w:pStyle w:val="Heading3"/>
      </w:pPr>
      <w:r>
        <w:t>Spread to wild crustaceans and further control measures</w:t>
      </w:r>
    </w:p>
    <w:p w14:paraId="0A3461CF" w14:textId="73014FD7" w:rsidR="00EC09DD" w:rsidRDefault="00E37FDB">
      <w:pPr>
        <w:spacing w:after="0"/>
        <w:rPr>
          <w:szCs w:val="24"/>
        </w:rPr>
      </w:pPr>
      <w:r>
        <w:rPr>
          <w:szCs w:val="24"/>
        </w:rPr>
        <w:t xml:space="preserve">Sampling found WSSV in wild prawns and crabs in the Logan River in December 2016, then in nearby southern Moreton Bay in January 2017 and eventually in north-west Moreton Bay, about 60 nautical miles away, in March 2017. From 9 December, QDAF imposed restrictions on fishing and movement of uncooked prawns and other crustaceans from a widening zone to protect other populations from possible infection. Progressively, some other state governments also imposed similar restrictions on </w:t>
      </w:r>
      <w:r w:rsidR="00EC09DD">
        <w:rPr>
          <w:szCs w:val="24"/>
        </w:rPr>
        <w:t>uncooked crustacean</w:t>
      </w:r>
      <w:r>
        <w:rPr>
          <w:szCs w:val="24"/>
        </w:rPr>
        <w:t xml:space="preserve"> movement</w:t>
      </w:r>
      <w:r w:rsidR="00EC09DD">
        <w:rPr>
          <w:szCs w:val="24"/>
        </w:rPr>
        <w:t>s</w:t>
      </w:r>
      <w:r>
        <w:rPr>
          <w:szCs w:val="24"/>
        </w:rPr>
        <w:t xml:space="preserve"> from the infected zone</w:t>
      </w:r>
      <w:r w:rsidR="00EC09DD">
        <w:rPr>
          <w:szCs w:val="24"/>
        </w:rPr>
        <w:t>.</w:t>
      </w:r>
    </w:p>
    <w:p w14:paraId="06AA78EA" w14:textId="5C2490CD" w:rsidR="00CC703E" w:rsidRDefault="00E37FDB" w:rsidP="001B5D47">
      <w:pPr>
        <w:spacing w:after="0"/>
      </w:pPr>
      <w:r>
        <w:rPr>
          <w:szCs w:val="24"/>
        </w:rPr>
        <w:t>Further environmental sampling in late August and September 2017 found no other WSSV-infected animals. However, wider environmental s</w:t>
      </w:r>
      <w:r w:rsidR="00EC09DD">
        <w:rPr>
          <w:szCs w:val="24"/>
        </w:rPr>
        <w:t>urveillance</w:t>
      </w:r>
      <w:r>
        <w:rPr>
          <w:szCs w:val="24"/>
        </w:rPr>
        <w:t xml:space="preserve"> will be needed for at least two years after the last positive finding to ascertain whether WS</w:t>
      </w:r>
      <w:r w:rsidR="00BA00C1">
        <w:rPr>
          <w:szCs w:val="24"/>
        </w:rPr>
        <w:t>SV</w:t>
      </w:r>
      <w:r>
        <w:rPr>
          <w:szCs w:val="24"/>
        </w:rPr>
        <w:t xml:space="preserve"> infection in the wild has died out.</w:t>
      </w:r>
    </w:p>
    <w:p w14:paraId="54ED4A0D" w14:textId="77777777" w:rsidR="00CC703E" w:rsidRDefault="00E37FDB" w:rsidP="007C529C">
      <w:pPr>
        <w:pStyle w:val="Heading3"/>
      </w:pPr>
      <w:r>
        <w:t>WSD outbreak costs</w:t>
      </w:r>
    </w:p>
    <w:p w14:paraId="2E3EB289" w14:textId="704BC737" w:rsidR="00CC703E" w:rsidRDefault="00E37FDB">
      <w:pPr>
        <w:spacing w:before="60" w:after="0"/>
      </w:pPr>
      <w:r>
        <w:t>The Australian Government provided $1.87 million in 2016–17 to help control the spread of WSD and will provide up to $20 million in 2017–18. During 2016–17 the Queensland Government spent more than $17 million on the WSD response and has committed up to $9 million over the two years to 2018–19. Logan River prawn farming industry production losses in 2016–17 were estimated to be $43 million (excluding their response costs). Of these costs, the Australian and Queensland governments reimbursed or would reimburse $21.5 million and pledged a further $30 million for concessional loans.</w:t>
      </w:r>
    </w:p>
    <w:p w14:paraId="3653F522" w14:textId="77777777" w:rsidR="00CC703E" w:rsidRDefault="00E37FDB">
      <w:pPr>
        <w:spacing w:after="0"/>
      </w:pPr>
      <w:r>
        <w:t>Commercial fishing industries subject to closures or movement controls and other state governments involved in response or surveillance also incurred substantial costs.</w:t>
      </w:r>
    </w:p>
    <w:p w14:paraId="4DEFD824" w14:textId="77777777" w:rsidR="00CC703E" w:rsidRDefault="00E37FDB" w:rsidP="007C529C">
      <w:pPr>
        <w:pStyle w:val="Heading3"/>
      </w:pPr>
      <w:r>
        <w:t>Source of infection of 1IP, Logan River</w:t>
      </w:r>
    </w:p>
    <w:p w14:paraId="0543BF2A" w14:textId="37B7C8B0" w:rsidR="00CC703E" w:rsidRDefault="00E37FDB">
      <w:pPr>
        <w:spacing w:after="0"/>
      </w:pPr>
      <w:r>
        <w:t xml:space="preserve">Immediately after the WSD outbreak at 1IP was reported, two investigations </w:t>
      </w:r>
      <w:r w:rsidR="00EC09DD">
        <w:t>began</w:t>
      </w:r>
      <w:r>
        <w:t xml:space="preserve"> into the possible source of the infection. In their separate investigations, independent aquatic health consultant Dr Ben </w:t>
      </w:r>
      <w:proofErr w:type="spellStart"/>
      <w:r>
        <w:t>Diggles</w:t>
      </w:r>
      <w:proofErr w:type="spellEnd"/>
      <w:r>
        <w:t xml:space="preserve"> and the Department of Agriculture and Water Resources </w:t>
      </w:r>
      <w:r w:rsidR="00B63B03">
        <w:t xml:space="preserve">(the department) </w:t>
      </w:r>
      <w:r>
        <w:t>considered potential pathways for the entry of WSSV into 1IP, including:</w:t>
      </w:r>
    </w:p>
    <w:p w14:paraId="130958D2" w14:textId="77777777" w:rsidR="00CC703E" w:rsidRDefault="00E37FDB" w:rsidP="007C59C5">
      <w:pPr>
        <w:pStyle w:val="ListBullet"/>
        <w:spacing w:before="60" w:after="0"/>
      </w:pPr>
      <w:r>
        <w:t>hatchery broodstock or their progeny</w:t>
      </w:r>
    </w:p>
    <w:p w14:paraId="68A12A5B" w14:textId="77777777" w:rsidR="00CC703E" w:rsidRDefault="00E37FDB" w:rsidP="007C59C5">
      <w:pPr>
        <w:pStyle w:val="ListBullet"/>
        <w:spacing w:before="60" w:after="0"/>
      </w:pPr>
      <w:r>
        <w:t>prawn feed</w:t>
      </w:r>
    </w:p>
    <w:p w14:paraId="09E2DC7F" w14:textId="77777777" w:rsidR="00CC703E" w:rsidRDefault="00E37FDB" w:rsidP="007C59C5">
      <w:pPr>
        <w:pStyle w:val="ListBullet"/>
        <w:spacing w:before="60" w:after="0"/>
      </w:pPr>
      <w:r>
        <w:lastRenderedPageBreak/>
        <w:t>longstanding, previously undetected infection in the local marine environment</w:t>
      </w:r>
    </w:p>
    <w:p w14:paraId="5F31BC24" w14:textId="77777777" w:rsidR="00CC703E" w:rsidRDefault="00E37FDB" w:rsidP="007C59C5">
      <w:pPr>
        <w:pStyle w:val="ListBullet"/>
        <w:spacing w:before="60" w:after="0"/>
      </w:pPr>
      <w:r>
        <w:t>ballast water</w:t>
      </w:r>
    </w:p>
    <w:p w14:paraId="120BA046" w14:textId="77777777" w:rsidR="00CC703E" w:rsidRDefault="00E37FDB" w:rsidP="007C59C5">
      <w:pPr>
        <w:pStyle w:val="ListBullet"/>
        <w:spacing w:before="60" w:after="0"/>
      </w:pPr>
      <w:r>
        <w:t>industry visitors to 1IP</w:t>
      </w:r>
    </w:p>
    <w:p w14:paraId="6310662F" w14:textId="01192E04" w:rsidR="00CC703E" w:rsidRDefault="00E37FDB" w:rsidP="007C59C5">
      <w:pPr>
        <w:pStyle w:val="ListBullet"/>
        <w:spacing w:before="60" w:after="0"/>
      </w:pPr>
      <w:r>
        <w:t>aquaculture equipment from overseas WSSV-infected prawn farms</w:t>
      </w:r>
      <w:r w:rsidR="000A566F">
        <w:t>, or</w:t>
      </w:r>
    </w:p>
    <w:p w14:paraId="072D013A" w14:textId="77777777" w:rsidR="00CC703E" w:rsidRDefault="00E37FDB" w:rsidP="007C59C5">
      <w:pPr>
        <w:pStyle w:val="ListBullet"/>
        <w:spacing w:before="60" w:after="0"/>
      </w:pPr>
      <w:proofErr w:type="gramStart"/>
      <w:r>
        <w:t>imported</w:t>
      </w:r>
      <w:proofErr w:type="gramEnd"/>
      <w:r>
        <w:t xml:space="preserve"> uncooked retail prawns used as bait or berley or for criminal sabotage.</w:t>
      </w:r>
    </w:p>
    <w:p w14:paraId="6494D3FA" w14:textId="03CFDE06" w:rsidR="00CC703E" w:rsidRDefault="00E37FDB" w:rsidP="007C59C5">
      <w:pPr>
        <w:spacing w:before="240" w:after="0"/>
      </w:pPr>
      <w:r>
        <w:t xml:space="preserve">Dr </w:t>
      </w:r>
      <w:proofErr w:type="spellStart"/>
      <w:r>
        <w:t>Diggles</w:t>
      </w:r>
      <w:proofErr w:type="spellEnd"/>
      <w:r>
        <w:t xml:space="preserve"> focused on the immediate sequence of infection spread in the infected premises and the likely epidemiology of local spread. He concluded that the most likely pathway for disease spread to 1IP was from infected imported prawns used as bait or berley. The department examined the other pathways in greater detail but found no evidence that any were higher risk than the bait pathway. </w:t>
      </w:r>
      <w:r w:rsidR="004D3AF2">
        <w:t>Later g</w:t>
      </w:r>
      <w:r>
        <w:t xml:space="preserve">enotyping studies </w:t>
      </w:r>
      <w:r w:rsidR="004D3AF2">
        <w:t xml:space="preserve">by QDAF </w:t>
      </w:r>
      <w:r>
        <w:t xml:space="preserve">of WSSV </w:t>
      </w:r>
      <w:r w:rsidR="004D3AF2">
        <w:t xml:space="preserve">recovered from Queensland crustaceans found only limited similarity between them and the viruses in any of the imported prawn products </w:t>
      </w:r>
      <w:r w:rsidR="00F64C72">
        <w:t>genotyp</w:t>
      </w:r>
      <w:r w:rsidR="004D3AF2">
        <w:t>ed</w:t>
      </w:r>
      <w:r w:rsidR="00EC09DD">
        <w:t xml:space="preserve"> up to October 2017</w:t>
      </w:r>
      <w:r w:rsidR="004D3AF2">
        <w:t xml:space="preserve">. Further genotyping work </w:t>
      </w:r>
      <w:r w:rsidR="000746B8">
        <w:t xml:space="preserve">is </w:t>
      </w:r>
      <w:r w:rsidR="004D3AF2">
        <w:t>needed.</w:t>
      </w:r>
    </w:p>
    <w:p w14:paraId="3C9509B8" w14:textId="71786B2B" w:rsidR="00CC703E" w:rsidRDefault="00E37FDB">
      <w:pPr>
        <w:spacing w:after="0"/>
      </w:pPr>
      <w:r>
        <w:t>Risk mitigation processes for each of the possible pathways of infection need review</w:t>
      </w:r>
      <w:r w:rsidR="00EC09DD">
        <w:t>ing</w:t>
      </w:r>
      <w:r>
        <w:t xml:space="preserve"> and strengthen</w:t>
      </w:r>
      <w:r w:rsidR="00EC09DD">
        <w:t>ing</w:t>
      </w:r>
      <w:r>
        <w:t>—a process that should involve industry and governments. However, the department has rightly focused on addressing evident biosecurity problems in the imported uncooked retail prawn pathway.</w:t>
      </w:r>
    </w:p>
    <w:p w14:paraId="3CA2A0E6" w14:textId="77777777" w:rsidR="00CC703E" w:rsidRDefault="00E37FDB" w:rsidP="007C529C">
      <w:pPr>
        <w:pStyle w:val="Heading3"/>
      </w:pPr>
      <w:r>
        <w:t>Risks of uncooked prawn imports into Australia led to import suspension, January 2017</w:t>
      </w:r>
    </w:p>
    <w:p w14:paraId="46037537" w14:textId="133DF9B7" w:rsidR="00CC703E" w:rsidRDefault="00E37FDB">
      <w:pPr>
        <w:spacing w:after="0"/>
      </w:pPr>
      <w:r>
        <w:t xml:space="preserve">On 6 January 2017 the Director of Biosecurity suspended the import of uncooked prawns for </w:t>
      </w:r>
      <w:r w:rsidR="00F238A0">
        <w:t>6</w:t>
      </w:r>
      <w:r w:rsidR="001B5D47" w:rsidRPr="001B5D47">
        <w:t> </w:t>
      </w:r>
      <w:r>
        <w:t>months</w:t>
      </w:r>
      <w:r w:rsidR="00D6279F">
        <w:t>, effective from 9 January,</w:t>
      </w:r>
      <w:r>
        <w:t xml:space="preserve"> after determining that the biosecurity risks of these imports had risen above Australia’s appropriate level of protection (ALOP). This decision was based on:</w:t>
      </w:r>
    </w:p>
    <w:p w14:paraId="0DB49AC5" w14:textId="3AF33065" w:rsidR="00CC703E" w:rsidRDefault="00E37FDB">
      <w:pPr>
        <w:pStyle w:val="ListBullet"/>
      </w:pPr>
      <w:r>
        <w:t xml:space="preserve">evidence (detected largely in late 2016) of major and systematic non-compliance </w:t>
      </w:r>
      <w:r w:rsidR="00430F02">
        <w:t xml:space="preserve">with prawn import conditions </w:t>
      </w:r>
      <w:r>
        <w:t>by a number of prawn importers</w:t>
      </w:r>
    </w:p>
    <w:p w14:paraId="64A23E99" w14:textId="09CA7FA6" w:rsidR="00CC703E" w:rsidRDefault="00E37FDB">
      <w:pPr>
        <w:pStyle w:val="ListBullet"/>
      </w:pPr>
      <w:r>
        <w:t xml:space="preserve">proof that fishers were using imported uncooked retail prawns for bait upstream from WSD-affected farms and that these </w:t>
      </w:r>
      <w:r w:rsidR="000746B8">
        <w:t xml:space="preserve">bait </w:t>
      </w:r>
      <w:r>
        <w:t>prawns had tested positive for WSSV</w:t>
      </w:r>
      <w:r w:rsidR="000A54F4">
        <w:t>, and</w:t>
      </w:r>
    </w:p>
    <w:p w14:paraId="3F4854EA" w14:textId="7CBD2974" w:rsidR="00CC703E" w:rsidRDefault="00E37FDB">
      <w:pPr>
        <w:pStyle w:val="ListBullet"/>
      </w:pPr>
      <w:proofErr w:type="gramStart"/>
      <w:r>
        <w:t>high</w:t>
      </w:r>
      <w:proofErr w:type="gramEnd"/>
      <w:r>
        <w:t xml:space="preserve"> levels of WSSV in imported uncooked prawns purchased within 10 kilometres of the infected prawn farms. On 4 January 2017 AAHL reported that 14 out of 19 samples (74 per cent) tested positive for WSSV. This final trigger led to the import suspension decision.</w:t>
      </w:r>
    </w:p>
    <w:p w14:paraId="54EE6CF9" w14:textId="5B42FE99" w:rsidR="00CC703E" w:rsidRDefault="00E37FDB">
      <w:pPr>
        <w:tabs>
          <w:tab w:val="clear" w:pos="567"/>
        </w:tabs>
        <w:spacing w:before="60" w:after="0"/>
        <w:contextualSpacing/>
      </w:pPr>
      <w:r>
        <w:t xml:space="preserve">To understand how this happened, we must consider the history of prawn imports into Australia and the department’s attempts to keep serious prawn diseases out while at the same time </w:t>
      </w:r>
      <w:r w:rsidR="000A54F4" w:rsidRPr="000164E9">
        <w:t xml:space="preserve">meeting Australia’s import demands and its </w:t>
      </w:r>
      <w:r w:rsidR="000A54F4">
        <w:t xml:space="preserve">trade </w:t>
      </w:r>
      <w:r w:rsidR="000A54F4" w:rsidRPr="000164E9">
        <w:t>obligations</w:t>
      </w:r>
      <w:r>
        <w:t>.</w:t>
      </w:r>
    </w:p>
    <w:p w14:paraId="59D76FBC" w14:textId="77777777" w:rsidR="00CC703E" w:rsidRDefault="00E37FDB" w:rsidP="007C529C">
      <w:pPr>
        <w:pStyle w:val="Heading2"/>
      </w:pPr>
      <w:bookmarkStart w:id="12" w:name="_Toc500511628"/>
      <w:r>
        <w:lastRenderedPageBreak/>
        <w:t>Prawn production, trade and diseases</w:t>
      </w:r>
      <w:bookmarkEnd w:id="12"/>
    </w:p>
    <w:p w14:paraId="38E672FD" w14:textId="77777777" w:rsidR="00CC703E" w:rsidRDefault="00E37FDB" w:rsidP="007C529C">
      <w:pPr>
        <w:pStyle w:val="Heading3"/>
      </w:pPr>
      <w:r>
        <w:t>World and Australian prawn industries (wild-caught and farmed)</w:t>
      </w:r>
    </w:p>
    <w:p w14:paraId="5F8114A2" w14:textId="110370DC" w:rsidR="00CC703E" w:rsidRDefault="00E37FDB">
      <w:pPr>
        <w:spacing w:after="0"/>
      </w:pPr>
      <w:r>
        <w:t xml:space="preserve">Australian demand for prawns is met by local and imported product. Over the last 20 years, supply has shifted towards a greater reliance on local prawn aquaculture and cheaper imports from Asian aquaculture industries. </w:t>
      </w:r>
      <w:r>
        <w:rPr>
          <w:rStyle w:val="Strong"/>
          <w:rFonts w:cs="Segoe UI"/>
          <w:b w:val="0"/>
          <w:szCs w:val="24"/>
          <w:lang w:val="en"/>
        </w:rPr>
        <w:t>Australia’s prawn industry (</w:t>
      </w:r>
      <w:r>
        <w:t>wild-caught and farmed</w:t>
      </w:r>
      <w:r>
        <w:rPr>
          <w:rStyle w:val="Strong"/>
          <w:rFonts w:cs="Segoe UI"/>
          <w:b w:val="0"/>
          <w:szCs w:val="24"/>
          <w:lang w:val="en"/>
        </w:rPr>
        <w:t>) produces a</w:t>
      </w:r>
      <w:r w:rsidR="00692309">
        <w:rPr>
          <w:rStyle w:val="Strong"/>
          <w:rFonts w:cs="Segoe UI"/>
          <w:b w:val="0"/>
          <w:szCs w:val="24"/>
          <w:lang w:val="en"/>
        </w:rPr>
        <w:t>bout</w:t>
      </w:r>
      <w:r>
        <w:rPr>
          <w:rStyle w:val="Strong"/>
          <w:rFonts w:cs="Segoe UI"/>
          <w:b w:val="0"/>
          <w:szCs w:val="24"/>
          <w:lang w:val="en"/>
        </w:rPr>
        <w:t xml:space="preserve"> 25,000 </w:t>
      </w:r>
      <w:proofErr w:type="spellStart"/>
      <w:r>
        <w:rPr>
          <w:rStyle w:val="Strong"/>
          <w:rFonts w:cs="Segoe UI"/>
          <w:b w:val="0"/>
          <w:szCs w:val="24"/>
          <w:lang w:val="en"/>
        </w:rPr>
        <w:t>tonnes</w:t>
      </w:r>
      <w:proofErr w:type="spellEnd"/>
      <w:r>
        <w:rPr>
          <w:rStyle w:val="Strong"/>
          <w:rFonts w:cs="Segoe UI"/>
          <w:b w:val="0"/>
          <w:szCs w:val="24"/>
          <w:lang w:val="en"/>
        </w:rPr>
        <w:t xml:space="preserve"> of prawns per year, worth a</w:t>
      </w:r>
      <w:r w:rsidR="00692309">
        <w:rPr>
          <w:rStyle w:val="Strong"/>
          <w:rFonts w:cs="Segoe UI"/>
          <w:b w:val="0"/>
          <w:szCs w:val="24"/>
          <w:lang w:val="en"/>
        </w:rPr>
        <w:t>bout</w:t>
      </w:r>
      <w:r>
        <w:rPr>
          <w:rStyle w:val="Strong"/>
          <w:rFonts w:cs="Segoe UI"/>
          <w:b w:val="0"/>
          <w:szCs w:val="24"/>
          <w:lang w:val="en"/>
        </w:rPr>
        <w:t xml:space="preserve"> $358 million.</w:t>
      </w:r>
      <w:r>
        <w:t xml:space="preserve"> In 2016</w:t>
      </w:r>
      <w:r w:rsidR="00C84A33">
        <w:t>,</w:t>
      </w:r>
      <w:r>
        <w:t xml:space="preserve"> </w:t>
      </w:r>
      <w:r w:rsidR="003C2EF4">
        <w:t>27</w:t>
      </w:r>
      <w:r w:rsidR="001B5D47" w:rsidRPr="001B5D47">
        <w:t> </w:t>
      </w:r>
      <w:r w:rsidR="00C84A33">
        <w:t xml:space="preserve">Australian </w:t>
      </w:r>
      <w:r>
        <w:t>prawn farms produc</w:t>
      </w:r>
      <w:r w:rsidR="00C84A33">
        <w:t>ed</w:t>
      </w:r>
      <w:r>
        <w:t xml:space="preserve"> almost 5,000 tonnes of prawns worth $8</w:t>
      </w:r>
      <w:r w:rsidR="003C2EF4">
        <w:t>7</w:t>
      </w:r>
      <w:r>
        <w:t> mill</w:t>
      </w:r>
      <w:r w:rsidR="001B5D47">
        <w:t>ion.</w:t>
      </w:r>
    </w:p>
    <w:p w14:paraId="76016763" w14:textId="77777777" w:rsidR="00CC703E" w:rsidRDefault="00E37FDB" w:rsidP="007C529C">
      <w:pPr>
        <w:pStyle w:val="Heading3"/>
      </w:pPr>
      <w:r>
        <w:t xml:space="preserve">Prawn </w:t>
      </w:r>
      <w:r>
        <w:rPr>
          <w:rFonts w:ascii="Calibri" w:hAnsi="Calibri"/>
        </w:rPr>
        <w:t>disease</w:t>
      </w:r>
      <w:r>
        <w:t xml:space="preserve"> emergence and impact</w:t>
      </w:r>
    </w:p>
    <w:p w14:paraId="2EE82751" w14:textId="5900CE2C" w:rsidR="00CC703E" w:rsidRDefault="00E37FDB">
      <w:pPr>
        <w:spacing w:after="0"/>
        <w:rPr>
          <w:rFonts w:eastAsia="Times New Roman"/>
          <w:b/>
          <w:szCs w:val="24"/>
          <w:lang w:eastAsia="en-AU"/>
        </w:rPr>
      </w:pPr>
      <w:r>
        <w:t xml:space="preserve">Globally, the prawn farming industry has been threatened by emergence of serious crustacean diseases, the most severe being WSD. These diseases affect </w:t>
      </w:r>
      <w:r w:rsidR="00B54D3A">
        <w:t>farmed and</w:t>
      </w:r>
      <w:r>
        <w:t xml:space="preserve"> wild prawns and other crustaceans. WSD is lethal, not only to prawns but to freshwater crayfish, threatening farmed marron and wild yabbies. Overseas, prawn farmers have responded by farming more robust prawn species (mostly the lower-value </w:t>
      </w:r>
      <w:proofErr w:type="spellStart"/>
      <w:r w:rsidR="003C2EF4" w:rsidRPr="002039D5">
        <w:rPr>
          <w:i/>
        </w:rPr>
        <w:t>Penaeus</w:t>
      </w:r>
      <w:proofErr w:type="spellEnd"/>
      <w:r w:rsidR="003C2EF4" w:rsidRPr="002039D5">
        <w:rPr>
          <w:i/>
        </w:rPr>
        <w:t xml:space="preserve"> </w:t>
      </w:r>
      <w:proofErr w:type="spellStart"/>
      <w:r w:rsidR="003C2EF4" w:rsidRPr="002039D5">
        <w:rPr>
          <w:i/>
        </w:rPr>
        <w:t>vannamei</w:t>
      </w:r>
      <w:proofErr w:type="spellEnd"/>
      <w:r>
        <w:t xml:space="preserve"> prawn, which is exotic to Australia) and in</w:t>
      </w:r>
      <w:r w:rsidR="00B54D3A">
        <w:t>creasingly</w:t>
      </w:r>
      <w:r>
        <w:t xml:space="preserve"> </w:t>
      </w:r>
      <w:r w:rsidR="00B54D3A">
        <w:t>with</w:t>
      </w:r>
      <w:r>
        <w:t xml:space="preserve"> sophisticated on-farm biosecurity practices. WSD </w:t>
      </w:r>
      <w:r w:rsidR="000A566F">
        <w:t xml:space="preserve">cost Asian prawn </w:t>
      </w:r>
      <w:r w:rsidR="00B54D3A">
        <w:t>farming</w:t>
      </w:r>
      <w:r w:rsidR="000A566F">
        <w:t xml:space="preserve"> industries US$6 billion </w:t>
      </w:r>
      <w:r w:rsidR="00B54D3A">
        <w:t>in 1992</w:t>
      </w:r>
      <w:r w:rsidR="00B54D3A" w:rsidRPr="00247A7E">
        <w:t>–</w:t>
      </w:r>
      <w:r w:rsidR="00B54D3A">
        <w:t>1993 after it first emerged</w:t>
      </w:r>
      <w:r w:rsidR="000746B8">
        <w:t>.</w:t>
      </w:r>
    </w:p>
    <w:p w14:paraId="1B392D10" w14:textId="77777777" w:rsidR="00CC703E" w:rsidRDefault="00E37FDB" w:rsidP="007C529C">
      <w:pPr>
        <w:pStyle w:val="Heading3"/>
      </w:pPr>
      <w:r>
        <w:rPr>
          <w:rFonts w:ascii="Calibri" w:hAnsi="Calibri"/>
        </w:rPr>
        <w:t>Australian</w:t>
      </w:r>
      <w:r>
        <w:t xml:space="preserve"> prawn diseases</w:t>
      </w:r>
    </w:p>
    <w:p w14:paraId="7B828218" w14:textId="6EBF09B8" w:rsidR="00CC703E" w:rsidRDefault="00E37FDB" w:rsidP="006513DC">
      <w:pPr>
        <w:rPr>
          <w:lang w:eastAsia="ja-JP"/>
        </w:rPr>
      </w:pPr>
      <w:r>
        <w:rPr>
          <w:lang w:eastAsia="ja-JP"/>
        </w:rPr>
        <w:t xml:space="preserve">Viral infections in </w:t>
      </w:r>
      <w:r w:rsidR="00B54D3A">
        <w:rPr>
          <w:lang w:eastAsia="ja-JP"/>
        </w:rPr>
        <w:t xml:space="preserve">northern </w:t>
      </w:r>
      <w:r>
        <w:rPr>
          <w:lang w:eastAsia="ja-JP"/>
        </w:rPr>
        <w:t xml:space="preserve">Australian wild prawns were </w:t>
      </w:r>
      <w:r w:rsidR="00BE7F67">
        <w:rPr>
          <w:lang w:eastAsia="ja-JP"/>
        </w:rPr>
        <w:t>first found</w:t>
      </w:r>
      <w:r>
        <w:rPr>
          <w:lang w:eastAsia="ja-JP"/>
        </w:rPr>
        <w:t xml:space="preserve"> in the 1980s. In 1986 monodon </w:t>
      </w:r>
      <w:proofErr w:type="spellStart"/>
      <w:r>
        <w:rPr>
          <w:lang w:eastAsia="ja-JP"/>
        </w:rPr>
        <w:t>baculovirus</w:t>
      </w:r>
      <w:proofErr w:type="spellEnd"/>
      <w:r>
        <w:rPr>
          <w:lang w:eastAsia="ja-JP"/>
        </w:rPr>
        <w:t xml:space="preserve"> (MBV) was found in farms in northern Queensland’s emerging prawn aquaculture industry. By 1995, 12 viral diseases had been identified. Most had been brought into prawn farms from the wild via broodstock used </w:t>
      </w:r>
      <w:r>
        <w:t>for</w:t>
      </w:r>
      <w:r>
        <w:rPr>
          <w:lang w:eastAsia="ja-JP"/>
        </w:rPr>
        <w:t xml:space="preserve"> hatchery post-larvae production. To mitigate this risk, protocols were put in place from 2005 for </w:t>
      </w:r>
      <w:proofErr w:type="spellStart"/>
      <w:r>
        <w:rPr>
          <w:lang w:eastAsia="ja-JP"/>
        </w:rPr>
        <w:t>biosecure</w:t>
      </w:r>
      <w:proofErr w:type="spellEnd"/>
      <w:r>
        <w:rPr>
          <w:lang w:eastAsia="ja-JP"/>
        </w:rPr>
        <w:t xml:space="preserve"> prawn </w:t>
      </w:r>
      <w:proofErr w:type="spellStart"/>
      <w:r>
        <w:rPr>
          <w:lang w:eastAsia="ja-JP"/>
        </w:rPr>
        <w:t>broodstock</w:t>
      </w:r>
      <w:proofErr w:type="spellEnd"/>
      <w:r>
        <w:rPr>
          <w:lang w:eastAsia="ja-JP"/>
        </w:rPr>
        <w:t xml:space="preserve"> translocations from northern tropical waters to Queensland prawn hatcheries. Because WSD and yellow head disease (YHD) were absent from Australia, prawn farmers </w:t>
      </w:r>
      <w:r w:rsidR="00B54D3A">
        <w:rPr>
          <w:lang w:eastAsia="ja-JP"/>
        </w:rPr>
        <w:t>could</w:t>
      </w:r>
      <w:r>
        <w:rPr>
          <w:lang w:eastAsia="ja-JP"/>
        </w:rPr>
        <w:t xml:space="preserve"> farm black tiger prawns without adopting costly on-farm biosecurity practices regarded elsewhere as ‘world’s best practice’.</w:t>
      </w:r>
    </w:p>
    <w:p w14:paraId="58C5D744" w14:textId="77777777" w:rsidR="00CC703E" w:rsidRDefault="00E37FDB" w:rsidP="007C529C">
      <w:pPr>
        <w:pStyle w:val="Heading3"/>
      </w:pPr>
      <w:r>
        <w:t xml:space="preserve">‘The </w:t>
      </w:r>
      <w:r>
        <w:rPr>
          <w:rFonts w:ascii="Calibri" w:hAnsi="Calibri"/>
        </w:rPr>
        <w:t>Darwin</w:t>
      </w:r>
      <w:r>
        <w:t xml:space="preserve"> incident’—incursion of WSSV in 2000</w:t>
      </w:r>
    </w:p>
    <w:p w14:paraId="38E031FB" w14:textId="58854533" w:rsidR="00CC703E" w:rsidRDefault="00E37FDB" w:rsidP="006513DC">
      <w:pPr>
        <w:rPr>
          <w:lang w:val="en"/>
        </w:rPr>
      </w:pPr>
      <w:r>
        <w:rPr>
          <w:lang w:val="en"/>
        </w:rPr>
        <w:t xml:space="preserve">The only incursion of WSSV in Australia before December 2016 was in 2000, </w:t>
      </w:r>
      <w:r>
        <w:rPr>
          <w:lang w:eastAsia="ja-JP"/>
        </w:rPr>
        <w:t>when</w:t>
      </w:r>
      <w:r>
        <w:rPr>
          <w:lang w:val="en"/>
        </w:rPr>
        <w:t xml:space="preserve"> three Darwin aquaculture facilities were found to be using imported uncooked prawns (which they thought were ‘Australian’) as aquaculture feed. As a result, these facilities had to be destocked and disinfected. </w:t>
      </w:r>
      <w:r w:rsidR="00F64C72">
        <w:rPr>
          <w:lang w:val="en"/>
        </w:rPr>
        <w:t>Sampl</w:t>
      </w:r>
      <w:r>
        <w:rPr>
          <w:lang w:val="en"/>
        </w:rPr>
        <w:t xml:space="preserve">ing in Darwin Harbour revealed a small number of WSSV-positive prawns and crabs, but no clinical signs of disease. A month later, further testing gave no positive results. In 2001–02 a comprehensive survey of wild prawns and other crustaceans from 64 sites around Australia found no evidence of WSSV. </w:t>
      </w:r>
      <w:r w:rsidR="003B5F16">
        <w:rPr>
          <w:lang w:val="en"/>
        </w:rPr>
        <w:t>Due to</w:t>
      </w:r>
      <w:r>
        <w:rPr>
          <w:lang w:val="en"/>
        </w:rPr>
        <w:t xml:space="preserve"> this incident, in 2001 </w:t>
      </w:r>
      <w:r w:rsidR="003B5F16">
        <w:rPr>
          <w:lang w:val="en"/>
        </w:rPr>
        <w:t>Australia</w:t>
      </w:r>
      <w:r>
        <w:rPr>
          <w:lang w:val="en"/>
        </w:rPr>
        <w:t xml:space="preserve"> introduced </w:t>
      </w:r>
      <w:r w:rsidR="003B5F16">
        <w:rPr>
          <w:lang w:val="en"/>
        </w:rPr>
        <w:t>its</w:t>
      </w:r>
      <w:r>
        <w:rPr>
          <w:lang w:val="en"/>
        </w:rPr>
        <w:t xml:space="preserve"> first requirement for testing imported uncooked prawns.</w:t>
      </w:r>
    </w:p>
    <w:p w14:paraId="0BEA41B4" w14:textId="77777777" w:rsidR="00CC703E" w:rsidRDefault="00E37FDB" w:rsidP="007C529C">
      <w:pPr>
        <w:pStyle w:val="Heading2"/>
      </w:pPr>
      <w:bookmarkStart w:id="13" w:name="_Toc500511629"/>
      <w:r>
        <w:lastRenderedPageBreak/>
        <w:t>Regulatory control of biosecurity risks in Australia</w:t>
      </w:r>
      <w:bookmarkEnd w:id="13"/>
    </w:p>
    <w:p w14:paraId="34E74FDD" w14:textId="77777777" w:rsidR="00CC703E" w:rsidRDefault="00E37FDB" w:rsidP="007C529C">
      <w:pPr>
        <w:pStyle w:val="Heading3"/>
      </w:pPr>
      <w:r>
        <w:t>International obligations</w:t>
      </w:r>
    </w:p>
    <w:p w14:paraId="28EF90FA" w14:textId="26B5E439" w:rsidR="00CC703E" w:rsidRDefault="00E37FDB" w:rsidP="006513DC">
      <w:r>
        <w:t xml:space="preserve">The World Trade Organization’s Agreement on the Application of Sanitary and Phytosanitary Measures (SPS agreement) sets out obligations for countries to ensure that biosecurity measures are undertaken on sound scientific grounds and do not restrict trade unnecessarily. Countries can set their own risk-based standards to achieve their appropriate level of protection (ALOP). The World Organisation for Animal Health (OIE) specifies international standards and recommendations for preventing the spread and/or introduction of terrestrial and aquatic animal diseases. Aquatic diseases are covered by the OIE’s </w:t>
      </w:r>
      <w:r w:rsidRPr="00A815F6">
        <w:rPr>
          <w:i/>
        </w:rPr>
        <w:t>Aquatic Animal Health Code</w:t>
      </w:r>
      <w:r>
        <w:t xml:space="preserve"> and </w:t>
      </w:r>
      <w:r w:rsidRPr="00E37FDB">
        <w:rPr>
          <w:rStyle w:val="Emphasis"/>
        </w:rPr>
        <w:t>Manual of diagnostic tests for aquatic animals</w:t>
      </w:r>
      <w:r>
        <w:t>.</w:t>
      </w:r>
    </w:p>
    <w:p w14:paraId="0999896F" w14:textId="77777777" w:rsidR="00CC703E" w:rsidRDefault="00E37FDB" w:rsidP="007C529C">
      <w:pPr>
        <w:pStyle w:val="Heading3"/>
      </w:pPr>
      <w:r>
        <w:t>National regulatory framework</w:t>
      </w:r>
    </w:p>
    <w:p w14:paraId="623A2D28" w14:textId="1ECD5D7D" w:rsidR="00CC703E" w:rsidRDefault="00E37FDB" w:rsidP="006513DC">
      <w:r>
        <w:t>Australia manages biosecurity risks associated with trade through the Department of Agriculture and Water Resources. The department undertakes risk assessments and imposes various pre-border and border management measures to minimise the entry of regulated pests and diseases into Australia through imported products. States and territories are responsible for biosecurity risk management and aquatic disease control within their boundaries, including 3 nautical miles out to sea. The Australian Government has jurisdiction in the Australian Fishing Zone, from 3 to 200 nautical miles from shore.</w:t>
      </w:r>
    </w:p>
    <w:p w14:paraId="6CE33C75" w14:textId="087FA386" w:rsidR="00CC703E" w:rsidRDefault="00E37FDB" w:rsidP="006513DC">
      <w:r>
        <w:t xml:space="preserve">The department’s biosecurity powers were reformed when the </w:t>
      </w:r>
      <w:r w:rsidR="00D6279F">
        <w:t xml:space="preserve">Commonwealth </w:t>
      </w:r>
      <w:r>
        <w:rPr>
          <w:i/>
        </w:rPr>
        <w:t>Biosecurity Act 2015</w:t>
      </w:r>
      <w:r w:rsidR="00761F1A">
        <w:t xml:space="preserve"> </w:t>
      </w:r>
      <w:r>
        <w:t xml:space="preserve">superseded the </w:t>
      </w:r>
      <w:r>
        <w:rPr>
          <w:i/>
        </w:rPr>
        <w:t>Quarantine Act 1908</w:t>
      </w:r>
      <w:r>
        <w:t xml:space="preserve"> in June 2016. This required a massive internal overhaul of policies, procedures, guidelines and training, as well as extensive stakeholder engagement. Implementation went smoothly and inspection and enforcement activities continued, but departmental resources were extremely stretched in the process. Key differences between the two Acts and the processes required to administer them affected management of the WSD outbreak, suspension and resumption of uncooked prawn imports, and management of the wider biosecurity risk framework.</w:t>
      </w:r>
    </w:p>
    <w:p w14:paraId="6493480B" w14:textId="77777777" w:rsidR="00CC703E" w:rsidRDefault="00E37FDB" w:rsidP="006513DC">
      <w:r>
        <w:t>The Intergovernmental Agreement on Biosecurity (IGAB), in place since 2012, has strengthened the partnership between Australian, state and territory governments to deliver national biosecurity system improvements. A recent IGAB review has reaffirmed its value and set new priorities for collaboration between governments.</w:t>
      </w:r>
    </w:p>
    <w:p w14:paraId="013FAB70" w14:textId="77777777" w:rsidR="00CC703E" w:rsidRDefault="00E37FDB" w:rsidP="007C529C">
      <w:pPr>
        <w:pStyle w:val="Heading3"/>
      </w:pPr>
      <w:r>
        <w:t>Sharing responsibility between governments and industry</w:t>
      </w:r>
    </w:p>
    <w:p w14:paraId="02A08836" w14:textId="193DCBB3" w:rsidR="00CC703E" w:rsidRDefault="00E37FDB" w:rsidP="004218D5">
      <w:r>
        <w:t xml:space="preserve">Biosecurity issues of national significance, including incursion responses, are managed through </w:t>
      </w:r>
      <w:r w:rsidR="003B5F16">
        <w:t>various</w:t>
      </w:r>
      <w:r>
        <w:t xml:space="preserve"> cooperative national decision-making and cost-sharing arrangements between Australian, state and territory governments and relevant industries. These arrangements are less well-developed for aquatic than for terrestrial animal biosecurity.</w:t>
      </w:r>
    </w:p>
    <w:p w14:paraId="63962CA6" w14:textId="3BC9896C" w:rsidR="00CC703E" w:rsidRDefault="00E37FDB">
      <w:pPr>
        <w:spacing w:after="0"/>
      </w:pPr>
      <w:r>
        <w:t xml:space="preserve">Governments alone cannot deliver biosecurity. Agricultural industries must also be involved. This has been recognised since the 1990s, with the formation of Animal Health Australia and </w:t>
      </w:r>
      <w:r w:rsidR="003B5F16">
        <w:t xml:space="preserve">then </w:t>
      </w:r>
      <w:r>
        <w:t xml:space="preserve">Plant Health Australia. Formal cost-sharing agreements </w:t>
      </w:r>
      <w:r>
        <w:lastRenderedPageBreak/>
        <w:t xml:space="preserve">for emergency (terrestrial) animal and plant pest and disease incursion preparedness and responses have been invaluable </w:t>
      </w:r>
      <w:r w:rsidR="00CC707A">
        <w:t xml:space="preserve">to </w:t>
      </w:r>
      <w:r>
        <w:t>clarify roles of Australian, state and territory governments and industry in implementing their shared responsibility for post-border biosecurity outcomes. These agreements have often included provisions for animal industries to share responsibility for preventing disease outbreaks by implementing on-farm biosecurity programs.</w:t>
      </w:r>
    </w:p>
    <w:p w14:paraId="133BC804" w14:textId="0E6DC043" w:rsidR="00CC703E" w:rsidRDefault="00E37FDB">
      <w:pPr>
        <w:spacing w:after="0"/>
      </w:pPr>
      <w:r>
        <w:t xml:space="preserve">Development of a similar agreement for aquatic animal diseases (an ‘aquatic deed’) has lagged due to the complex legal nature of the ownership and use of aquatic resources and the difficulty in apportioning ownership of the significant risks associated with historical emerging endemic diseases </w:t>
      </w:r>
      <w:r w:rsidR="00AE2C4A">
        <w:t>as well as</w:t>
      </w:r>
      <w:r>
        <w:t xml:space="preserve"> exotic incursions.</w:t>
      </w:r>
    </w:p>
    <w:p w14:paraId="7774F54D" w14:textId="77777777" w:rsidR="00CC703E" w:rsidRDefault="00E37FDB" w:rsidP="007C529C">
      <w:pPr>
        <w:pStyle w:val="Heading3"/>
      </w:pPr>
      <w:r>
        <w:t>Governance of laboratory testing for international trade quality assurance</w:t>
      </w:r>
    </w:p>
    <w:p w14:paraId="5CF37F7C" w14:textId="3DA9C994" w:rsidR="00CC703E" w:rsidRDefault="00E37FDB" w:rsidP="004218D5">
      <w:r>
        <w:t>Testing of imported products to identify unwanted pest</w:t>
      </w:r>
      <w:r w:rsidR="008A3C39">
        <w:t>s</w:t>
      </w:r>
      <w:r>
        <w:t xml:space="preserve"> or disease agents is an important component of biosecurity risk management and is highly technical. The OIE designates international reference laboratories and experts on specific diseases. Australia also designates national reference laboratories and experts. The International Organization for Standardization and the International </w:t>
      </w:r>
      <w:proofErr w:type="spellStart"/>
      <w:r>
        <w:t>Electrotechnical</w:t>
      </w:r>
      <w:proofErr w:type="spellEnd"/>
      <w:r>
        <w:t xml:space="preserve"> Commission maintain ISO/IEC 17025, a standard for the competence of testing and calibration laboratories. All laboratories conducting testing for trade purposes </w:t>
      </w:r>
      <w:r w:rsidR="00CC707A">
        <w:t>must</w:t>
      </w:r>
      <w:r>
        <w:t xml:space="preserve"> comply with this standard. In Australia, the National Association of Testing Authorities (NATA) is responsible for ensuring that its member laboratories maintain quality assurance arrangements and comply with ISO/IEC 17025.</w:t>
      </w:r>
    </w:p>
    <w:p w14:paraId="046EA346" w14:textId="378A8A81" w:rsidR="00CC703E" w:rsidRDefault="00E37FDB" w:rsidP="004218D5">
      <w:r>
        <w:t>The Australian National Quality Assurance Program and the Laboratories</w:t>
      </w:r>
      <w:r w:rsidR="008A3C39">
        <w:t xml:space="preserve"> for</w:t>
      </w:r>
      <w:r>
        <w:t xml:space="preserve"> Emergency Animal Disease Diagnosis and Response network conduct proficiency testing to ensure that government</w:t>
      </w:r>
      <w:r w:rsidR="00DC555D">
        <w:t xml:space="preserve"> </w:t>
      </w:r>
      <w:r w:rsidR="00633890">
        <w:t>v</w:t>
      </w:r>
      <w:r>
        <w:t>eterinary laboratories are achieving comparable and accurate results. Both bodies are coordinated by the Animal Health Committee through its subcommittees.</w:t>
      </w:r>
    </w:p>
    <w:p w14:paraId="237A6523" w14:textId="77777777" w:rsidR="00CC703E" w:rsidRDefault="00E37FDB" w:rsidP="004218D5">
      <w:r>
        <w:t>The department approves both government and private laboratories to carry out import testing, with separate approval processes and requirements for handling specimens that may contain exotic pathogens, and specific technical requirements for the performance of different tests.</w:t>
      </w:r>
    </w:p>
    <w:p w14:paraId="2986A5BD" w14:textId="005666DD" w:rsidR="00CC703E" w:rsidRDefault="00E37FDB" w:rsidP="007C529C">
      <w:pPr>
        <w:pStyle w:val="Heading2"/>
      </w:pPr>
      <w:bookmarkStart w:id="14" w:name="_Generic_import_risk"/>
      <w:bookmarkStart w:id="15" w:name="_Toc500511630"/>
      <w:bookmarkEnd w:id="14"/>
      <w:r>
        <w:t>Generic import risk analysis</w:t>
      </w:r>
      <w:r w:rsidR="005E0B3F">
        <w:t xml:space="preserve"> (IRA)</w:t>
      </w:r>
      <w:r>
        <w:t xml:space="preserve"> for prawns, 2009</w:t>
      </w:r>
      <w:bookmarkEnd w:id="15"/>
    </w:p>
    <w:p w14:paraId="2D911C14" w14:textId="77777777" w:rsidR="00CC703E" w:rsidRDefault="00E37FDB" w:rsidP="007C529C">
      <w:pPr>
        <w:pStyle w:val="Heading3"/>
      </w:pPr>
      <w:r>
        <w:t>Development of import conditions before and during the IRA process</w:t>
      </w:r>
    </w:p>
    <w:p w14:paraId="32EEEBA1" w14:textId="49172C19" w:rsidR="00CC703E" w:rsidRDefault="00E37FDB" w:rsidP="004218D5">
      <w:pPr>
        <w:rPr>
          <w:b/>
        </w:rPr>
      </w:pPr>
      <w:r>
        <w:t xml:space="preserve">From 1992 Australia responded to emerging prawn disease risks by progressively introducing conditions for the import of certain classes of prawns. The conditions were aimed at minimising biosecurity risks—especially those posed by WSSV and YHV—to farmed and wild-caught prawn industries and other crustacean industries. From 1997 the implementation of conditions was managed through a generic import risk analysis (IRA) process that concluded in 2009. </w:t>
      </w:r>
      <w:r w:rsidR="008A3C39">
        <w:t>N</w:t>
      </w:r>
      <w:r>
        <w:t xml:space="preserve">ew import conditions, especially the requirement to sample and test individual batches of prawns for freedom from certain diseases, </w:t>
      </w:r>
      <w:r w:rsidR="00FF3E9F">
        <w:t xml:space="preserve">led to importers successfully requesting that new categories of highly processed prawns, such as marinated prawns, be exempt from </w:t>
      </w:r>
      <w:r w:rsidR="00FF3E9F">
        <w:lastRenderedPageBreak/>
        <w:t>testing.</w:t>
      </w:r>
      <w:r>
        <w:t xml:space="preserve"> Most stakeholders considered the final IRA was a major improvement over previous arrangements. However, a minority felt that selected arrangements were either unnecessary, too strict or not strict enough.</w:t>
      </w:r>
    </w:p>
    <w:p w14:paraId="12D25A74" w14:textId="736D2366" w:rsidR="00CC703E" w:rsidRDefault="00E37FDB" w:rsidP="007C529C">
      <w:pPr>
        <w:pStyle w:val="Heading3"/>
      </w:pPr>
      <w:r>
        <w:t xml:space="preserve">Achieving </w:t>
      </w:r>
      <w:r w:rsidR="00F13280">
        <w:t xml:space="preserve">an </w:t>
      </w:r>
      <w:r>
        <w:t>appropriate level of protection</w:t>
      </w:r>
    </w:p>
    <w:p w14:paraId="2AE4DB40" w14:textId="4DD16383" w:rsidR="00CC703E" w:rsidRDefault="00E37FDB">
      <w:pPr>
        <w:spacing w:after="0"/>
      </w:pPr>
      <w:r>
        <w:t xml:space="preserve">The 2009 IRA aimed to comply with WTO SPS agreement requirements and to achieve Australia’s ALOP of </w:t>
      </w:r>
      <w:r>
        <w:rPr>
          <w:rFonts w:ascii="Calibri" w:hAnsi="Calibri"/>
        </w:rPr>
        <w:t>‘providing a high level of sanitary and phytosanitary protection aimed at reducing risk to a very low level but not to zero’.</w:t>
      </w:r>
      <w:r>
        <w:t xml:space="preserve"> The underlying assumptions about how application of the prawn import conditions in the IRA would achieve Australia’s ALOP were poorly spelt out, lacked measurable verification measures, and were not revisited after 2009. It can be inferred that prawn import conditions were designed to allow only a very low level of WSSV and YHV in retail prawns. This </w:t>
      </w:r>
      <w:r w:rsidR="00FF3E9F">
        <w:t xml:space="preserve">would </w:t>
      </w:r>
      <w:r>
        <w:t xml:space="preserve">greatly reduce the risks </w:t>
      </w:r>
      <w:r w:rsidR="00FF3E9F" w:rsidRPr="000A1E60">
        <w:t>that, if retail prawns were used for bait, any of them would be infected, and therefore risk</w:t>
      </w:r>
      <w:r>
        <w:t xml:space="preserve"> infect</w:t>
      </w:r>
      <w:r w:rsidR="00FF3E9F">
        <w:t>ing any</w:t>
      </w:r>
      <w:r>
        <w:t xml:space="preserve"> nearby prawn farms or wild native crustaceans.</w:t>
      </w:r>
    </w:p>
    <w:p w14:paraId="28BBE830" w14:textId="77777777" w:rsidR="00CC703E" w:rsidRDefault="00E37FDB" w:rsidP="007C529C">
      <w:pPr>
        <w:pStyle w:val="Heading3"/>
      </w:pPr>
      <w:r>
        <w:t>Sampling and testing a batch of imported prawns for WSSV and YHV</w:t>
      </w:r>
    </w:p>
    <w:p w14:paraId="4BC74D48" w14:textId="737290C5" w:rsidR="00CC703E" w:rsidRDefault="00E37FDB">
      <w:pPr>
        <w:spacing w:after="0"/>
      </w:pPr>
      <w:r>
        <w:t xml:space="preserve">A key measure developed during the 2009 IRA process (and applied ever since) was the requirement to randomly sample and test each batch of certain classes of prawn products in an imported consignment. This was designed to detect viruses with 95 per cent probability, where the prevalence of infection in the consignment was assumed to be at least 5 per cent (the OIE standard in 2006). The technical parameters for determining what constituted a batch, and the sampling and testing regimes to be followed, were complex and not easily understood or verifiable. However, the accuracy of the final classification of batches </w:t>
      </w:r>
      <w:r w:rsidR="00A42272">
        <w:t xml:space="preserve">as positive or negative </w:t>
      </w:r>
      <w:r>
        <w:t>depende</w:t>
      </w:r>
      <w:r w:rsidR="00A42272">
        <w:t>d heavily</w:t>
      </w:r>
      <w:r>
        <w:t xml:space="preserve"> on correct </w:t>
      </w:r>
      <w:r w:rsidR="00A42272">
        <w:t xml:space="preserve">sampling </w:t>
      </w:r>
      <w:r>
        <w:t xml:space="preserve">and </w:t>
      </w:r>
      <w:r w:rsidR="009601E6">
        <w:t xml:space="preserve">test performance and </w:t>
      </w:r>
      <w:r>
        <w:t>interpretation</w:t>
      </w:r>
      <w:r w:rsidR="00A42272">
        <w:t>.</w:t>
      </w:r>
    </w:p>
    <w:p w14:paraId="37ECA6D0" w14:textId="77777777" w:rsidR="00CC703E" w:rsidRDefault="00E37FDB" w:rsidP="007C529C">
      <w:pPr>
        <w:pStyle w:val="Heading2"/>
      </w:pPr>
      <w:bookmarkStart w:id="16" w:name="_Toc500511631"/>
      <w:r>
        <w:t>Implementing IRA prawn import conditions, 2010 to 2016</w:t>
      </w:r>
      <w:bookmarkEnd w:id="16"/>
    </w:p>
    <w:p w14:paraId="0CC8435F" w14:textId="4B1413D1" w:rsidR="00CC703E" w:rsidRDefault="006B236A" w:rsidP="007C529C">
      <w:pPr>
        <w:pStyle w:val="Heading3"/>
        <w:rPr>
          <w:szCs w:val="24"/>
        </w:rPr>
      </w:pPr>
      <w:r w:rsidRPr="006B236A">
        <w:t>Volume, value and source of imported prawns</w:t>
      </w:r>
      <w:r>
        <w:rPr>
          <w:szCs w:val="24"/>
        </w:rPr>
        <w:t xml:space="preserve"> </w:t>
      </w:r>
    </w:p>
    <w:p w14:paraId="79CD43C3" w14:textId="74E386A8" w:rsidR="00CC703E" w:rsidRDefault="00E37FDB">
      <w:pPr>
        <w:spacing w:after="0"/>
        <w:rPr>
          <w:szCs w:val="24"/>
        </w:rPr>
      </w:pPr>
      <w:r>
        <w:t xml:space="preserve">The prawn import conditions recommended in the IRA </w:t>
      </w:r>
      <w:r>
        <w:rPr>
          <w:szCs w:val="24"/>
        </w:rPr>
        <w:t xml:space="preserve">were applied from 2010 to 2016 to prawn imports worth from around $230 to 365 million per year. Annually, this represented </w:t>
      </w:r>
      <w:r w:rsidR="0017142F">
        <w:rPr>
          <w:szCs w:val="24"/>
        </w:rPr>
        <w:t xml:space="preserve">between </w:t>
      </w:r>
      <w:r>
        <w:rPr>
          <w:szCs w:val="24"/>
        </w:rPr>
        <w:t xml:space="preserve">10 to 14,000 tonnes of cooked prawns, 10 to 17,000 tonnes of uncooked prawns, 6 to 7,000 tonnes of marinated prawns and 2 to 3,000 tonnes of other highly processed prawns, including breaded and battered prawns. These imports were from up to </w:t>
      </w:r>
      <w:r w:rsidR="00A42272">
        <w:rPr>
          <w:szCs w:val="24"/>
        </w:rPr>
        <w:t>40 </w:t>
      </w:r>
      <w:r>
        <w:rPr>
          <w:szCs w:val="24"/>
        </w:rPr>
        <w:t>countries, mostly Vietnam, Thailand, China, Malaysia and Indonesia. The mix of countries exporting different categories of prawns changed from year to year.</w:t>
      </w:r>
    </w:p>
    <w:p w14:paraId="52AD8F24" w14:textId="77777777" w:rsidR="00CC703E" w:rsidRDefault="00E37FDB" w:rsidP="007C529C">
      <w:pPr>
        <w:pStyle w:val="Heading3"/>
      </w:pPr>
      <w:r>
        <w:t>Pre-border biosecurity risk management, 2010 to 2016</w:t>
      </w:r>
    </w:p>
    <w:p w14:paraId="6759494B" w14:textId="2CDE2305" w:rsidR="00CC703E" w:rsidRDefault="00E37FDB">
      <w:pPr>
        <w:spacing w:before="60" w:after="0"/>
      </w:pPr>
      <w:r>
        <w:rPr>
          <w:bCs/>
        </w:rPr>
        <w:t xml:space="preserve">The department manages as many biosecurity risks as possible offshore, keeping risks as far away from Australia as possible. </w:t>
      </w:r>
      <w:r w:rsidR="000E1AE0">
        <w:rPr>
          <w:bCs/>
        </w:rPr>
        <w:t xml:space="preserve">It </w:t>
      </w:r>
      <w:r>
        <w:t>assess</w:t>
      </w:r>
      <w:r w:rsidR="00633890">
        <w:t>es</w:t>
      </w:r>
      <w:r>
        <w:t xml:space="preserve"> and approv</w:t>
      </w:r>
      <w:r w:rsidR="00633890">
        <w:t>es</w:t>
      </w:r>
      <w:r>
        <w:t xml:space="preserve"> competent authorities (listed overseas government agencies) to certify that consignments and batches of prawns meet Australia’s conditions, including country, zone or compartment disease freedom</w:t>
      </w:r>
      <w:r w:rsidR="000E1AE0">
        <w:t>;</w:t>
      </w:r>
      <w:r>
        <w:t xml:space="preserve"> supply-chain segregation</w:t>
      </w:r>
      <w:r w:rsidR="000E1AE0">
        <w:t>;</w:t>
      </w:r>
      <w:r>
        <w:t xml:space="preserve"> and pre-export verification testing and/or labelling.</w:t>
      </w:r>
    </w:p>
    <w:p w14:paraId="675DADB1" w14:textId="01D3E277" w:rsidR="00CC703E" w:rsidRDefault="00E37FDB">
      <w:r>
        <w:lastRenderedPageBreak/>
        <w:t>Specific offshore arrangements that applied from 2010–16 included:</w:t>
      </w:r>
    </w:p>
    <w:p w14:paraId="0FDD4B47" w14:textId="42FD35BA" w:rsidR="00CC703E" w:rsidRDefault="00E37FDB">
      <w:pPr>
        <w:pStyle w:val="ListBullet"/>
      </w:pPr>
      <w:r>
        <w:t xml:space="preserve">recognition that New Caledonia was free of WSSV, YHD and </w:t>
      </w:r>
      <w:proofErr w:type="spellStart"/>
      <w:r>
        <w:t>taura</w:t>
      </w:r>
      <w:proofErr w:type="spellEnd"/>
      <w:r>
        <w:t xml:space="preserve"> syndrome virus (TSV) and could therefore export uncooked whole prawns without inspection or testing on arrival</w:t>
      </w:r>
      <w:r w:rsidR="000E1AE0">
        <w:t>, and</w:t>
      </w:r>
    </w:p>
    <w:p w14:paraId="379D8C74" w14:textId="77777777" w:rsidR="00CC703E" w:rsidRDefault="00E37FDB">
      <w:pPr>
        <w:pStyle w:val="ListBullet"/>
      </w:pPr>
      <w:proofErr w:type="gramStart"/>
      <w:r>
        <w:t>approval</w:t>
      </w:r>
      <w:proofErr w:type="gramEnd"/>
      <w:r>
        <w:t xml:space="preserve"> for Thailand to re-export Australian wild-caught prawns processed through a government-approved supply chain.</w:t>
      </w:r>
    </w:p>
    <w:p w14:paraId="322217AE" w14:textId="60F247AA" w:rsidR="00CC703E" w:rsidRDefault="00E37FDB">
      <w:pPr>
        <w:spacing w:before="60" w:after="0"/>
      </w:pPr>
      <w:r>
        <w:t xml:space="preserve">For other uncooked prawn imports, importers </w:t>
      </w:r>
      <w:r w:rsidR="000E1AE0">
        <w:t>had</w:t>
      </w:r>
      <w:r>
        <w:t xml:space="preserve"> to obtain certification from a competent </w:t>
      </w:r>
      <w:r>
        <w:rPr>
          <w:bCs/>
        </w:rPr>
        <w:t>authority</w:t>
      </w:r>
      <w:r>
        <w:t xml:space="preserve"> stating that each batch of prawns were free of visible signs of infectious disease, processed as stipulated and correctly labelled.</w:t>
      </w:r>
    </w:p>
    <w:p w14:paraId="60F34A5F" w14:textId="1B2CA3C4" w:rsidR="00CC703E" w:rsidRDefault="00E37FDB">
      <w:pPr>
        <w:spacing w:before="60" w:after="0"/>
      </w:pPr>
      <w:r>
        <w:t xml:space="preserve">A batch was defined as ‘a population from a different pond population or fishing period population’. However, in practice it was </w:t>
      </w:r>
      <w:r w:rsidR="000E1AE0">
        <w:t>hard</w:t>
      </w:r>
      <w:r>
        <w:t xml:space="preserve"> for </w:t>
      </w:r>
      <w:r w:rsidR="000E1AE0">
        <w:t>a government official</w:t>
      </w:r>
      <w:r>
        <w:t xml:space="preserve"> to verify that batches emerg</w:t>
      </w:r>
      <w:r w:rsidR="000E1AE0">
        <w:t>ing</w:t>
      </w:r>
      <w:r>
        <w:t xml:space="preserve"> from</w:t>
      </w:r>
      <w:r w:rsidR="000E1AE0">
        <w:t xml:space="preserve"> a</w:t>
      </w:r>
      <w:r>
        <w:t xml:space="preserve"> processing plant complied with the batch definition in the import conditions.</w:t>
      </w:r>
    </w:p>
    <w:p w14:paraId="70790862" w14:textId="3E441F02" w:rsidR="00CC703E" w:rsidRDefault="00D01ECE">
      <w:pPr>
        <w:spacing w:before="60" w:after="0"/>
      </w:pPr>
      <w:r>
        <w:t>A</w:t>
      </w:r>
      <w:r w:rsidR="00E37FDB">
        <w:t xml:space="preserve"> government inspector w</w:t>
      </w:r>
      <w:r>
        <w:t>as most unlikely to be</w:t>
      </w:r>
      <w:r w:rsidR="00E37FDB">
        <w:t xml:space="preserve"> inspecting for signs of infectious </w:t>
      </w:r>
      <w:r w:rsidR="00E37FDB">
        <w:rPr>
          <w:bCs/>
        </w:rPr>
        <w:t>disease</w:t>
      </w:r>
      <w:r w:rsidR="00E37FDB">
        <w:t xml:space="preserve"> in frozen whole prawns that arrived at a processing plant, or in the same prawns as they were being thawed and put onto a production line for sorting, shelling and deveining. Any inspector examining uncooked prawn meat post-processing </w:t>
      </w:r>
      <w:r>
        <w:t>c</w:t>
      </w:r>
      <w:r w:rsidR="00E37FDB">
        <w:t xml:space="preserve">ould </w:t>
      </w:r>
      <w:r>
        <w:t>almost never</w:t>
      </w:r>
      <w:r w:rsidR="00E37FDB">
        <w:t xml:space="preserve"> find signs of disease.</w:t>
      </w:r>
    </w:p>
    <w:p w14:paraId="6E438AB0" w14:textId="3943B9D9" w:rsidR="00CC703E" w:rsidRDefault="00E37FDB">
      <w:pPr>
        <w:spacing w:before="60" w:after="0"/>
      </w:pPr>
      <w:r>
        <w:t>The import conditions assumed that the country of origin of the prawns was the competent authority’s country. However, without adequate tracing systems in place, it is likely that some batches of prawns arriving at processing plants came from other countries.</w:t>
      </w:r>
    </w:p>
    <w:p w14:paraId="302C8224" w14:textId="77777777" w:rsidR="00CC703E" w:rsidRDefault="00E37FDB" w:rsidP="007C529C">
      <w:pPr>
        <w:pStyle w:val="Heading3"/>
      </w:pPr>
      <w:r>
        <w:t>Border biosecurity management activities, 2010 to 2016</w:t>
      </w:r>
    </w:p>
    <w:p w14:paraId="368970D3" w14:textId="566655A2" w:rsidR="00CC703E" w:rsidRDefault="00E37FDB">
      <w:pPr>
        <w:spacing w:before="60" w:after="0"/>
      </w:pPr>
      <w:r>
        <w:t xml:space="preserve">The task of verifying the new </w:t>
      </w:r>
      <w:r w:rsidR="00666DB7">
        <w:t xml:space="preserve">2010 </w:t>
      </w:r>
      <w:r>
        <w:t>conditions was added to the duties of frontline assessors and inspectors—with little extra training and limited resources.</w:t>
      </w:r>
    </w:p>
    <w:p w14:paraId="51BA2F02" w14:textId="4AD8994B" w:rsidR="00CC703E" w:rsidRDefault="00E37FDB">
      <w:pPr>
        <w:spacing w:before="60" w:after="0"/>
      </w:pPr>
      <w:r>
        <w:t xml:space="preserve">Based on import documentation for each declared uncooked prawn consignment, border assessors had to determine whether batches needed to be inspected (in quarantine approved premises), verified (to show that </w:t>
      </w:r>
      <w:r w:rsidR="00C61156">
        <w:t>prawns</w:t>
      </w:r>
      <w:r>
        <w:t xml:space="preserve"> were sufficiently highly processed to not require testing) or sampled and tested for WSSV and YHV.</w:t>
      </w:r>
    </w:p>
    <w:p w14:paraId="6EAA5031" w14:textId="4B3275CE" w:rsidR="00CC703E" w:rsidRDefault="00E37FDB">
      <w:pPr>
        <w:spacing w:before="60" w:after="0"/>
      </w:pPr>
      <w:r>
        <w:t>Import permits were issued to importers for two-year periods. Each year, around 200 importers brought in about 4,000 consignments of prawns (cooked, processed and raw). Of th</w:t>
      </w:r>
      <w:r w:rsidR="00A627BB">
        <w:t>ese</w:t>
      </w:r>
      <w:r>
        <w:t>, about 1,100 consignments were inspected, 250 were verified and 900 were sampled and tested. Sydney and Melbourne each received about 30 per cent of consignments, with smaller volumes going to Brisbane, Adelaide and Perth.</w:t>
      </w:r>
    </w:p>
    <w:p w14:paraId="16D35A4B" w14:textId="0E20E7C2" w:rsidR="00CC703E" w:rsidRDefault="00E37FDB">
      <w:pPr>
        <w:spacing w:after="0"/>
      </w:pPr>
      <w:r>
        <w:t>In the three years to 2015–16, 3,474 inspection directions (including verification, sampling and testing) were recorded. On average, inspectors took about half an hour per consignment to complete the inspection directions at the warehouse</w:t>
      </w:r>
      <w:r w:rsidR="00A627BB">
        <w:t>, with</w:t>
      </w:r>
      <w:r>
        <w:t xml:space="preserve"> cost</w:t>
      </w:r>
      <w:r w:rsidR="00A627BB">
        <w:t>s</w:t>
      </w:r>
      <w:r>
        <w:t xml:space="preserve"> recovered from the importer.</w:t>
      </w:r>
    </w:p>
    <w:p w14:paraId="453BB7B4" w14:textId="7F57B28A" w:rsidR="00CC703E" w:rsidRDefault="00E37FDB">
      <w:pPr>
        <w:rPr>
          <w:b/>
        </w:rPr>
      </w:pPr>
      <w:r>
        <w:t>In th</w:t>
      </w:r>
      <w:r w:rsidR="002051EE">
        <w:t>is period</w:t>
      </w:r>
      <w:r>
        <w:t xml:space="preserve">, prawn samples were sent to </w:t>
      </w:r>
      <w:r w:rsidR="002051EE">
        <w:t>1</w:t>
      </w:r>
      <w:r>
        <w:t xml:space="preserve"> of </w:t>
      </w:r>
      <w:r w:rsidR="002051EE">
        <w:t>2</w:t>
      </w:r>
      <w:r>
        <w:t xml:space="preserve"> (and later </w:t>
      </w:r>
      <w:r w:rsidR="002051EE">
        <w:t>3</w:t>
      </w:r>
      <w:r>
        <w:t>) laboratories for testing</w:t>
      </w:r>
      <w:r w:rsidR="00873B6D">
        <w:t>,</w:t>
      </w:r>
      <w:r>
        <w:t xml:space="preserve"> and 7 per cent of batches tested positive for WSSV. </w:t>
      </w:r>
      <w:r w:rsidR="00A627BB">
        <w:t>Positive</w:t>
      </w:r>
      <w:r>
        <w:t xml:space="preserve"> batches </w:t>
      </w:r>
      <w:r w:rsidR="002051EE">
        <w:t>had</w:t>
      </w:r>
      <w:r>
        <w:t xml:space="preserve"> to be re-exported, cooked or destroyed</w:t>
      </w:r>
      <w:r w:rsidR="00F15816">
        <w:t>—</w:t>
      </w:r>
      <w:r w:rsidR="00A627BB">
        <w:t>most</w:t>
      </w:r>
      <w:r>
        <w:t xml:space="preserve"> were listed as being re-exported. Limited </w:t>
      </w:r>
      <w:r>
        <w:lastRenderedPageBreak/>
        <w:t xml:space="preserve">verification of re-export was carried out before late 2016, largely </w:t>
      </w:r>
      <w:r>
        <w:rPr>
          <w:lang w:eastAsia="en-AU"/>
        </w:rPr>
        <w:t>due</w:t>
      </w:r>
      <w:r>
        <w:t xml:space="preserve"> to incompatibilities between</w:t>
      </w:r>
      <w:r w:rsidR="00A627BB">
        <w:t xml:space="preserve"> Customs and Quarantine computer systems.</w:t>
      </w:r>
    </w:p>
    <w:p w14:paraId="1F0340AC" w14:textId="77777777" w:rsidR="00CC703E" w:rsidRDefault="00E37FDB" w:rsidP="007C529C">
      <w:pPr>
        <w:pStyle w:val="Heading3"/>
      </w:pPr>
      <w:r>
        <w:t>Post-border controls</w:t>
      </w:r>
    </w:p>
    <w:p w14:paraId="5AD4B683" w14:textId="63722221" w:rsidR="00CC703E" w:rsidRDefault="00E37FDB">
      <w:pPr>
        <w:rPr>
          <w:lang w:eastAsia="en-AU"/>
        </w:rPr>
      </w:pPr>
      <w:r>
        <w:rPr>
          <w:lang w:eastAsia="en-AU"/>
        </w:rPr>
        <w:t xml:space="preserve">All </w:t>
      </w:r>
      <w:r>
        <w:t>imported</w:t>
      </w:r>
      <w:r>
        <w:rPr>
          <w:lang w:eastAsia="en-AU"/>
        </w:rPr>
        <w:t xml:space="preserve"> uncooked prawns and prawn products </w:t>
      </w:r>
      <w:r w:rsidR="006B3B2E">
        <w:rPr>
          <w:lang w:eastAsia="en-AU"/>
        </w:rPr>
        <w:t>had</w:t>
      </w:r>
      <w:r>
        <w:rPr>
          <w:lang w:eastAsia="en-AU"/>
        </w:rPr>
        <w:t xml:space="preserve"> to have the words ‘For human consumption only—not to be used as bait or feed for aquatic animals’ on each carton and plastic bag in which they were imported, and border inspectors </w:t>
      </w:r>
      <w:r w:rsidR="006B3B2E">
        <w:rPr>
          <w:lang w:eastAsia="en-AU"/>
        </w:rPr>
        <w:t>had</w:t>
      </w:r>
      <w:r>
        <w:rPr>
          <w:lang w:eastAsia="en-AU"/>
        </w:rPr>
        <w:t xml:space="preserve"> to check each batch for compliance. However, once a consignment had been released from quarantine, </w:t>
      </w:r>
      <w:r>
        <w:t>the</w:t>
      </w:r>
      <w:r>
        <w:rPr>
          <w:lang w:eastAsia="en-AU"/>
        </w:rPr>
        <w:t xml:space="preserve"> Australian Government had no further control over it. Uncooked or marinated prawns were removed from their packaging and thawed for sale in fish shops or supermarkets. Most buyers, including recreational fishers, </w:t>
      </w:r>
      <w:r w:rsidR="00FF3E9F">
        <w:rPr>
          <w:lang w:eastAsia="en-AU"/>
        </w:rPr>
        <w:t xml:space="preserve">may </w:t>
      </w:r>
      <w:r>
        <w:rPr>
          <w:lang w:eastAsia="en-AU"/>
        </w:rPr>
        <w:t xml:space="preserve">not </w:t>
      </w:r>
      <w:r w:rsidR="00FF3E9F">
        <w:rPr>
          <w:lang w:eastAsia="en-AU"/>
        </w:rPr>
        <w:t xml:space="preserve">have </w:t>
      </w:r>
      <w:r>
        <w:rPr>
          <w:lang w:eastAsia="en-AU"/>
        </w:rPr>
        <w:t>realise</w:t>
      </w:r>
      <w:r w:rsidR="00FF3E9F">
        <w:rPr>
          <w:lang w:eastAsia="en-AU"/>
        </w:rPr>
        <w:t>d</w:t>
      </w:r>
      <w:r>
        <w:rPr>
          <w:lang w:eastAsia="en-AU"/>
        </w:rPr>
        <w:t xml:space="preserve"> that these prawns should not be used for bait.</w:t>
      </w:r>
    </w:p>
    <w:p w14:paraId="2D6AA9FD" w14:textId="3B9F7D10" w:rsidR="00CC703E" w:rsidRDefault="00E37FDB">
      <w:pPr>
        <w:rPr>
          <w:lang w:eastAsia="en-AU"/>
        </w:rPr>
      </w:pPr>
      <w:r>
        <w:rPr>
          <w:lang w:eastAsia="en-AU"/>
        </w:rPr>
        <w:t>The intent of requiring the warning statement on each package was to prevent wholesale purchase of imported prawns by bait shops,</w:t>
      </w:r>
      <w:r w:rsidR="006B3B2E">
        <w:rPr>
          <w:lang w:eastAsia="en-AU"/>
        </w:rPr>
        <w:t xml:space="preserve"> which would</w:t>
      </w:r>
      <w:r>
        <w:rPr>
          <w:lang w:eastAsia="en-AU"/>
        </w:rPr>
        <w:t xml:space="preserve"> pose a much greater risk than retail prawns of transfer of any residual infection into wild crustaceans. Surveillance of bait shops was never undertaken to ensure that they were not selling</w:t>
      </w:r>
      <w:r w:rsidR="006B3B2E">
        <w:rPr>
          <w:lang w:eastAsia="en-AU"/>
        </w:rPr>
        <w:t xml:space="preserve"> uncooked</w:t>
      </w:r>
      <w:r w:rsidR="007E0CA3" w:rsidRPr="007E0CA3">
        <w:rPr>
          <w:lang w:eastAsia="en-AU"/>
        </w:rPr>
        <w:t xml:space="preserve"> </w:t>
      </w:r>
      <w:r w:rsidR="007E0CA3">
        <w:rPr>
          <w:lang w:eastAsia="en-AU"/>
        </w:rPr>
        <w:t xml:space="preserve">imported </w:t>
      </w:r>
      <w:r w:rsidR="006B3B2E">
        <w:rPr>
          <w:lang w:eastAsia="en-AU"/>
        </w:rPr>
        <w:t>prawns.</w:t>
      </w:r>
      <w:r>
        <w:rPr>
          <w:lang w:eastAsia="en-AU"/>
        </w:rPr>
        <w:t xml:space="preserve"> Any legal powers for action against such practices were unclear or non-existent.</w:t>
      </w:r>
    </w:p>
    <w:p w14:paraId="7008260D" w14:textId="77777777" w:rsidR="00CC703E" w:rsidRDefault="00E37FDB" w:rsidP="007C529C">
      <w:pPr>
        <w:pStyle w:val="Heading2"/>
      </w:pPr>
      <w:bookmarkStart w:id="17" w:name="_Non-compliance_with_prawn"/>
      <w:bookmarkStart w:id="18" w:name="_Toc500511632"/>
      <w:bookmarkEnd w:id="17"/>
      <w:r>
        <w:t>Non-compliance with prawn import conditions, 2010 to 2016</w:t>
      </w:r>
      <w:bookmarkEnd w:id="18"/>
    </w:p>
    <w:p w14:paraId="05B67FCC" w14:textId="335EACE8" w:rsidR="00CC703E" w:rsidRDefault="00E37FDB" w:rsidP="007C529C">
      <w:pPr>
        <w:pStyle w:val="Heading3"/>
      </w:pPr>
      <w:r>
        <w:t>Mistaken release of WSSV-positive batch</w:t>
      </w:r>
      <w:r w:rsidR="00E7419F">
        <w:t>es</w:t>
      </w:r>
      <w:r>
        <w:t>, 2010</w:t>
      </w:r>
    </w:p>
    <w:p w14:paraId="45515E18" w14:textId="5F6C0D9A" w:rsidR="00CC703E" w:rsidRDefault="00E37FDB">
      <w:pPr>
        <w:spacing w:after="0"/>
      </w:pPr>
      <w:r>
        <w:t xml:space="preserve">In 2010 a WSSV-positive </w:t>
      </w:r>
      <w:r w:rsidR="006B3B2E">
        <w:t>consignment</w:t>
      </w:r>
      <w:r>
        <w:t xml:space="preserve"> of 20 tonnes of uncooked </w:t>
      </w:r>
      <w:r w:rsidR="00C61156">
        <w:t xml:space="preserve">imported </w:t>
      </w:r>
      <w:r>
        <w:t xml:space="preserve">prawns was mistakenly released onto the retail market. This incident was investigated by the Interim Inspector-General of Biosecurity (IIGB), who found that the release was due to </w:t>
      </w:r>
      <w:r w:rsidR="006B3B2E">
        <w:t>an inspector’s ‘</w:t>
      </w:r>
      <w:r>
        <w:t>human error</w:t>
      </w:r>
      <w:r w:rsidR="006B3B2E">
        <w:t>’</w:t>
      </w:r>
      <w:r>
        <w:t xml:space="preserve">. However, the IIGB concluded that, though not all these prawns could be traced and recalled, the </w:t>
      </w:r>
      <w:r w:rsidR="006B3B2E">
        <w:t>chance</w:t>
      </w:r>
      <w:r>
        <w:t xml:space="preserve"> of infected prawns from this consignment introducing WSSV infection into high-risk pathways was extremely low, so there was a negligible likelihood of WSSV establishing in Australia due to this consignment’s release. The department implemented the IIGB’s recommended changes to laboratory test reporting and recording to reduce the </w:t>
      </w:r>
      <w:r w:rsidR="006B3B2E">
        <w:t xml:space="preserve">chance </w:t>
      </w:r>
      <w:r>
        <w:t>of similar errors in future.</w:t>
      </w:r>
    </w:p>
    <w:p w14:paraId="5D93A645" w14:textId="77777777" w:rsidR="00CC703E" w:rsidRDefault="00E37FDB" w:rsidP="007C529C">
      <w:pPr>
        <w:pStyle w:val="Heading3"/>
      </w:pPr>
      <w:r>
        <w:t>AAHL detection of WSSV in retail prawns, 2013</w:t>
      </w:r>
    </w:p>
    <w:p w14:paraId="045E7FF5" w14:textId="4513F27E" w:rsidR="00CC703E" w:rsidRDefault="00E37FDB">
      <w:pPr>
        <w:spacing w:after="0"/>
      </w:pPr>
      <w:r>
        <w:t xml:space="preserve">On 17 May 2013 AAHL advised the department that batches of uncooked prawns imported from </w:t>
      </w:r>
      <w:r w:rsidR="006B3B2E">
        <w:t>3</w:t>
      </w:r>
      <w:r>
        <w:t xml:space="preserve"> countries and purchased at </w:t>
      </w:r>
      <w:r w:rsidR="006B3B2E">
        <w:t>3</w:t>
      </w:r>
      <w:r>
        <w:t xml:space="preserve"> </w:t>
      </w:r>
      <w:r w:rsidR="006B3B2E">
        <w:t>different Geelong</w:t>
      </w:r>
      <w:r>
        <w:t xml:space="preserve"> supermarkets had tested positive for WSSV. On 13 December 2013 AAHL advised that </w:t>
      </w:r>
      <w:r w:rsidR="007E0CA3">
        <w:t>it had</w:t>
      </w:r>
      <w:r>
        <w:t xml:space="preserve"> confirmed </w:t>
      </w:r>
      <w:r w:rsidR="007E0CA3">
        <w:t xml:space="preserve">that these prawns contained </w:t>
      </w:r>
      <w:r>
        <w:t xml:space="preserve">infectious </w:t>
      </w:r>
      <w:r w:rsidR="007E0CA3">
        <w:t>virus</w:t>
      </w:r>
      <w:r w:rsidR="00ED40BE">
        <w:t xml:space="preserve"> by transmitting WSD to Australian prawns using </w:t>
      </w:r>
      <w:proofErr w:type="spellStart"/>
      <w:r w:rsidR="00ED40BE">
        <w:t>inocula</w:t>
      </w:r>
      <w:proofErr w:type="spellEnd"/>
      <w:r w:rsidR="00ED40BE">
        <w:t xml:space="preserve"> from these WSSV-positive prawns</w:t>
      </w:r>
      <w:r>
        <w:t>. This information was not shared with states and territories.</w:t>
      </w:r>
    </w:p>
    <w:p w14:paraId="385F9A25" w14:textId="77777777" w:rsidR="00CC703E" w:rsidRDefault="00E37FDB" w:rsidP="007C529C">
      <w:pPr>
        <w:pStyle w:val="Heading3"/>
      </w:pPr>
      <w:r>
        <w:t>Operation East Leichhardt investigation into marinated prawn imports, 2014</w:t>
      </w:r>
    </w:p>
    <w:p w14:paraId="46A94380" w14:textId="2C943D95" w:rsidR="00CC703E" w:rsidRDefault="00E37FDB">
      <w:pPr>
        <w:spacing w:after="0"/>
      </w:pPr>
      <w:r>
        <w:t xml:space="preserve">In 2013 the department received </w:t>
      </w:r>
      <w:r>
        <w:rPr>
          <w:lang w:eastAsia="en-AU"/>
        </w:rPr>
        <w:t>allegations</w:t>
      </w:r>
      <w:r>
        <w:t xml:space="preserve"> that inadequately marinated prawns were being re-processed after import and sold as uncooked prawns. In 2014 the </w:t>
      </w:r>
      <w:r>
        <w:lastRenderedPageBreak/>
        <w:t xml:space="preserve">department implemented Operation East Leichhardt, which found major irregularities in the importation of marinated prawns. Five of </w:t>
      </w:r>
      <w:r w:rsidR="000746B8">
        <w:t xml:space="preserve">7 </w:t>
      </w:r>
      <w:r>
        <w:t>targeted consignments failed inspection because the prawns were inadequately covered with marinade. As a result, 57.9 tonnes of prawn products were re-exported</w:t>
      </w:r>
      <w:r w:rsidR="00FF3E9F">
        <w:t>, although no importers were prosecuted</w:t>
      </w:r>
      <w:r>
        <w:t>. The export containers were tracked and no evidence of re-import attempts was found. No changes were made at that time to import conditions, but the findings led to more investigations of the imported uncooked prawn trade.</w:t>
      </w:r>
    </w:p>
    <w:p w14:paraId="54D44FB8" w14:textId="4FCD1033" w:rsidR="009A5C8B" w:rsidRDefault="005D2F78" w:rsidP="007C529C">
      <w:pPr>
        <w:pStyle w:val="Heading3"/>
      </w:pPr>
      <w:r w:rsidRPr="005D2F78">
        <w:t>Non-compliance detected at border assessment and inspection 2013–14 to 2015–16</w:t>
      </w:r>
    </w:p>
    <w:p w14:paraId="70031E7B" w14:textId="70B53672" w:rsidR="009A5C8B" w:rsidRDefault="009A5C8B" w:rsidP="009A5C8B">
      <w:pPr>
        <w:spacing w:after="0"/>
      </w:pPr>
      <w:r>
        <w:t>Between 201</w:t>
      </w:r>
      <w:r w:rsidR="006B3B2E">
        <w:t>3</w:t>
      </w:r>
      <w:r w:rsidR="00F15816" w:rsidRPr="00894BB4">
        <w:rPr>
          <w:rFonts w:ascii="Calibri" w:hAnsi="Calibri"/>
        </w:rPr>
        <w:t>–</w:t>
      </w:r>
      <w:r w:rsidR="006B3B2E">
        <w:t>14</w:t>
      </w:r>
      <w:r>
        <w:t xml:space="preserve"> and 201</w:t>
      </w:r>
      <w:r w:rsidR="006B3B2E">
        <w:t>5</w:t>
      </w:r>
      <w:r w:rsidR="00F15816" w:rsidRPr="00894BB4">
        <w:rPr>
          <w:rFonts w:ascii="Calibri" w:hAnsi="Calibri"/>
        </w:rPr>
        <w:t>–</w:t>
      </w:r>
      <w:r w:rsidR="006B3B2E">
        <w:t>1</w:t>
      </w:r>
      <w:r>
        <w:t>6</w:t>
      </w:r>
      <w:r w:rsidR="006B3B2E">
        <w:t>,</w:t>
      </w:r>
      <w:r>
        <w:t xml:space="preserve"> </w:t>
      </w:r>
      <w:r w:rsidR="006B3B2E">
        <w:t>a high proportion</w:t>
      </w:r>
      <w:r>
        <w:t xml:space="preserve"> of uncooked prawn consignments arriving at the border were found to be non-compliant with import conditions</w:t>
      </w:r>
      <w:r w:rsidR="006B3B2E">
        <w:t>,</w:t>
      </w:r>
      <w:r>
        <w:t xml:space="preserve"> violat</w:t>
      </w:r>
      <w:r w:rsidR="006B3B2E">
        <w:t>ing</w:t>
      </w:r>
      <w:r>
        <w:t xml:space="preserve"> entry-level, document or inspection requirements. Minor errors were remedied on the spot, but re-export was ordered for consignments with more serious non-compliance. In some cases, importers were later detected trying to re-import these failed consignments.</w:t>
      </w:r>
    </w:p>
    <w:p w14:paraId="668F58F8" w14:textId="77777777" w:rsidR="00CC703E" w:rsidRDefault="00E37FDB" w:rsidP="007C529C">
      <w:pPr>
        <w:pStyle w:val="Heading3"/>
      </w:pPr>
      <w:r>
        <w:t>Operation Cattai investigation into systematic importer non-compliance, 2016</w:t>
      </w:r>
    </w:p>
    <w:p w14:paraId="24550946" w14:textId="7303ABEA" w:rsidR="00CC703E" w:rsidRDefault="00E37FDB">
      <w:pPr>
        <w:spacing w:after="0"/>
      </w:pPr>
      <w:r>
        <w:t xml:space="preserve">In late 2016 Operation Cattai found systematic non-compliance with uncooked prawn import conditions by </w:t>
      </w:r>
      <w:r w:rsidR="00C136AB">
        <w:t>six</w:t>
      </w:r>
      <w:r w:rsidR="000746B8">
        <w:t xml:space="preserve"> </w:t>
      </w:r>
      <w:r>
        <w:t xml:space="preserve">major importers, who had handled 46.7 per cent of uncooked prawn imports in 2016. </w:t>
      </w:r>
      <w:r w:rsidR="00E5048C">
        <w:t>It</w:t>
      </w:r>
      <w:r>
        <w:t xml:space="preserve"> also found an unexpectedly high level of WSSV in imported retail</w:t>
      </w:r>
      <w:r w:rsidR="00E5048C">
        <w:t xml:space="preserve"> prawns</w:t>
      </w:r>
      <w:r>
        <w:t>.</w:t>
      </w:r>
    </w:p>
    <w:p w14:paraId="6D517A79" w14:textId="2070E3AB" w:rsidR="00CC703E" w:rsidRDefault="00FF3E9F">
      <w:pPr>
        <w:spacing w:before="60" w:after="0"/>
      </w:pPr>
      <w:r>
        <w:t xml:space="preserve">The investigation found that a </w:t>
      </w:r>
      <w:r w:rsidR="00E37FDB">
        <w:t xml:space="preserve">number of importers were </w:t>
      </w:r>
      <w:proofErr w:type="spellStart"/>
      <w:r w:rsidR="00E37FDB">
        <w:t>misdeclaring</w:t>
      </w:r>
      <w:proofErr w:type="spellEnd"/>
      <w:r w:rsidR="00E37FDB">
        <w:t xml:space="preserve"> prawn shipments or falsely presenting goods for inspection and foiling the random sampling stipulated in the import conditions. As a result, many batches likely to be WSSV</w:t>
      </w:r>
      <w:r w:rsidR="00387E62">
        <w:t>-</w:t>
      </w:r>
      <w:r w:rsidR="00E37FDB">
        <w:t xml:space="preserve">positive were not tested. In some cases, Australian prawns were substituted in </w:t>
      </w:r>
      <w:r>
        <w:t xml:space="preserve">some </w:t>
      </w:r>
      <w:r w:rsidR="00E37FDB">
        <w:t>cartons from batches of imported prawns. These consequently tested negative, clearing the consignment for import.</w:t>
      </w:r>
    </w:p>
    <w:p w14:paraId="69D46F10" w14:textId="38A3A87A" w:rsidR="00CC703E" w:rsidRDefault="00E37FDB">
      <w:pPr>
        <w:spacing w:before="60" w:after="0"/>
      </w:pPr>
      <w:r>
        <w:t xml:space="preserve">Operation Cattai led to a much higher batch failure rate than business-as-usual inspection and testing. As a result, many containers full of uncooked infected prawns were listed for re-export by late 2016. Proving re-export of some consignments was difficult, </w:t>
      </w:r>
      <w:r w:rsidR="00ED40BE">
        <w:t xml:space="preserve">and </w:t>
      </w:r>
      <w:r>
        <w:t>there was one confirmed case of re-import.</w:t>
      </w:r>
      <w:r w:rsidR="00812D7A">
        <w:t xml:space="preserve"> </w:t>
      </w:r>
      <w:r w:rsidR="00812D7A" w:rsidRPr="009D0725">
        <w:t>By November 2017, after follow-up investigations, the department was taking action against nine importers who had handled about 70</w:t>
      </w:r>
      <w:r w:rsidR="001C3B4D">
        <w:t xml:space="preserve"> per cent</w:t>
      </w:r>
      <w:r w:rsidR="001C3B4D" w:rsidRPr="009D0725">
        <w:t xml:space="preserve"> </w:t>
      </w:r>
      <w:r w:rsidR="00812D7A" w:rsidRPr="009D0725">
        <w:t xml:space="preserve">of uncooked prawn imports during 2016. </w:t>
      </w:r>
    </w:p>
    <w:p w14:paraId="15B5A370" w14:textId="77777777" w:rsidR="00CC703E" w:rsidRDefault="00E37FDB" w:rsidP="007C529C">
      <w:pPr>
        <w:pStyle w:val="Heading2"/>
      </w:pPr>
      <w:bookmarkStart w:id="19" w:name="_Toc500511633"/>
      <w:r>
        <w:t>Lessons from Operation Cattai</w:t>
      </w:r>
      <w:bookmarkEnd w:id="19"/>
    </w:p>
    <w:p w14:paraId="744BC55E" w14:textId="77777777" w:rsidR="00CC703E" w:rsidRDefault="00E37FDB" w:rsidP="007C529C">
      <w:pPr>
        <w:pStyle w:val="Heading3"/>
      </w:pPr>
      <w:r>
        <w:t>Too much trust in importers to do the right thing</w:t>
      </w:r>
    </w:p>
    <w:p w14:paraId="19DFA482" w14:textId="79832178" w:rsidR="00CC703E" w:rsidRDefault="00E37FDB">
      <w:pPr>
        <w:spacing w:after="0"/>
      </w:pPr>
      <w:r>
        <w:rPr>
          <w:lang w:eastAsia="x-none" w:bidi="hi-IN"/>
        </w:rPr>
        <w:t xml:space="preserve">Several import conditions relied on importers to accurately and appropriately present prawn consignments for inspection, sampling and </w:t>
      </w:r>
      <w:r w:rsidRPr="00DE748D">
        <w:rPr>
          <w:lang w:eastAsia="x-none" w:bidi="hi-IN"/>
        </w:rPr>
        <w:t xml:space="preserve">testing. </w:t>
      </w:r>
      <w:r w:rsidR="008C688F">
        <w:rPr>
          <w:lang w:eastAsia="x-none" w:bidi="hi-IN"/>
        </w:rPr>
        <w:t>I</w:t>
      </w:r>
      <w:r w:rsidR="00ED40BE" w:rsidRPr="00DE748D">
        <w:rPr>
          <w:lang w:eastAsia="x-none" w:bidi="hi-IN"/>
        </w:rPr>
        <w:t xml:space="preserve">mport conditions </w:t>
      </w:r>
      <w:r w:rsidRPr="00DE748D">
        <w:rPr>
          <w:lang w:eastAsia="x-none" w:bidi="hi-IN"/>
        </w:rPr>
        <w:t>were hard</w:t>
      </w:r>
      <w:r>
        <w:rPr>
          <w:lang w:eastAsia="x-none" w:bidi="hi-IN"/>
        </w:rPr>
        <w:t xml:space="preserve"> to verify</w:t>
      </w:r>
      <w:r w:rsidR="00185BBF">
        <w:rPr>
          <w:lang w:eastAsia="x-none" w:bidi="hi-IN"/>
        </w:rPr>
        <w:t>:</w:t>
      </w:r>
    </w:p>
    <w:p w14:paraId="33B6BE5C" w14:textId="1BEACC65" w:rsidR="00CC703E" w:rsidRDefault="00E37FDB" w:rsidP="00DE748D">
      <w:pPr>
        <w:pStyle w:val="ListBullet"/>
      </w:pPr>
      <w:r>
        <w:rPr>
          <w:lang w:bidi="hi-IN"/>
        </w:rPr>
        <w:lastRenderedPageBreak/>
        <w:t>Batches of prawns could not be traced back to farm level, making it difficult for both the competent authority and the border inspector to verify whether a consignment contained one or more batches.</w:t>
      </w:r>
    </w:p>
    <w:p w14:paraId="04B18C91" w14:textId="19B00B32" w:rsidR="00CC703E" w:rsidRDefault="00E37FDB" w:rsidP="00DE748D">
      <w:pPr>
        <w:pStyle w:val="ListBullet"/>
      </w:pPr>
      <w:r>
        <w:rPr>
          <w:lang w:bidi="hi-IN"/>
        </w:rPr>
        <w:t>Complexity of the tariff codes and goods descriptions made it difficult for border assessors to direct consignments for the correct level of inspection, sampling and testing.</w:t>
      </w:r>
    </w:p>
    <w:p w14:paraId="778988DB" w14:textId="656B59C0" w:rsidR="00DE748D" w:rsidRDefault="00E37FDB" w:rsidP="00DE748D">
      <w:pPr>
        <w:pStyle w:val="ListBullet"/>
      </w:pPr>
      <w:r>
        <w:rPr>
          <w:lang w:bidi="hi-IN"/>
        </w:rPr>
        <w:t xml:space="preserve">The requirement for unpack rather than seals-intact inspections allowed importers to unload containers into freezers and </w:t>
      </w:r>
      <w:r w:rsidR="00ED40BE">
        <w:rPr>
          <w:lang w:bidi="hi-IN"/>
        </w:rPr>
        <w:t xml:space="preserve">later </w:t>
      </w:r>
      <w:r>
        <w:rPr>
          <w:lang w:bidi="hi-IN"/>
        </w:rPr>
        <w:t xml:space="preserve">request an inspection of one or several mingled consignments </w:t>
      </w:r>
      <w:r w:rsidR="00ED40BE">
        <w:rPr>
          <w:lang w:bidi="hi-IN"/>
        </w:rPr>
        <w:t>at a time convenient for</w:t>
      </w:r>
      <w:r>
        <w:rPr>
          <w:lang w:bidi="hi-IN"/>
        </w:rPr>
        <w:t xml:space="preserve"> them</w:t>
      </w:r>
      <w:r w:rsidR="00185BBF">
        <w:rPr>
          <w:lang w:bidi="hi-IN"/>
        </w:rPr>
        <w:t>.</w:t>
      </w:r>
    </w:p>
    <w:p w14:paraId="4BED7D5B" w14:textId="0A2CD46C" w:rsidR="00CC703E" w:rsidRDefault="00E37FDB" w:rsidP="00DE748D">
      <w:pPr>
        <w:pStyle w:val="ListBullet"/>
      </w:pPr>
      <w:r>
        <w:rPr>
          <w:lang w:bidi="hi-IN"/>
        </w:rPr>
        <w:t xml:space="preserve">Delays between cargo discharge and inspection booking averaged four weeks and were sometimes much longer. This </w:t>
      </w:r>
      <w:r w:rsidR="00FF3E9F">
        <w:rPr>
          <w:lang w:bidi="hi-IN"/>
        </w:rPr>
        <w:t>would allow certain</w:t>
      </w:r>
      <w:r w:rsidR="00D12B7A">
        <w:rPr>
          <w:lang w:bidi="hi-IN"/>
        </w:rPr>
        <w:t xml:space="preserve"> cartons to be </w:t>
      </w:r>
      <w:r w:rsidR="00FF3E9F">
        <w:rPr>
          <w:lang w:bidi="hi-IN"/>
        </w:rPr>
        <w:t xml:space="preserve">prepared so that they were likely to test negative for WSSV and marked so that they would be </w:t>
      </w:r>
      <w:r w:rsidR="00D12B7A">
        <w:rPr>
          <w:lang w:bidi="hi-IN"/>
        </w:rPr>
        <w:t>presented for inspection.</w:t>
      </w:r>
    </w:p>
    <w:p w14:paraId="70EEE43F" w14:textId="54C66991" w:rsidR="00CC703E" w:rsidRDefault="00E37FDB">
      <w:pPr>
        <w:tabs>
          <w:tab w:val="clear" w:pos="567"/>
        </w:tabs>
        <w:spacing w:after="0"/>
        <w:rPr>
          <w:b/>
        </w:rPr>
      </w:pPr>
      <w:r>
        <w:rPr>
          <w:lang w:eastAsia="x-none" w:bidi="hi-IN"/>
        </w:rPr>
        <w:t xml:space="preserve">Importers and/or operators of </w:t>
      </w:r>
      <w:r w:rsidR="008C688F">
        <w:rPr>
          <w:lang w:eastAsia="x-none" w:bidi="hi-IN"/>
        </w:rPr>
        <w:t>cold store</w:t>
      </w:r>
      <w:r>
        <w:rPr>
          <w:lang w:eastAsia="x-none" w:bidi="hi-IN"/>
        </w:rPr>
        <w:t>s were trusted and seen as clients. The department strove to complete prescribed inspections quickly to save importers money and facilitate trade.</w:t>
      </w:r>
    </w:p>
    <w:p w14:paraId="17B73D13" w14:textId="77777777" w:rsidR="00CC703E" w:rsidRDefault="00E37FDB" w:rsidP="007C529C">
      <w:pPr>
        <w:pStyle w:val="Heading3"/>
      </w:pPr>
      <w:r>
        <w:t>Weak assessment and inspection procedures</w:t>
      </w:r>
    </w:p>
    <w:p w14:paraId="6BAEC2DD" w14:textId="7C6E5DAE" w:rsidR="00CC703E" w:rsidRDefault="00E37FDB">
      <w:pPr>
        <w:spacing w:after="0"/>
      </w:pPr>
      <w:r>
        <w:rPr>
          <w:lang w:eastAsia="x-none" w:bidi="hi-IN"/>
        </w:rPr>
        <w:t xml:space="preserve">Operation Cattai showed that </w:t>
      </w:r>
      <w:r>
        <w:t>inspection and sampling of prawn consignments was not being carried out as envisaged by the IRA’s authors</w:t>
      </w:r>
      <w:r w:rsidR="008C688F">
        <w:t xml:space="preserve">, </w:t>
      </w:r>
      <w:r>
        <w:t>due to technical and practical issues, including:</w:t>
      </w:r>
    </w:p>
    <w:p w14:paraId="2A7684A2" w14:textId="77777777" w:rsidR="00CC703E" w:rsidRDefault="00E37FDB">
      <w:pPr>
        <w:pStyle w:val="ListBullet"/>
        <w:spacing w:after="0"/>
        <w:rPr>
          <w:lang w:bidi="hi-IN"/>
        </w:rPr>
      </w:pPr>
      <w:r>
        <w:rPr>
          <w:lang w:bidi="hi-IN"/>
        </w:rPr>
        <w:t>Assessment of documents accompanying prawn imports was complex and needed more time than was generally allocated.</w:t>
      </w:r>
    </w:p>
    <w:p w14:paraId="1FCB0781" w14:textId="0FE46785" w:rsidR="00CC703E" w:rsidRDefault="00ED40BE">
      <w:pPr>
        <w:pStyle w:val="ListBullet"/>
        <w:spacing w:after="0"/>
        <w:rPr>
          <w:lang w:bidi="hi-IN"/>
        </w:rPr>
      </w:pPr>
      <w:r>
        <w:rPr>
          <w:lang w:bidi="hi-IN"/>
        </w:rPr>
        <w:t xml:space="preserve">Training on </w:t>
      </w:r>
      <w:r w:rsidR="00E37FDB">
        <w:rPr>
          <w:lang w:bidi="hi-IN"/>
        </w:rPr>
        <w:t>true random sampling</w:t>
      </w:r>
      <w:r>
        <w:rPr>
          <w:lang w:bidi="hi-IN"/>
        </w:rPr>
        <w:t xml:space="preserve"> had never been </w:t>
      </w:r>
      <w:r w:rsidR="00D12B7A">
        <w:rPr>
          <w:lang w:bidi="hi-IN"/>
        </w:rPr>
        <w:t>p</w:t>
      </w:r>
      <w:r>
        <w:rPr>
          <w:lang w:bidi="hi-IN"/>
        </w:rPr>
        <w:t>rovided</w:t>
      </w:r>
      <w:r w:rsidR="00E37FDB">
        <w:rPr>
          <w:lang w:bidi="hi-IN"/>
        </w:rPr>
        <w:t>, was not incorporated in work instructions and in practice was impossible once consignments were unloaded into freezers, with cartons piled high and shrink-wrapped on pallets.</w:t>
      </w:r>
    </w:p>
    <w:p w14:paraId="4AEBB2BC" w14:textId="48641748" w:rsidR="00CC703E" w:rsidRDefault="00E37FDB">
      <w:pPr>
        <w:pStyle w:val="ListBullet"/>
        <w:spacing w:after="0"/>
        <w:rPr>
          <w:lang w:bidi="hi-IN"/>
        </w:rPr>
      </w:pPr>
      <w:r>
        <w:rPr>
          <w:lang w:eastAsia="x-none" w:bidi="hi-IN"/>
        </w:rPr>
        <w:t>Inspector safety would be compromised by working for any length of time in freezers</w:t>
      </w:r>
      <w:r>
        <w:rPr>
          <w:lang w:bidi="hi-IN"/>
        </w:rPr>
        <w:t xml:space="preserve"> (some down to –30 °C), without suitable protective clothing. Freezers can be dangerous, with </w:t>
      </w:r>
      <w:r w:rsidR="00ED40BE">
        <w:rPr>
          <w:lang w:bidi="hi-IN"/>
        </w:rPr>
        <w:t xml:space="preserve">rapid </w:t>
      </w:r>
      <w:r>
        <w:rPr>
          <w:lang w:bidi="hi-IN"/>
        </w:rPr>
        <w:t xml:space="preserve">forklift traffic moving heavy loads </w:t>
      </w:r>
      <w:r w:rsidR="00ED40BE">
        <w:rPr>
          <w:lang w:bidi="hi-IN"/>
        </w:rPr>
        <w:t>where there is</w:t>
      </w:r>
      <w:r>
        <w:rPr>
          <w:lang w:bidi="hi-IN"/>
        </w:rPr>
        <w:t xml:space="preserve"> limited visibility and space.</w:t>
      </w:r>
    </w:p>
    <w:p w14:paraId="4F34AC17" w14:textId="0339604F" w:rsidR="00CC703E" w:rsidRDefault="00E37FDB">
      <w:pPr>
        <w:pStyle w:val="ListBullet"/>
        <w:spacing w:after="0"/>
        <w:rPr>
          <w:lang w:bidi="hi-IN"/>
        </w:rPr>
      </w:pPr>
      <w:r>
        <w:rPr>
          <w:lang w:bidi="hi-IN"/>
        </w:rPr>
        <w:t>A single inspector was expected to complete inspection and, if needed, sampling of a typical consignment in about half an hour. According to instructions at that time, inspectors had to enter the freezer, indicate which cartons were to be sampled and have them brought to an inspection point outside the freezer. There were differences in how this was applied locall</w:t>
      </w:r>
      <w:r w:rsidR="00E5048C">
        <w:rPr>
          <w:lang w:bidi="hi-IN"/>
        </w:rPr>
        <w:t>y</w:t>
      </w:r>
      <w:r>
        <w:rPr>
          <w:lang w:bidi="hi-IN"/>
        </w:rPr>
        <w:t>.</w:t>
      </w:r>
    </w:p>
    <w:p w14:paraId="32BAC75F" w14:textId="15269D4E" w:rsidR="00CC703E" w:rsidRDefault="00E37FDB">
      <w:pPr>
        <w:spacing w:after="0"/>
        <w:rPr>
          <w:b/>
        </w:rPr>
      </w:pPr>
      <w:r>
        <w:rPr>
          <w:lang w:eastAsia="x-none" w:bidi="hi-IN"/>
        </w:rPr>
        <w:t>In contrast, the detailed seals-intact inspections conducted during Operation Cattai (which found so many cases of non-compliance) needed at least two inspectors for four hours or more.</w:t>
      </w:r>
    </w:p>
    <w:p w14:paraId="427F5942" w14:textId="77777777" w:rsidR="00CC703E" w:rsidRDefault="00E37FDB" w:rsidP="007C529C">
      <w:pPr>
        <w:pStyle w:val="Heading3"/>
      </w:pPr>
      <w:r>
        <w:t>Variation in laboratory testing procedures and interpretation</w:t>
      </w:r>
    </w:p>
    <w:p w14:paraId="7528C258" w14:textId="310CD931" w:rsidR="00CC703E" w:rsidRDefault="00E37FDB">
      <w:pPr>
        <w:spacing w:after="0"/>
        <w:rPr>
          <w:lang w:eastAsia="x-none" w:bidi="hi-IN"/>
        </w:rPr>
      </w:pPr>
      <w:r>
        <w:rPr>
          <w:lang w:eastAsia="x-none" w:bidi="hi-IN"/>
        </w:rPr>
        <w:t xml:space="preserve">Laboratories carrying out testing of imported prawns for WSSV were required to be NATA accredited and use a test described by the World Organisation for Animal </w:t>
      </w:r>
      <w:r>
        <w:rPr>
          <w:lang w:eastAsia="x-none" w:bidi="hi-IN"/>
        </w:rPr>
        <w:lastRenderedPageBreak/>
        <w:t>Health (an ‘OIE test’). However, detailed laboratory procedures and test result interpretations were not standardised.</w:t>
      </w:r>
    </w:p>
    <w:p w14:paraId="05818251" w14:textId="36A7DE92" w:rsidR="00584079" w:rsidRDefault="004771DA" w:rsidP="00C3711C">
      <w:pPr>
        <w:spacing w:after="0"/>
        <w:rPr>
          <w:lang w:eastAsia="x-none" w:bidi="hi-IN"/>
        </w:rPr>
      </w:pPr>
      <w:r>
        <w:t xml:space="preserve">Different testing methods and interpretation of results led to different rates of prawn batches failing WSSV testing, depending on where they were tested. </w:t>
      </w:r>
      <w:r w:rsidR="00E37FDB">
        <w:rPr>
          <w:lang w:eastAsia="x-none" w:bidi="hi-IN"/>
        </w:rPr>
        <w:t xml:space="preserve">Private </w:t>
      </w:r>
      <w:r w:rsidR="00891906">
        <w:rPr>
          <w:lang w:eastAsia="x-none" w:bidi="hi-IN"/>
        </w:rPr>
        <w:t xml:space="preserve">screening </w:t>
      </w:r>
      <w:r w:rsidR="00E37FDB">
        <w:rPr>
          <w:lang w:eastAsia="x-none" w:bidi="hi-IN"/>
        </w:rPr>
        <w:t xml:space="preserve">laboratories, which were doing the bulk of the testing, were classifying as ‘negative’ </w:t>
      </w:r>
      <w:r w:rsidR="004B2DBE">
        <w:rPr>
          <w:lang w:eastAsia="x-none" w:bidi="hi-IN"/>
        </w:rPr>
        <w:t xml:space="preserve">some </w:t>
      </w:r>
      <w:r w:rsidR="00E37FDB">
        <w:rPr>
          <w:lang w:eastAsia="x-none" w:bidi="hi-IN"/>
        </w:rPr>
        <w:t xml:space="preserve">samples (and therefore batches) that </w:t>
      </w:r>
      <w:r w:rsidR="00891906">
        <w:rPr>
          <w:lang w:eastAsia="x-none" w:bidi="hi-IN"/>
        </w:rPr>
        <w:t xml:space="preserve">the </w:t>
      </w:r>
      <w:r w:rsidR="00E37FDB">
        <w:rPr>
          <w:lang w:eastAsia="x-none" w:bidi="hi-IN"/>
        </w:rPr>
        <w:t xml:space="preserve">government </w:t>
      </w:r>
      <w:r w:rsidR="00891906">
        <w:rPr>
          <w:lang w:eastAsia="x-none" w:bidi="hi-IN"/>
        </w:rPr>
        <w:t xml:space="preserve">screening </w:t>
      </w:r>
      <w:r w:rsidR="00E37FDB">
        <w:rPr>
          <w:lang w:eastAsia="x-none" w:bidi="hi-IN"/>
        </w:rPr>
        <w:t>laborator</w:t>
      </w:r>
      <w:r w:rsidR="00891906">
        <w:rPr>
          <w:lang w:eastAsia="x-none" w:bidi="hi-IN"/>
        </w:rPr>
        <w:t>y</w:t>
      </w:r>
      <w:r w:rsidR="00E37FDB">
        <w:rPr>
          <w:lang w:eastAsia="x-none" w:bidi="hi-IN"/>
        </w:rPr>
        <w:t xml:space="preserve"> would have called ‘positive’.</w:t>
      </w:r>
    </w:p>
    <w:p w14:paraId="72CEF36D" w14:textId="00DF18C7" w:rsidR="00CC703E" w:rsidRDefault="00E37FDB" w:rsidP="00C3711C">
      <w:pPr>
        <w:pStyle w:val="Heading2"/>
      </w:pPr>
      <w:bookmarkStart w:id="20" w:name="_Handling_prawns_during"/>
      <w:bookmarkStart w:id="21" w:name="_Toc500511634"/>
      <w:bookmarkEnd w:id="20"/>
      <w:r>
        <w:t>Handling prawns during import suspension</w:t>
      </w:r>
      <w:r w:rsidRPr="004B2DBE">
        <w:t xml:space="preserve">, </w:t>
      </w:r>
      <w:r w:rsidR="004B2DBE">
        <w:t>6</w:t>
      </w:r>
      <w:r w:rsidRPr="00D35359">
        <w:t xml:space="preserve"> January</w:t>
      </w:r>
      <w:r>
        <w:t xml:space="preserve"> to </w:t>
      </w:r>
      <w:r w:rsidR="001874D7">
        <w:t xml:space="preserve">6 </w:t>
      </w:r>
      <w:r>
        <w:t>July 2017</w:t>
      </w:r>
      <w:bookmarkEnd w:id="21"/>
    </w:p>
    <w:p w14:paraId="085D995B" w14:textId="2B08DDE5" w:rsidR="00CC703E" w:rsidRDefault="00476B9F" w:rsidP="007C529C">
      <w:pPr>
        <w:pStyle w:val="Heading3"/>
        <w:rPr>
          <w:rStyle w:val="Heading3Char"/>
          <w:rFonts w:eastAsia="Calibri"/>
        </w:rPr>
      </w:pPr>
      <w:r w:rsidRPr="00476B9F">
        <w:t>Implementing the suspension of uncooked prawn imports</w:t>
      </w:r>
    </w:p>
    <w:p w14:paraId="09D0FC2C" w14:textId="317C88D6" w:rsidR="00CC703E" w:rsidRDefault="001874D7">
      <w:pPr>
        <w:spacing w:after="0"/>
        <w:rPr>
          <w:rFonts w:ascii="Cambria" w:hAnsi="Cambria"/>
          <w:b/>
          <w:bCs/>
          <w:color w:val="000000"/>
          <w:szCs w:val="28"/>
          <w:lang w:bidi="hi-IN"/>
        </w:rPr>
      </w:pPr>
      <w:r>
        <w:rPr>
          <w:lang w:eastAsia="x-none" w:bidi="hi-IN"/>
        </w:rPr>
        <w:t>From 6</w:t>
      </w:r>
      <w:r w:rsidR="00E37FDB">
        <w:rPr>
          <w:lang w:eastAsia="x-none" w:bidi="hi-IN"/>
        </w:rPr>
        <w:t xml:space="preserve"> </w:t>
      </w:r>
      <w:r w:rsidR="00E37FDB">
        <w:t>January</w:t>
      </w:r>
      <w:r w:rsidR="00E37FDB">
        <w:rPr>
          <w:lang w:eastAsia="x-none" w:bidi="hi-IN"/>
        </w:rPr>
        <w:t xml:space="preserve"> 2017</w:t>
      </w:r>
      <w:r w:rsidR="00E37FDB">
        <w:t xml:space="preserve"> the department informed importers of its intention to suspend import permits</w:t>
      </w:r>
      <w:r w:rsidR="004B2DBE">
        <w:t xml:space="preserve"> for uncooked (including marinated) prawns effective from 9 January</w:t>
      </w:r>
      <w:r w:rsidR="00E37FDB">
        <w:t>. By 13 January 2017, 246 permits were fully suspended and 63 partially suspended because they included other non-suspended product types.</w:t>
      </w:r>
    </w:p>
    <w:p w14:paraId="3166DBBB" w14:textId="77777777" w:rsidR="00CC703E" w:rsidRDefault="00E37FDB">
      <w:pPr>
        <w:spacing w:after="0"/>
      </w:pPr>
      <w:r>
        <w:t xml:space="preserve">Prawn consignments were subject to greatly strengthened </w:t>
      </w:r>
      <w:r>
        <w:rPr>
          <w:lang w:eastAsia="x-none" w:bidi="hi-IN"/>
        </w:rPr>
        <w:t xml:space="preserve">assessment, inspection, sampling and </w:t>
      </w:r>
      <w:r>
        <w:t>testing</w:t>
      </w:r>
      <w:r>
        <w:rPr>
          <w:lang w:eastAsia="x-none" w:bidi="hi-IN"/>
        </w:rPr>
        <w:t xml:space="preserve"> procedures. </w:t>
      </w:r>
      <w:r>
        <w:t>Inspectors increased the verification of importer/broker declarations and inspection of consignments that appeared to have been incorrectly declared. All containers with declared uncooked prawn consignments were subjected to seals-intact inspections and supervised unpacking and sampling of cartons and batches by two or more inspectors.</w:t>
      </w:r>
    </w:p>
    <w:p w14:paraId="5208742B" w14:textId="2D29DB88" w:rsidR="00CC703E" w:rsidRDefault="00E37FDB">
      <w:pPr>
        <w:spacing w:after="0"/>
      </w:pPr>
      <w:r>
        <w:t>Laboratory testing protocols were tightened</w:t>
      </w:r>
      <w:r w:rsidR="0052411A">
        <w:t>, with</w:t>
      </w:r>
      <w:r>
        <w:t xml:space="preserve"> standardised criteria for test result interpretation</w:t>
      </w:r>
      <w:r w:rsidR="0052411A">
        <w:t xml:space="preserve"> and retesting of negative samples by AAHL</w:t>
      </w:r>
      <w:r>
        <w:t>. Improved re-export verification procedures for any failed consignments were put in place.</w:t>
      </w:r>
    </w:p>
    <w:p w14:paraId="295D6A4B" w14:textId="583A6D2B" w:rsidR="00CC703E" w:rsidRDefault="00E37FDB" w:rsidP="00C40231">
      <w:r>
        <w:t>A number of consignments of uncooked or marinated prawns were already on their way to Australia when the department announced the suspension. These were permitted entry, subject to these tighter procedures, or importers could re-export them without inspection.</w:t>
      </w:r>
    </w:p>
    <w:p w14:paraId="7FC37C75" w14:textId="77777777" w:rsidR="00CC703E" w:rsidRDefault="00E37FDB" w:rsidP="007C529C">
      <w:pPr>
        <w:pStyle w:val="Heading3"/>
      </w:pPr>
      <w:r>
        <w:t>Post-border withdrawal of uncooked and marinated prawns</w:t>
      </w:r>
    </w:p>
    <w:p w14:paraId="098AA412" w14:textId="7BD08F2F" w:rsidR="00CC703E" w:rsidRDefault="00E37FDB" w:rsidP="00C40231">
      <w:r>
        <w:t xml:space="preserve">Immediately after the import suspension, the department began withdrawing and testing (at AAHL) uncooked and marinated imported prawns from the post-border supply chain. </w:t>
      </w:r>
      <w:r w:rsidR="0043157D">
        <w:t>It</w:t>
      </w:r>
      <w:r>
        <w:t xml:space="preserve"> aim</w:t>
      </w:r>
      <w:r w:rsidR="0043157D">
        <w:t>ed</w:t>
      </w:r>
      <w:r>
        <w:t xml:space="preserve"> to reduce the volumes of </w:t>
      </w:r>
      <w:r w:rsidR="0043157D">
        <w:t xml:space="preserve">previously cleared </w:t>
      </w:r>
      <w:r>
        <w:t xml:space="preserve">WSSV-infected </w:t>
      </w:r>
      <w:r w:rsidR="00CF1A45">
        <w:t xml:space="preserve">prawns </w:t>
      </w:r>
      <w:r>
        <w:t>reaching the retail market.</w:t>
      </w:r>
    </w:p>
    <w:p w14:paraId="26C4FAEA" w14:textId="39D7B351" w:rsidR="00CC703E" w:rsidRDefault="00E37FDB">
      <w:pPr>
        <w:spacing w:after="0"/>
      </w:pPr>
      <w:r>
        <w:t xml:space="preserve">The department had powers to secure and test any product still in regulated freezers at approved arrangements. However, large quantities of the product had already moved into the complex domestic supply chain. A lack of recall or notification power under the </w:t>
      </w:r>
      <w:r>
        <w:rPr>
          <w:i/>
        </w:rPr>
        <w:t>Biosecurity Act 2015</w:t>
      </w:r>
      <w:r>
        <w:t xml:space="preserve"> made it difficult to find the product.</w:t>
      </w:r>
    </w:p>
    <w:p w14:paraId="6DDABB92" w14:textId="6BEE1D69" w:rsidR="00CC703E" w:rsidRDefault="00E37FDB">
      <w:pPr>
        <w:spacing w:after="0"/>
      </w:pPr>
      <w:r>
        <w:t>The department used a ‘secure-and-test’ strategy that prioritised larger commercial stocks of uncooked imported prawns held by major retailers and distribution networks, followed by other approved and non-approved arrangements and retail outlets. This prevented the supply of prawns to the consumer retail market until they could be (re)-tested for WSSV.</w:t>
      </w:r>
    </w:p>
    <w:p w14:paraId="7B5AC4B3" w14:textId="0671F03C" w:rsidR="00CC703E" w:rsidRDefault="00E37FDB">
      <w:pPr>
        <w:spacing w:after="0"/>
      </w:pPr>
      <w:r>
        <w:lastRenderedPageBreak/>
        <w:t>By 18 October 2017 about 2,523 tonnes of post-border prawn product had been placed under biosecurity control, and 73 per cent of batches had tested positive for WSSV. Only product that tested negative or was cooked was cleared to re-enter the domestic supply chain. About 1,834 tonnes either tested negative and were released for sale, or were destroyed, cooked in an approved manner or exported. About 689 tonnes remained under biosecurity control.</w:t>
      </w:r>
    </w:p>
    <w:p w14:paraId="78B1C114" w14:textId="1881E978" w:rsidR="0052411A" w:rsidRDefault="0052411A">
      <w:pPr>
        <w:spacing w:after="0"/>
        <w:rPr>
          <w:rFonts w:ascii="Cambria" w:hAnsi="Cambria"/>
          <w:b/>
          <w:bCs/>
          <w:color w:val="000000"/>
          <w:szCs w:val="28"/>
        </w:rPr>
      </w:pPr>
      <w:r>
        <w:rPr>
          <w:rFonts w:eastAsia="Times New Roman" w:cs="Mangal"/>
          <w:szCs w:val="24"/>
          <w:lang w:val="x-none" w:eastAsia="x-none" w:bidi="hi-IN"/>
        </w:rPr>
        <w:t xml:space="preserve">The high rate of </w:t>
      </w:r>
      <w:r>
        <w:t>positive</w:t>
      </w:r>
      <w:r>
        <w:rPr>
          <w:rFonts w:eastAsia="Times New Roman" w:cs="Mangal"/>
          <w:szCs w:val="24"/>
          <w:lang w:val="x-none" w:eastAsia="x-none" w:bidi="hi-IN"/>
        </w:rPr>
        <w:t xml:space="preserve"> detections when samples were tested at AAHL led to some concern</w:t>
      </w:r>
      <w:r w:rsidR="004B2DBE">
        <w:rPr>
          <w:rFonts w:eastAsia="Times New Roman" w:cs="Mangal"/>
          <w:szCs w:val="24"/>
          <w:lang w:eastAsia="x-none" w:bidi="hi-IN"/>
        </w:rPr>
        <w:t>s</w:t>
      </w:r>
      <w:r>
        <w:rPr>
          <w:rFonts w:eastAsia="Times New Roman" w:cs="Mangal"/>
          <w:szCs w:val="24"/>
          <w:lang w:val="x-none" w:eastAsia="x-none" w:bidi="hi-IN"/>
        </w:rPr>
        <w:t xml:space="preserve"> that the testing applied by AAHL might be over-sensitive and detect contamination rather than true WSSV infection. However, </w:t>
      </w:r>
      <w:r>
        <w:rPr>
          <w:rFonts w:eastAsia="Times New Roman" w:cs="Mangal"/>
          <w:szCs w:val="24"/>
          <w:lang w:eastAsia="x-none" w:bidi="hi-IN"/>
        </w:rPr>
        <w:t xml:space="preserve">most </w:t>
      </w:r>
      <w:r w:rsidR="00637E5A">
        <w:rPr>
          <w:rFonts w:eastAsia="Times New Roman" w:cs="Mangal"/>
          <w:szCs w:val="24"/>
          <w:lang w:eastAsia="x-none" w:bidi="hi-IN"/>
        </w:rPr>
        <w:t xml:space="preserve">batches </w:t>
      </w:r>
      <w:r>
        <w:rPr>
          <w:rFonts w:eastAsia="Times New Roman" w:cs="Mangal"/>
          <w:szCs w:val="24"/>
          <w:lang w:eastAsia="x-none" w:bidi="hi-IN"/>
        </w:rPr>
        <w:t>found positive by AAHL were at levels that would also have been classified as ‘positive’ by the government screening laboratory.</w:t>
      </w:r>
    </w:p>
    <w:p w14:paraId="6439002F" w14:textId="77777777" w:rsidR="00CC703E" w:rsidRDefault="00E37FDB" w:rsidP="007C529C">
      <w:pPr>
        <w:pStyle w:val="Heading3"/>
      </w:pPr>
      <w:r>
        <w:t>Variations to uncooked prawn import suspension order, January to June 2017</w:t>
      </w:r>
    </w:p>
    <w:p w14:paraId="79C90055" w14:textId="0B1A2211" w:rsidR="00CC703E" w:rsidRDefault="00E37FDB">
      <w:pPr>
        <w:spacing w:after="0"/>
      </w:pPr>
      <w:r>
        <w:t xml:space="preserve">From January to June 2017, various categories of uncooked prawns were progressively exempted from the suspension order based on individual risk assessments. Some importers began importing different categories of uncooked prawns to </w:t>
      </w:r>
      <w:r w:rsidR="00CF1A45">
        <w:t>meet the</w:t>
      </w:r>
      <w:r>
        <w:t xml:space="preserve"> new requirements.</w:t>
      </w:r>
    </w:p>
    <w:p w14:paraId="2F1EC759" w14:textId="23654A73" w:rsidR="00CC703E" w:rsidRDefault="00E37FDB" w:rsidP="00C40231">
      <w:r>
        <w:rPr>
          <w:lang w:eastAsia="en-AU"/>
        </w:rPr>
        <w:t>Before the suspension, marinated</w:t>
      </w:r>
      <w:r>
        <w:t xml:space="preserve"> prawns had been classified as ‘highly processed’ and therefore exempt from testing. </w:t>
      </w:r>
      <w:r w:rsidR="0043157D">
        <w:t>Import of t</w:t>
      </w:r>
      <w:r>
        <w:t>hese products w</w:t>
      </w:r>
      <w:r w:rsidR="0043157D">
        <w:t>as</w:t>
      </w:r>
      <w:r>
        <w:t xml:space="preserve"> suspended due to their very high rate of WSSV and the possibility that </w:t>
      </w:r>
      <w:r w:rsidR="0043157D">
        <w:t>some</w:t>
      </w:r>
      <w:r>
        <w:t xml:space="preserve"> might be </w:t>
      </w:r>
      <w:r w:rsidR="0043157D">
        <w:t>used as bait.</w:t>
      </w:r>
      <w:r>
        <w:t xml:space="preserve"> ‘Breaded, crumbed or battered’ prawns were considered less likely to be diverted for sale as uncooked prawns</w:t>
      </w:r>
      <w:r w:rsidR="00894A91">
        <w:t xml:space="preserve"> so their import was not suspended</w:t>
      </w:r>
      <w:r>
        <w:t xml:space="preserve">. </w:t>
      </w:r>
      <w:r w:rsidR="00894A91">
        <w:t xml:space="preserve">The requirement since 2014 had been that </w:t>
      </w:r>
      <w:r w:rsidR="00295AE8">
        <w:t>25</w:t>
      </w:r>
      <w:r>
        <w:t xml:space="preserve"> per cent of these consignments were subject to verification inspections</w:t>
      </w:r>
      <w:r w:rsidR="00894A91">
        <w:t xml:space="preserve"> after being unpacked from their containers</w:t>
      </w:r>
      <w:r>
        <w:t xml:space="preserve">. However, between February and March 2017, there was a fourfold increase in consignments of breaded, crumbed or battered prawns. From 22 March 2017, 100 per cent of these consignments were scheduled to undergo full seals-intact inspections. </w:t>
      </w:r>
      <w:r w:rsidR="00972156">
        <w:t>S</w:t>
      </w:r>
      <w:r>
        <w:t xml:space="preserve">ome importers </w:t>
      </w:r>
      <w:r w:rsidR="00972156">
        <w:t xml:space="preserve">then </w:t>
      </w:r>
      <w:r>
        <w:t>simply turned containers around for re-export without inspection.</w:t>
      </w:r>
    </w:p>
    <w:p w14:paraId="4AD26E95" w14:textId="77777777" w:rsidR="00CC703E" w:rsidRDefault="00E37FDB">
      <w:pPr>
        <w:spacing w:after="0"/>
      </w:pPr>
      <w:r>
        <w:t>Cooked prawns also arrived in greater volumes and they too were subject to a higher random inspection rate. Inspectors noted an increase in consignments of very lightly blanched prawns, with some cartons bearing the warning ‘Must be further cooked’.</w:t>
      </w:r>
    </w:p>
    <w:p w14:paraId="05E92E63" w14:textId="77777777" w:rsidR="00CC703E" w:rsidRDefault="00E37FDB">
      <w:pPr>
        <w:spacing w:after="0"/>
        <w:rPr>
          <w:szCs w:val="24"/>
        </w:rPr>
      </w:pPr>
      <w:r>
        <w:t>When the suspension order lapsed at midnight on 6 July 2017, new interim import conditions were introduced. These required that all uncooked (including marinated) prawn batches be certified by the relevant competent authority as having passed pre-export, post-processing testing for WSSV and YHV. On arrival in Australia, these batches would then be subject to thorough seals-intact inspection,</w:t>
      </w:r>
      <w:r>
        <w:rPr>
          <w:szCs w:val="24"/>
        </w:rPr>
        <w:t xml:space="preserve"> and once again sampled and tested.</w:t>
      </w:r>
    </w:p>
    <w:p w14:paraId="5DA540CA" w14:textId="77777777" w:rsidR="00CC703E" w:rsidRDefault="00E37FDB" w:rsidP="007C529C">
      <w:pPr>
        <w:pStyle w:val="Heading2"/>
      </w:pPr>
      <w:bookmarkStart w:id="22" w:name="_Toc500511635"/>
      <w:r>
        <w:t>Future pre-border and border measures for trade in prawns</w:t>
      </w:r>
      <w:bookmarkEnd w:id="22"/>
    </w:p>
    <w:p w14:paraId="27B36166" w14:textId="77777777" w:rsidR="00CC703E" w:rsidRDefault="00E37FDB" w:rsidP="007C529C">
      <w:pPr>
        <w:pStyle w:val="Heading3"/>
      </w:pPr>
      <w:r>
        <w:t>Revising prawn import conditions</w:t>
      </w:r>
    </w:p>
    <w:p w14:paraId="27AC3BA1" w14:textId="6DBEBA5E" w:rsidR="00CC703E" w:rsidRDefault="00E37FDB" w:rsidP="00C45B6A">
      <w:pPr>
        <w:rPr>
          <w:b/>
        </w:rPr>
      </w:pPr>
      <w:r>
        <w:t xml:space="preserve">The interim conditions were to apply pending full revision of </w:t>
      </w:r>
      <w:r w:rsidR="00AF051A">
        <w:t xml:space="preserve">the 2009 IRA </w:t>
      </w:r>
      <w:r>
        <w:t xml:space="preserve">prawn import conditions, which </w:t>
      </w:r>
      <w:r w:rsidR="00AF051A">
        <w:t>sh</w:t>
      </w:r>
      <w:r>
        <w:t>ould take at least two years. During th</w:t>
      </w:r>
      <w:r w:rsidR="00AF051A">
        <w:t>e revision</w:t>
      </w:r>
      <w:r>
        <w:t xml:space="preserve">, the </w:t>
      </w:r>
      <w:r>
        <w:lastRenderedPageBreak/>
        <w:t xml:space="preserve">department would </w:t>
      </w:r>
      <w:r w:rsidR="00AF051A">
        <w:t>further c</w:t>
      </w:r>
      <w:r>
        <w:t>onsider whether or how uncooked prawn imports could meet Australia’s ALOP given that most countries with prawn aquaculture industries are infected with WSSV and YHD, and that other prawn diseases are emerging.</w:t>
      </w:r>
    </w:p>
    <w:p w14:paraId="15786476" w14:textId="0BBC9823" w:rsidR="00CC703E" w:rsidRDefault="00E37FDB" w:rsidP="00C45B6A">
      <w:r>
        <w:t xml:space="preserve">The prawn-farming industry has </w:t>
      </w:r>
      <w:r w:rsidR="00972156">
        <w:t xml:space="preserve">long </w:t>
      </w:r>
      <w:r>
        <w:t xml:space="preserve">argued for limiting the entry of prawn products to cooked product only. This would </w:t>
      </w:r>
      <w:r w:rsidR="00972156">
        <w:t xml:space="preserve">help </w:t>
      </w:r>
      <w:r>
        <w:t xml:space="preserve">protect Australia from WSD and other prawn diseases. And it would be in line with Australia’s requirement that pork and </w:t>
      </w:r>
      <w:r w:rsidR="00972156">
        <w:t xml:space="preserve">most </w:t>
      </w:r>
      <w:r>
        <w:t xml:space="preserve">other meat imports are cooked before </w:t>
      </w:r>
      <w:r w:rsidR="00972156">
        <w:t xml:space="preserve">final release into the market, unless the exporting countries are demonstrated to be free of </w:t>
      </w:r>
      <w:r w:rsidR="005E0D16">
        <w:t xml:space="preserve">specific </w:t>
      </w:r>
      <w:r w:rsidR="00323AE3">
        <w:t xml:space="preserve">serious exotic </w:t>
      </w:r>
      <w:r w:rsidR="00972156">
        <w:t>diseases</w:t>
      </w:r>
      <w:r>
        <w:t xml:space="preserve">. This </w:t>
      </w:r>
      <w:r w:rsidR="00323AE3">
        <w:t xml:space="preserve">measure </w:t>
      </w:r>
      <w:r>
        <w:t xml:space="preserve">will need </w:t>
      </w:r>
      <w:r w:rsidR="00F64C72">
        <w:t xml:space="preserve">reconsideration </w:t>
      </w:r>
      <w:r>
        <w:t>during the review of import conditions, but in the meantime some uncooked prawn imports will continue.</w:t>
      </w:r>
    </w:p>
    <w:p w14:paraId="46B2B598" w14:textId="77777777" w:rsidR="00CC703E" w:rsidRDefault="00E37FDB" w:rsidP="007C529C">
      <w:pPr>
        <w:pStyle w:val="Heading3"/>
      </w:pPr>
      <w:r>
        <w:t>Future pre-border biosecurity risk management for trade in prawns</w:t>
      </w:r>
    </w:p>
    <w:p w14:paraId="50ED60EF" w14:textId="496CBC4F" w:rsidR="00CC703E" w:rsidRDefault="00E37FDB" w:rsidP="00C45B6A">
      <w:r>
        <w:t xml:space="preserve">Competent authorities </w:t>
      </w:r>
      <w:r w:rsidR="001F600C">
        <w:t xml:space="preserve">and the department </w:t>
      </w:r>
      <w:r>
        <w:t xml:space="preserve">will need to become more actively engaged in </w:t>
      </w:r>
      <w:r w:rsidR="003B620C">
        <w:t xml:space="preserve">overseeing </w:t>
      </w:r>
      <w:r>
        <w:t xml:space="preserve">offshore measures to prevent infected uncooked prawn product being sent to Australia. Pre-export testing is a step forward in keeping </w:t>
      </w:r>
      <w:r w:rsidR="00812D7A" w:rsidRPr="009D0725">
        <w:t>more</w:t>
      </w:r>
      <w:r w:rsidR="00812D7A">
        <w:t xml:space="preserve"> </w:t>
      </w:r>
      <w:r>
        <w:t xml:space="preserve">infected prawns out of Australia, but it can only reduce risks, not eliminate them. Overseas through-supply-chain traceability and biosecurity enforcement arrangements need strengthening to enable the department to have confidence that importers are sourcing product from disease-free countries, zones or compartments. Some countries and companies may be able to develop vertically integrated </w:t>
      </w:r>
      <w:r w:rsidR="00AD3D4E">
        <w:t>p</w:t>
      </w:r>
      <w:r>
        <w:t>rawn production and processing facilities with quality assurance systems that provide biosecurity and food safety guarantees.</w:t>
      </w:r>
    </w:p>
    <w:p w14:paraId="3DAC8D10" w14:textId="77777777" w:rsidR="00CC703E" w:rsidRDefault="00E37FDB" w:rsidP="007C529C">
      <w:pPr>
        <w:pStyle w:val="Heading3"/>
      </w:pPr>
      <w:r>
        <w:t>Future border biosecurity compliance management</w:t>
      </w:r>
    </w:p>
    <w:p w14:paraId="1FAC694B" w14:textId="37C06808" w:rsidR="00CC703E" w:rsidRDefault="00E37FDB" w:rsidP="00C45B6A">
      <w:r>
        <w:t xml:space="preserve">Future imports of prawns and other frozen foods should receive thorough assessment and inspection over the longer term given evidence of serious non-compliance and the financial incentives to </w:t>
      </w:r>
      <w:proofErr w:type="spellStart"/>
      <w:r>
        <w:t>misdeclare</w:t>
      </w:r>
      <w:proofErr w:type="spellEnd"/>
      <w:r>
        <w:t xml:space="preserve"> or co-mingle prawn shipments with other products. Seals-intact inspections should apply </w:t>
      </w:r>
      <w:r w:rsidR="005E0D16">
        <w:t xml:space="preserve">indefinitely </w:t>
      </w:r>
      <w:r>
        <w:t xml:space="preserve">to all </w:t>
      </w:r>
      <w:r w:rsidR="00295CD3">
        <w:t xml:space="preserve">uncooked </w:t>
      </w:r>
      <w:r>
        <w:t>prawn shipments and randomly to a much greater proportion of other seafood and other frozen foods.</w:t>
      </w:r>
    </w:p>
    <w:p w14:paraId="34502ADA" w14:textId="6B810D8B" w:rsidR="00CC703E" w:rsidRDefault="00E37FDB">
      <w:pPr>
        <w:spacing w:after="0"/>
      </w:pPr>
      <w:r>
        <w:t xml:space="preserve">Encouraging industry self-regulation and quality assurance programs through the supply chain, with government as the regulator of last resort, is a key means of reducing unnecessary regulation. However, self-regulation needs to be monitored more closely, with more risk-based and unannounced spot audits. Higher levels of random inspection of all prawn products and other frozen foods may be relaxed once an importer has demonstrated compliance, but it would be </w:t>
      </w:r>
      <w:r w:rsidR="00812D7A" w:rsidRPr="00AA1D56">
        <w:t>most</w:t>
      </w:r>
      <w:r w:rsidR="00812D7A">
        <w:t xml:space="preserve"> </w:t>
      </w:r>
      <w:r>
        <w:t xml:space="preserve">unwise to revert to previous levels of trust in importer declarations. The department needs to strike a better balance between facilitating efficient </w:t>
      </w:r>
      <w:proofErr w:type="spellStart"/>
      <w:r>
        <w:t>transborder</w:t>
      </w:r>
      <w:proofErr w:type="spellEnd"/>
      <w:r>
        <w:t xml:space="preserve"> movement of goods and ensuring that biosecurity risks are effectively managed, recognising that the key clients of the biosecurity system are the Australian community, industries and the environment.</w:t>
      </w:r>
    </w:p>
    <w:p w14:paraId="0288C76A" w14:textId="20DA05E7" w:rsidR="00CC703E" w:rsidRDefault="00E37FDB" w:rsidP="00AE7437">
      <w:r>
        <w:t xml:space="preserve">Upskilling and motivating staff is an ongoing issue in the face of rapidly changing work environments. The department’s training processes, instructional material and work directions need ongoing review and monitoring to ensure that they are </w:t>
      </w:r>
      <w:r>
        <w:lastRenderedPageBreak/>
        <w:t>up to date and can be applied as intended. The department needs to provide regular and ongoing feedback and recognition for excellent work and implement processes that detect and deter poor work practices.</w:t>
      </w:r>
    </w:p>
    <w:p w14:paraId="5456D54B" w14:textId="77777777" w:rsidR="00CC703E" w:rsidRDefault="00E37FDB" w:rsidP="007C529C">
      <w:pPr>
        <w:pStyle w:val="Heading3"/>
      </w:pPr>
      <w:r>
        <w:t>Resourcing border biosecurity adequately into the future</w:t>
      </w:r>
    </w:p>
    <w:p w14:paraId="22418966" w14:textId="49D7D895" w:rsidR="00CC703E" w:rsidRDefault="00E37FDB">
      <w:pPr>
        <w:spacing w:before="60" w:after="0"/>
      </w:pPr>
      <w:r>
        <w:t xml:space="preserve">Stronger pre-border and border biosecurity risk management measures to prevent unwanted </w:t>
      </w:r>
      <w:proofErr w:type="spellStart"/>
      <w:r w:rsidRPr="00E37FDB">
        <w:t>pest</w:t>
      </w:r>
      <w:proofErr w:type="spellEnd"/>
      <w:r w:rsidRPr="00E37FDB">
        <w:t xml:space="preserve"> or </w:t>
      </w:r>
      <w:r>
        <w:t>disease entry into Australia require long-term secured funding. Frontline inspector numbers have fallen by 25 per cent over the past five years, but volumes of incoming sea and air cargo, mail and passengers continue to rise steadily, as do accompanying biosecurity risks.</w:t>
      </w:r>
    </w:p>
    <w:p w14:paraId="4740CECB" w14:textId="45C7E36A" w:rsidR="00CC703E" w:rsidRDefault="00E37FDB">
      <w:pPr>
        <w:spacing w:after="0"/>
      </w:pPr>
      <w:r>
        <w:rPr>
          <w:lang w:eastAsia="en-AU"/>
        </w:rPr>
        <w:t>Governments</w:t>
      </w:r>
      <w:r>
        <w:t xml:space="preserve"> are always trying to reduce public costs by various means, including imposing cost-recovery and average staffing level (ASL) ceilings or </w:t>
      </w:r>
      <w:r w:rsidR="00B35CC0">
        <w:t xml:space="preserve">budget </w:t>
      </w:r>
      <w:r>
        <w:t>cuts. Biosecurity activities funded by cost-recovery should be exempt from ASL ceilings. This would enable the department to employ adequate staff during periods of increased trade or biosecurity risk.</w:t>
      </w:r>
    </w:p>
    <w:p w14:paraId="1C4A1931" w14:textId="77777777" w:rsidR="00CC703E" w:rsidRDefault="00E37FDB">
      <w:pPr>
        <w:spacing w:after="0"/>
      </w:pPr>
      <w:r>
        <w:t xml:space="preserve">Sufficient government or general levy funding should always be provided for verification of </w:t>
      </w:r>
      <w:r>
        <w:rPr>
          <w:lang w:eastAsia="en-AU"/>
        </w:rPr>
        <w:t>compliance</w:t>
      </w:r>
      <w:r>
        <w:t xml:space="preserve"> with import conditions for commodities, and for risk-based targeted enforcement operations, which will always be labour-intensive to police. Ongoing investment in better IT systems and associated internal business process transformation will also be needed.</w:t>
      </w:r>
    </w:p>
    <w:p w14:paraId="61B51F4D" w14:textId="4AE667ED" w:rsidR="00CC703E" w:rsidRDefault="0040610A" w:rsidP="007C529C">
      <w:pPr>
        <w:pStyle w:val="Heading3"/>
      </w:pPr>
      <w:r>
        <w:t>S</w:t>
      </w:r>
      <w:r w:rsidR="00E37FDB">
        <w:t xml:space="preserve">tronger powers </w:t>
      </w:r>
      <w:r w:rsidR="005B61C7">
        <w:t xml:space="preserve">and penalties </w:t>
      </w:r>
      <w:r w:rsidR="00E37FDB">
        <w:t xml:space="preserve">under the </w:t>
      </w:r>
      <w:r w:rsidR="00E37FDB">
        <w:rPr>
          <w:i/>
        </w:rPr>
        <w:t>Biosecurity Act 2015</w:t>
      </w:r>
    </w:p>
    <w:p w14:paraId="686082DC" w14:textId="52768D29" w:rsidR="005B61C7" w:rsidRDefault="00E37FDB">
      <w:pPr>
        <w:spacing w:after="0"/>
      </w:pPr>
      <w:r>
        <w:t xml:space="preserve">In the past, the low penalties for non-compliance (under the </w:t>
      </w:r>
      <w:r>
        <w:rPr>
          <w:i/>
        </w:rPr>
        <w:t>Quarantine Act 1908</w:t>
      </w:r>
      <w:r>
        <w:t xml:space="preserve">) </w:t>
      </w:r>
      <w:r w:rsidR="005B61C7" w:rsidRPr="00153556">
        <w:t xml:space="preserve">and the difficulties of mounting successful prosecutions even for serious non-compliance, meant that it was difficult </w:t>
      </w:r>
      <w:r w:rsidR="005B61C7">
        <w:t>to</w:t>
      </w:r>
      <w:r w:rsidR="005B61C7" w:rsidRPr="00153556">
        <w:t xml:space="preserve"> deal eff</w:t>
      </w:r>
      <w:r w:rsidR="005B61C7">
        <w:t>ectively with many</w:t>
      </w:r>
      <w:r w:rsidR="005B61C7" w:rsidRPr="00153556">
        <w:t xml:space="preserve"> behaviours which increased biosecurity risks.</w:t>
      </w:r>
      <w:r w:rsidR="005B61C7">
        <w:t xml:space="preserve"> </w:t>
      </w:r>
      <w:r w:rsidR="005B61C7" w:rsidRPr="00153556">
        <w:t xml:space="preserve">In practice, the penalties available and applied were often not commensurate with the potential </w:t>
      </w:r>
      <w:r w:rsidR="005B61C7" w:rsidRPr="009D0725">
        <w:t xml:space="preserve">profits </w:t>
      </w:r>
      <w:r w:rsidR="00812D7A" w:rsidRPr="009D0725">
        <w:t xml:space="preserve">to be made </w:t>
      </w:r>
      <w:r w:rsidR="005B61C7" w:rsidRPr="009D0725">
        <w:t xml:space="preserve">or risks </w:t>
      </w:r>
      <w:r w:rsidR="00812D7A" w:rsidRPr="009D0725">
        <w:t>that could be</w:t>
      </w:r>
      <w:r w:rsidR="00812D7A">
        <w:t xml:space="preserve"> </w:t>
      </w:r>
      <w:r w:rsidR="005B61C7" w:rsidRPr="00153556">
        <w:t>caused by the non-compliant behaviour.</w:t>
      </w:r>
      <w:r>
        <w:t xml:space="preserve"> </w:t>
      </w:r>
      <w:r w:rsidR="005B61C7">
        <w:t>While</w:t>
      </w:r>
      <w:r>
        <w:t xml:space="preserve"> the </w:t>
      </w:r>
      <w:r>
        <w:rPr>
          <w:i/>
        </w:rPr>
        <w:t>Biosecurity Act 2015</w:t>
      </w:r>
      <w:r>
        <w:t xml:space="preserve"> </w:t>
      </w:r>
      <w:r w:rsidR="005B61C7">
        <w:t xml:space="preserve">provides </w:t>
      </w:r>
      <w:r>
        <w:t xml:space="preserve">for </w:t>
      </w:r>
      <w:r w:rsidR="005B61C7">
        <w:t xml:space="preserve">greater powers and </w:t>
      </w:r>
      <w:r>
        <w:t>more severe penalties</w:t>
      </w:r>
      <w:r w:rsidR="005B61C7">
        <w:t>, these must be kept under active review to ensure that they can manage and deter illegal uncooked prawn importation.</w:t>
      </w:r>
    </w:p>
    <w:p w14:paraId="7C7EB725" w14:textId="598932DF" w:rsidR="00CC703E" w:rsidRDefault="00E37FDB">
      <w:pPr>
        <w:spacing w:after="0"/>
      </w:pPr>
      <w:r>
        <w:t>Powers to impose direct penalties (for example, by ordering destruction of non-compliant imports) and penalty levels for serious offences need to be reviewed regularly and made easier to apply where appropriate. The department also needs to consider introducing powers to recall goods for biosecurity purposes.</w:t>
      </w:r>
    </w:p>
    <w:p w14:paraId="2444EF0B" w14:textId="77777777" w:rsidR="00CC703E" w:rsidRDefault="00E37FDB" w:rsidP="007C529C">
      <w:pPr>
        <w:pStyle w:val="Heading3"/>
      </w:pPr>
      <w:r>
        <w:t>Improve biosecurity risk governance and risk communication</w:t>
      </w:r>
    </w:p>
    <w:p w14:paraId="0393425B" w14:textId="4615073E" w:rsidR="00CC703E" w:rsidRDefault="00E37FDB">
      <w:pPr>
        <w:spacing w:after="0"/>
      </w:pPr>
      <w:r>
        <w:t>The complexity of the system for managing the biosecurity risks posed by a dizzying range and volume of imports disguised rising risk levels in the prawn trade. The</w:t>
      </w:r>
      <w:r w:rsidR="0040610A">
        <w:t>se</w:t>
      </w:r>
      <w:r>
        <w:t xml:space="preserve"> heightening risks were essentially invisible to the government and not actively managed with the urgency they deserved because of poor internal communication between frontline inspection, compliance enforcement, technical standard setting and policymaking staff. Competing priorities and resource constraints contributed to the problem.</w:t>
      </w:r>
    </w:p>
    <w:p w14:paraId="436549DE" w14:textId="77777777" w:rsidR="00CC703E" w:rsidRDefault="00E37FDB">
      <w:pPr>
        <w:spacing w:after="0"/>
      </w:pPr>
      <w:r>
        <w:lastRenderedPageBreak/>
        <w:t>The department needs to improve and continually review processes that enhance risk identification, communication, management and governance. Also needed is a defined and documented triaging and escalation procedure for communicating risks to the government, industry and the community.</w:t>
      </w:r>
    </w:p>
    <w:p w14:paraId="1FCF94F4" w14:textId="77777777" w:rsidR="00CC703E" w:rsidRDefault="00E37FDB">
      <w:pPr>
        <w:spacing w:after="0"/>
      </w:pPr>
      <w:r>
        <w:t>Mechanisms for joint biosecurity risk assessment and communication between the department, states and territories and industry need to be reviewed and strengthened. Raising public awareness of issues and promoting behaviours that reduce biosecurity risks are complex tasks that require sustained joint action.</w:t>
      </w:r>
    </w:p>
    <w:p w14:paraId="79921D2B" w14:textId="77777777" w:rsidR="00CC703E" w:rsidRDefault="00E37FDB" w:rsidP="007C529C">
      <w:pPr>
        <w:pStyle w:val="Heading3"/>
      </w:pPr>
      <w:r>
        <w:t>Better national technical coordination and oversight of laboratory testing</w:t>
      </w:r>
    </w:p>
    <w:p w14:paraId="7575F43A" w14:textId="48D069E5" w:rsidR="00CC703E" w:rsidRDefault="00E37FDB">
      <w:pPr>
        <w:spacing w:after="0"/>
        <w:rPr>
          <w:lang w:eastAsia="en-AU"/>
        </w:rPr>
      </w:pPr>
      <w:r>
        <w:rPr>
          <w:lang w:eastAsia="en-AU"/>
        </w:rPr>
        <w:t>Reform of prescribed relationships between the department and all import testing laboratories should address potential conflicts of interest. Laboratories need to understand that, although the importer pays the bill for import testing, the department is the primary client for the results and relies on those results for border biosecurity protection.</w:t>
      </w:r>
    </w:p>
    <w:p w14:paraId="49274DC8" w14:textId="4533EB93" w:rsidR="00CC703E" w:rsidRDefault="00E37FDB">
      <w:pPr>
        <w:spacing w:after="0"/>
        <w:rPr>
          <w:lang w:eastAsia="en-AU"/>
        </w:rPr>
      </w:pPr>
      <w:r>
        <w:rPr>
          <w:lang w:eastAsia="en-AU"/>
        </w:rPr>
        <w:t>The department, in collaboration with NATA, needs to take a stronger ongoing role in the oversight of standardised testing performance of all import testing laboratories and their alignment with overseas laboratories</w:t>
      </w:r>
      <w:r w:rsidR="008D6769">
        <w:rPr>
          <w:lang w:eastAsia="en-AU"/>
        </w:rPr>
        <w:t>, to assist with</w:t>
      </w:r>
      <w:r>
        <w:rPr>
          <w:lang w:eastAsia="en-AU"/>
        </w:rPr>
        <w:t xml:space="preserve"> pre-border </w:t>
      </w:r>
      <w:r w:rsidR="004D745D">
        <w:rPr>
          <w:lang w:eastAsia="en-AU"/>
        </w:rPr>
        <w:t xml:space="preserve">biosecurity </w:t>
      </w:r>
      <w:r>
        <w:rPr>
          <w:lang w:eastAsia="en-AU"/>
        </w:rPr>
        <w:t>assurance.</w:t>
      </w:r>
    </w:p>
    <w:p w14:paraId="03DFBD1D" w14:textId="77777777" w:rsidR="00CC703E" w:rsidRDefault="00E37FDB">
      <w:pPr>
        <w:spacing w:after="0"/>
        <w:rPr>
          <w:lang w:eastAsia="en-AU"/>
        </w:rPr>
      </w:pPr>
      <w:r>
        <w:rPr>
          <w:lang w:eastAsia="en-AU"/>
        </w:rPr>
        <w:t>The complementary roles of Australian, state and territory governments in managing biosecurity will require ongoing input from and oversight of wider national laboratory testing and quality assurance arrangements by the Animal Health Committee’s National Laboratory Task Group and Sub-Committee on Aquatic Animal Health.</w:t>
      </w:r>
    </w:p>
    <w:p w14:paraId="3966B1A4" w14:textId="77777777" w:rsidR="00CC703E" w:rsidRDefault="00E37FDB" w:rsidP="007C529C">
      <w:pPr>
        <w:pStyle w:val="Heading2"/>
      </w:pPr>
      <w:bookmarkStart w:id="23" w:name="_Toc500511636"/>
      <w:r>
        <w:t>Future post-border biosecurity—implementing a shared responsibility</w:t>
      </w:r>
      <w:bookmarkEnd w:id="23"/>
    </w:p>
    <w:p w14:paraId="33B9AB95" w14:textId="77777777" w:rsidR="00CC703E" w:rsidRDefault="00E37FDB" w:rsidP="007C529C">
      <w:pPr>
        <w:pStyle w:val="Heading3"/>
      </w:pPr>
      <w:r>
        <w:t>Stronger network of aquatic animal disease expertise</w:t>
      </w:r>
    </w:p>
    <w:p w14:paraId="74F84626" w14:textId="0F5D15C4" w:rsidR="00CC703E" w:rsidRDefault="00E37FDB">
      <w:pPr>
        <w:spacing w:after="0"/>
      </w:pPr>
      <w:r>
        <w:t>As a result of the WSD outbreak and response, the biosecurity and wider communities in Australia have b</w:t>
      </w:r>
      <w:r w:rsidR="00B35CC0">
        <w:t>een sensitised to issues around</w:t>
      </w:r>
      <w:r>
        <w:t xml:space="preserve"> prawn production, </w:t>
      </w:r>
      <w:r w:rsidR="00611D52">
        <w:t>its</w:t>
      </w:r>
      <w:r>
        <w:t xml:space="preserve"> supply chain</w:t>
      </w:r>
      <w:r w:rsidR="00611D52">
        <w:t>s</w:t>
      </w:r>
      <w:r>
        <w:t xml:space="preserve"> and biosecurity management. Emerging broader aquatic issues include increased aquaculture of many species (</w:t>
      </w:r>
      <w:r w:rsidR="00B35CC0">
        <w:t>wi</w:t>
      </w:r>
      <w:r>
        <w:t>th</w:t>
      </w:r>
      <w:r w:rsidR="003B620C">
        <w:t xml:space="preserve"> </w:t>
      </w:r>
      <w:r>
        <w:t>accompanying disease risks) and climate change impacts on aquatic animal disease susceptibility. S</w:t>
      </w:r>
      <w:r>
        <w:rPr>
          <w:lang w:eastAsia="en-AU"/>
        </w:rPr>
        <w:t>pecialised science is developing new diagnostic methods for aquatic animal diseases, g</w:t>
      </w:r>
      <w:r>
        <w:t>enomic approaches for identifying viruses and their origins, and barcoding or e-DNA capability to detect prawn and other aquatic species. To benefit from these developments, the department must foster strong links with specialised aquatic health and production experts in governments, universities and industry nationwide and internationally.</w:t>
      </w:r>
    </w:p>
    <w:p w14:paraId="73A80388" w14:textId="288FCE7A" w:rsidR="00CC703E" w:rsidRDefault="00E37FDB">
      <w:pPr>
        <w:spacing w:after="0"/>
      </w:pPr>
      <w:r>
        <w:t xml:space="preserve">The department needs to monitor the dynamics of serious prawn and other crustacean diseases worldwide, particularly in </w:t>
      </w:r>
      <w:r w:rsidR="007F7180">
        <w:t xml:space="preserve">farmed and </w:t>
      </w:r>
      <w:r>
        <w:t>wild-caught prawns from countries that export prawns to Australia. This will enable timely and effective risk management.</w:t>
      </w:r>
    </w:p>
    <w:p w14:paraId="0F9C6F9F" w14:textId="77777777" w:rsidR="00CC703E" w:rsidRDefault="00E37FDB" w:rsidP="007C529C">
      <w:pPr>
        <w:pStyle w:val="Heading3"/>
      </w:pPr>
      <w:r>
        <w:lastRenderedPageBreak/>
        <w:t>Finalising an aquatic deed for emergency animal disease response</w:t>
      </w:r>
    </w:p>
    <w:p w14:paraId="7F72D9EF" w14:textId="403F6A99" w:rsidR="00CC703E" w:rsidRDefault="00E37FDB">
      <w:pPr>
        <w:spacing w:after="0"/>
      </w:pPr>
      <w:r>
        <w:t xml:space="preserve">Lack of an aquatic deed hindered funding of and decision-making about the 2016–17 WSD response. A deed would be a critical step in implementing a shared responsibility between industry, states and territories and the Australian Government. Cost-sharing principles for the proposed aquatic deed are complex because Australia’s relatively infant aquaculture industries are dispersed around the country, some interact with wild populations and each faces </w:t>
      </w:r>
      <w:r w:rsidR="00303C1A">
        <w:t xml:space="preserve">threats of </w:t>
      </w:r>
      <w:r>
        <w:t>many potentially serious diseases. Negotiations underway across all aquatic sectors aimed t</w:t>
      </w:r>
      <w:r w:rsidR="00E5048C">
        <w:t>o</w:t>
      </w:r>
      <w:r>
        <w:t xml:space="preserve"> reach an agreement on principles by the end of 2017 and finalis</w:t>
      </w:r>
      <w:r w:rsidR="00E5048C">
        <w:t>e</w:t>
      </w:r>
      <w:r>
        <w:t xml:space="preserve"> the deed by the end of 2018.</w:t>
      </w:r>
    </w:p>
    <w:p w14:paraId="741FA859" w14:textId="77777777" w:rsidR="00CC703E" w:rsidRDefault="00E37FDB" w:rsidP="007C529C">
      <w:pPr>
        <w:pStyle w:val="Heading3"/>
      </w:pPr>
      <w:r>
        <w:t>Stronger on-farm biosecurity programs for prawn and other aquaculture industries</w:t>
      </w:r>
    </w:p>
    <w:p w14:paraId="7D8A485A" w14:textId="4783FF64" w:rsidR="00CC703E" w:rsidRDefault="00E37FDB">
      <w:pPr>
        <w:spacing w:after="0"/>
      </w:pPr>
      <w:r>
        <w:t>The many lessons learned from the WSD outbreak should enable better preparedness for and handling of any future prawn disease outbreak. In particular, strengthening on-farm biosecurity by prawn and other aquaculture farmers needs ongoing attention. Requirements for minimum on-farm biosecurity standards should be incorporated into the aquatic deed and/or state</w:t>
      </w:r>
      <w:r w:rsidR="008D6769">
        <w:t xml:space="preserve"> and </w:t>
      </w:r>
      <w:r>
        <w:t>territory legislation as appropriate.</w:t>
      </w:r>
      <w:r w:rsidR="00303C1A">
        <w:t xml:space="preserve"> Surveillance of </w:t>
      </w:r>
      <w:r w:rsidR="008D6769">
        <w:t xml:space="preserve">nearby </w:t>
      </w:r>
      <w:r w:rsidR="00303C1A">
        <w:t xml:space="preserve">wild crustaceans may also be </w:t>
      </w:r>
      <w:r w:rsidR="008D6769">
        <w:t>need</w:t>
      </w:r>
      <w:r w:rsidR="00303C1A">
        <w:t>ed.</w:t>
      </w:r>
    </w:p>
    <w:p w14:paraId="3D06A5CC" w14:textId="77777777" w:rsidR="00CC703E" w:rsidRDefault="00E37FDB" w:rsidP="007C529C">
      <w:pPr>
        <w:pStyle w:val="Heading3"/>
      </w:pPr>
      <w:r>
        <w:t>Post-border verification that risks of WSSV-infected prawns entering waterways are minimised</w:t>
      </w:r>
    </w:p>
    <w:p w14:paraId="43135BC0" w14:textId="11BCE375" w:rsidR="00CC703E" w:rsidRDefault="007F7180">
      <w:pPr>
        <w:spacing w:after="0"/>
      </w:pPr>
      <w:r>
        <w:t xml:space="preserve">The authors of the 2009 IRA </w:t>
      </w:r>
      <w:r w:rsidR="00E37FDB" w:rsidRPr="00E37FDB">
        <w:t xml:space="preserve">assumed that </w:t>
      </w:r>
      <w:r>
        <w:t>their recommended import conditions</w:t>
      </w:r>
      <w:r w:rsidRPr="00E37FDB">
        <w:t xml:space="preserve"> </w:t>
      </w:r>
      <w:r>
        <w:t xml:space="preserve">would allow </w:t>
      </w:r>
      <w:r w:rsidR="00303C1A">
        <w:t xml:space="preserve">only </w:t>
      </w:r>
      <w:r w:rsidR="00E37FDB" w:rsidRPr="00E37FDB">
        <w:t xml:space="preserve">small quantities of </w:t>
      </w:r>
      <w:r w:rsidR="00E37FDB">
        <w:t xml:space="preserve">WSSV </w:t>
      </w:r>
      <w:r>
        <w:t>to</w:t>
      </w:r>
      <w:r w:rsidR="00E37FDB">
        <w:t xml:space="preserve"> slip across the border. However, the high prevalence of WSSV in uncooked imported prawns at retail outlets (from at least 2013 onward) should have </w:t>
      </w:r>
      <w:r w:rsidR="00CF1A45">
        <w:t>clearly indicated</w:t>
      </w:r>
      <w:r w:rsidR="00E37FDB">
        <w:t xml:space="preserve"> that </w:t>
      </w:r>
      <w:r w:rsidR="00CF1A45">
        <w:t>this was not the case</w:t>
      </w:r>
      <w:r w:rsidR="00E37FDB">
        <w:t xml:space="preserve">. Despite enhanced pre-border and border measures, the resumption of uncooked prawn imports </w:t>
      </w:r>
      <w:r w:rsidR="000074B2">
        <w:t xml:space="preserve">still </w:t>
      </w:r>
      <w:r w:rsidR="00E37FDB" w:rsidRPr="00E37FDB">
        <w:t>poses the</w:t>
      </w:r>
      <w:r w:rsidR="00E37FDB">
        <w:t xml:space="preserve"> risk of infected prawns entering Australia for retail sale and entering Australian waters. Measures for monitoring and minimising these risks, agreed and cost-shared between the department, states/territories and industry, as relevant, could include:</w:t>
      </w:r>
    </w:p>
    <w:p w14:paraId="58B3AA04" w14:textId="22137793" w:rsidR="00CC703E" w:rsidRDefault="00E37FDB">
      <w:pPr>
        <w:pStyle w:val="ListBullet"/>
        <w:spacing w:after="0"/>
        <w:rPr>
          <w:lang w:bidi="hi-IN"/>
        </w:rPr>
      </w:pPr>
      <w:r>
        <w:rPr>
          <w:lang w:bidi="hi-IN"/>
        </w:rPr>
        <w:t>periodic surveillance of retail prawns for target diseases</w:t>
      </w:r>
    </w:p>
    <w:p w14:paraId="7F8E506A" w14:textId="77777777" w:rsidR="00CC703E" w:rsidRDefault="00E37FDB">
      <w:pPr>
        <w:pStyle w:val="ListBullet"/>
        <w:spacing w:after="0"/>
        <w:rPr>
          <w:lang w:bidi="hi-IN"/>
        </w:rPr>
      </w:pPr>
      <w:r>
        <w:rPr>
          <w:lang w:bidi="hi-IN"/>
        </w:rPr>
        <w:t>periodic assessment of fishing practices</w:t>
      </w:r>
    </w:p>
    <w:p w14:paraId="11AFE11B" w14:textId="77777777" w:rsidR="00CC703E" w:rsidRDefault="00E37FDB">
      <w:pPr>
        <w:pStyle w:val="ListBullet"/>
        <w:spacing w:after="0"/>
        <w:rPr>
          <w:lang w:bidi="hi-IN"/>
        </w:rPr>
      </w:pPr>
      <w:r>
        <w:rPr>
          <w:lang w:bidi="hi-IN"/>
        </w:rPr>
        <w:t>targeted public awareness programs against use of imported prawns as bait</w:t>
      </w:r>
    </w:p>
    <w:p w14:paraId="235B802F" w14:textId="09B091B6" w:rsidR="00CC703E" w:rsidRDefault="00E37FDB">
      <w:pPr>
        <w:pStyle w:val="ListBullet"/>
        <w:spacing w:after="0"/>
        <w:rPr>
          <w:lang w:bidi="hi-IN"/>
        </w:rPr>
      </w:pPr>
      <w:r>
        <w:rPr>
          <w:lang w:bidi="hi-IN"/>
        </w:rPr>
        <w:t>prevent</w:t>
      </w:r>
      <w:r w:rsidRPr="00E37FDB">
        <w:rPr>
          <w:lang w:bidi="hi-IN"/>
        </w:rPr>
        <w:t>ion of</w:t>
      </w:r>
      <w:r>
        <w:rPr>
          <w:lang w:bidi="hi-IN"/>
        </w:rPr>
        <w:t xml:space="preserve"> recreational fishing close to prawn farms</w:t>
      </w:r>
    </w:p>
    <w:p w14:paraId="08514778" w14:textId="70A3838B" w:rsidR="00CC703E" w:rsidRDefault="00E37FDB">
      <w:pPr>
        <w:pStyle w:val="ListBullet"/>
        <w:spacing w:after="0"/>
        <w:rPr>
          <w:lang w:bidi="hi-IN"/>
        </w:rPr>
      </w:pPr>
      <w:proofErr w:type="gramStart"/>
      <w:r>
        <w:rPr>
          <w:lang w:bidi="hi-IN"/>
        </w:rPr>
        <w:t>surveillance</w:t>
      </w:r>
      <w:proofErr w:type="gramEnd"/>
      <w:r>
        <w:rPr>
          <w:lang w:bidi="hi-IN"/>
        </w:rPr>
        <w:t xml:space="preserve"> of bait shops to ensure that they are not selling </w:t>
      </w:r>
      <w:r w:rsidR="000074B2">
        <w:rPr>
          <w:lang w:bidi="hi-IN"/>
        </w:rPr>
        <w:t xml:space="preserve">imported </w:t>
      </w:r>
      <w:r w:rsidR="00E5048C">
        <w:rPr>
          <w:lang w:bidi="hi-IN"/>
        </w:rPr>
        <w:t>uncooked prawns</w:t>
      </w:r>
      <w:r>
        <w:rPr>
          <w:lang w:bidi="hi-IN"/>
        </w:rPr>
        <w:t>.</w:t>
      </w:r>
    </w:p>
    <w:p w14:paraId="312F8982" w14:textId="77777777" w:rsidR="00CC703E" w:rsidRDefault="00E37FDB" w:rsidP="007C529C">
      <w:pPr>
        <w:pStyle w:val="Heading3"/>
      </w:pPr>
      <w:r>
        <w:t>Uncooked prawns for food service industry versus retail sale</w:t>
      </w:r>
    </w:p>
    <w:p w14:paraId="07BAFB93" w14:textId="0118C897" w:rsidR="00CC703E" w:rsidRDefault="00E37FDB">
      <w:pPr>
        <w:spacing w:after="0"/>
      </w:pPr>
      <w:r>
        <w:t>The intent of the 2010 prawn import conditions was that imported uncooked prawns would all be cooked once in Australia</w:t>
      </w:r>
      <w:r w:rsidR="00E5048C">
        <w:t>, so</w:t>
      </w:r>
      <w:r>
        <w:t xml:space="preserve"> that virtually none would </w:t>
      </w:r>
      <w:r w:rsidR="000074B2">
        <w:t xml:space="preserve">be diverted for bait and berley and thus </w:t>
      </w:r>
      <w:r>
        <w:t xml:space="preserve">enter waterways in an uncooked state. </w:t>
      </w:r>
      <w:r w:rsidR="000074B2">
        <w:t xml:space="preserve">During the post-border prawn withdrawal program, some importers wished to send their products solely to food service industry outlets where they would definitely be </w:t>
      </w:r>
      <w:r w:rsidR="000074B2">
        <w:lastRenderedPageBreak/>
        <w:t xml:space="preserve">cooked and then pose no risk. </w:t>
      </w:r>
      <w:r>
        <w:t>However, experience with managing marinated and other highly processed prawns ha</w:t>
      </w:r>
      <w:r w:rsidR="00611D52">
        <w:t>s</w:t>
      </w:r>
      <w:r>
        <w:t xml:space="preserve"> shown how difficult it is to prevent diversion of uncooked prawns destined for the food service industry to the retail sector.</w:t>
      </w:r>
    </w:p>
    <w:p w14:paraId="2B51E47C" w14:textId="166EC0B2" w:rsidR="00CC703E" w:rsidRDefault="00E37FDB">
      <w:pPr>
        <w:spacing w:after="0"/>
      </w:pPr>
      <w:r>
        <w:t xml:space="preserve">Nevertheless, some importers supplying major food service and restaurant clients may be able to set up reliable post-border quality assurance supply schemes. In view of </w:t>
      </w:r>
      <w:r w:rsidR="006318C7">
        <w:t>previous</w:t>
      </w:r>
      <w:r>
        <w:t xml:space="preserve"> </w:t>
      </w:r>
      <w:r w:rsidR="002710D6">
        <w:t>non</w:t>
      </w:r>
      <w:r w:rsidR="00611ED8">
        <w:t>-</w:t>
      </w:r>
      <w:r w:rsidR="002710D6">
        <w:t>compliance with</w:t>
      </w:r>
      <w:r>
        <w:t xml:space="preserve"> import requirements, any such scheme would need tight conditions and strong verification over time. The department does not have the legal jurisdiction or resources for this, so any such scheme would have to be driven by importers and the food service industry and have regulatory support from state and territory governments.</w:t>
      </w:r>
    </w:p>
    <w:p w14:paraId="5B0F5FBC" w14:textId="15126C07" w:rsidR="00BC7B7D" w:rsidRPr="008571A1" w:rsidRDefault="00BC7B7D" w:rsidP="007C529C">
      <w:pPr>
        <w:pStyle w:val="Heading2"/>
      </w:pPr>
      <w:bookmarkStart w:id="24" w:name="_Toc500511637"/>
      <w:r w:rsidRPr="008571A1">
        <w:t>Conclusion</w:t>
      </w:r>
      <w:bookmarkEnd w:id="24"/>
    </w:p>
    <w:p w14:paraId="24878088" w14:textId="77DDEFAB" w:rsidR="0061777C" w:rsidRDefault="00BC7B7D">
      <w:pPr>
        <w:spacing w:after="0"/>
        <w:rPr>
          <w:lang w:eastAsia="ja-JP"/>
        </w:rPr>
      </w:pPr>
      <w:r>
        <w:rPr>
          <w:lang w:eastAsia="ja-JP"/>
        </w:rPr>
        <w:t>In 2016</w:t>
      </w:r>
      <w:r w:rsidRPr="007F5311">
        <w:rPr>
          <w:lang w:eastAsia="ja-JP"/>
        </w:rPr>
        <w:t>–</w:t>
      </w:r>
      <w:r>
        <w:rPr>
          <w:lang w:eastAsia="ja-JP"/>
        </w:rPr>
        <w:t>17</w:t>
      </w:r>
      <w:r w:rsidR="0061777C">
        <w:rPr>
          <w:lang w:eastAsia="ja-JP"/>
        </w:rPr>
        <w:t xml:space="preserve">, </w:t>
      </w:r>
      <w:r w:rsidR="00E56055">
        <w:rPr>
          <w:lang w:eastAsia="ja-JP"/>
        </w:rPr>
        <w:t xml:space="preserve">the </w:t>
      </w:r>
      <w:r w:rsidR="0061777C">
        <w:rPr>
          <w:lang w:eastAsia="ja-JP"/>
        </w:rPr>
        <w:t xml:space="preserve">major </w:t>
      </w:r>
      <w:r w:rsidR="00E56055">
        <w:rPr>
          <w:lang w:eastAsia="ja-JP"/>
        </w:rPr>
        <w:t xml:space="preserve">WSD </w:t>
      </w:r>
      <w:r w:rsidR="0061777C">
        <w:rPr>
          <w:lang w:eastAsia="ja-JP"/>
        </w:rPr>
        <w:t xml:space="preserve">outbreak in Queensland prawn farms led to a </w:t>
      </w:r>
      <w:r w:rsidR="002338E2">
        <w:rPr>
          <w:lang w:eastAsia="ja-JP"/>
        </w:rPr>
        <w:t>six</w:t>
      </w:r>
      <w:r w:rsidR="0061777C">
        <w:rPr>
          <w:lang w:eastAsia="ja-JP"/>
        </w:rPr>
        <w:t>-month suspension of uncooked prawn imports into Australia.</w:t>
      </w:r>
      <w:r w:rsidR="00242B77">
        <w:rPr>
          <w:lang w:eastAsia="ja-JP"/>
        </w:rPr>
        <w:t xml:space="preserve"> </w:t>
      </w:r>
      <w:r w:rsidR="002710D6" w:rsidRPr="002710D6">
        <w:rPr>
          <w:lang w:eastAsia="ja-JP"/>
        </w:rPr>
        <w:t>Very high levels of WSSV were found in imported uncooked prawns</w:t>
      </w:r>
      <w:r w:rsidR="00C62E1E">
        <w:rPr>
          <w:lang w:eastAsia="ja-JP"/>
        </w:rPr>
        <w:t>,</w:t>
      </w:r>
      <w:r w:rsidR="002710D6" w:rsidRPr="002710D6">
        <w:rPr>
          <w:lang w:eastAsia="ja-JP"/>
        </w:rPr>
        <w:t xml:space="preserve"> destined for retail outlets across the country</w:t>
      </w:r>
      <w:r w:rsidR="00AA1D56">
        <w:rPr>
          <w:lang w:eastAsia="ja-JP"/>
        </w:rPr>
        <w:t>,</w:t>
      </w:r>
      <w:r w:rsidR="002710D6" w:rsidRPr="002710D6">
        <w:rPr>
          <w:lang w:eastAsia="ja-JP"/>
        </w:rPr>
        <w:t xml:space="preserve"> which had already passed Australia’s border biosecurity controls.</w:t>
      </w:r>
      <w:r w:rsidR="002710D6">
        <w:rPr>
          <w:lang w:eastAsia="ja-JP"/>
        </w:rPr>
        <w:t xml:space="preserve"> This indicated a major failure of Australia’s biosecurity system, which was not providing an appropriate level of protection.</w:t>
      </w:r>
    </w:p>
    <w:p w14:paraId="5AE22D9C" w14:textId="2CCA0157" w:rsidR="00BC7B7D" w:rsidRDefault="002710D6">
      <w:pPr>
        <w:spacing w:after="0"/>
        <w:rPr>
          <w:lang w:eastAsia="ja-JP"/>
        </w:rPr>
      </w:pPr>
      <w:r>
        <w:rPr>
          <w:lang w:eastAsia="ja-JP"/>
        </w:rPr>
        <w:t>During this review, I found several deficiencies in the management of the biosecurity risk of uncooked prawn imports, with broader implications for Australia’s biosecurity risk management more generally. I found that specific policy elements and their implementation had sowed the seeds of failure many years before, while progressive and cumulative acts, omissions and systemic factors at many levels exacerbated the risks over time. Many of these failings have been swiftly addressed by the department and other stakeholders, but more needs to be done to manage the biosecurity risks of prawn imports in the future. I have made recommendations to improve this biosecurity risk management framework and its ability to deal with ongoing and emerging challenges. Long-term adequate resourcing will be a key success factor in this endeavour.</w:t>
      </w:r>
    </w:p>
    <w:p w14:paraId="7E2BB7E5" w14:textId="6E3AC2CD" w:rsidR="004719C8" w:rsidRDefault="004719C8">
      <w:pPr>
        <w:spacing w:after="0"/>
      </w:pPr>
      <w:r>
        <w:t>The importation of uncooked prawns and other seafood into Australia will continue to pose significant and changing challenges for the department and industry. The recent WSD outbreak in Queensland, and the subsequent findings of massive importation of WSSV-infected prawns, despite previous import requirements intended to keep this virus out, highlight the need for the department to remain vigilant, proactively review and update import requirements and policies, and maintain excellent communication with both government and industry stakeholders. Above all, detecting and deterring deliberate or inadvertent failures to implement biosecurity risk management policies effectively must be a priority. Governments and aquatic industries must cooperate to resource and implement these efforts. Failure to do so will imperil the future development of a sustainable and profitable aquaculture sector in Australia.</w:t>
      </w:r>
    </w:p>
    <w:p w14:paraId="7FB737B8" w14:textId="3CD2A8E9" w:rsidR="00CC703E" w:rsidRDefault="00E37FDB" w:rsidP="003603BA">
      <w:pPr>
        <w:pStyle w:val="Heading2"/>
      </w:pPr>
      <w:bookmarkStart w:id="25" w:name="_Toc367702808"/>
      <w:bookmarkStart w:id="26" w:name="_Toc367706521"/>
      <w:bookmarkStart w:id="27" w:name="_Toc367707101"/>
      <w:bookmarkStart w:id="28" w:name="_Toc367707282"/>
      <w:bookmarkStart w:id="29" w:name="_Toc367708164"/>
      <w:bookmarkStart w:id="30" w:name="_Toc417308601"/>
      <w:bookmarkStart w:id="31" w:name="_Toc482265192"/>
      <w:bookmarkStart w:id="32" w:name="_Toc499040832"/>
      <w:bookmarkStart w:id="33" w:name="_Toc500511638"/>
      <w:r>
        <w:t>Recommendations</w:t>
      </w:r>
      <w:bookmarkEnd w:id="25"/>
      <w:bookmarkEnd w:id="26"/>
      <w:bookmarkEnd w:id="27"/>
      <w:bookmarkEnd w:id="28"/>
      <w:bookmarkEnd w:id="29"/>
      <w:bookmarkEnd w:id="30"/>
      <w:bookmarkEnd w:id="31"/>
      <w:bookmarkEnd w:id="32"/>
      <w:r w:rsidR="00550158">
        <w:t xml:space="preserve"> and departmental responses</w:t>
      </w:r>
      <w:bookmarkEnd w:id="33"/>
    </w:p>
    <w:p w14:paraId="32E18368" w14:textId="477464CC" w:rsidR="00CC703E" w:rsidRDefault="00E37FDB">
      <w:pPr>
        <w:spacing w:after="0"/>
        <w:rPr>
          <w:szCs w:val="24"/>
        </w:rPr>
      </w:pPr>
      <w:r>
        <w:rPr>
          <w:szCs w:val="24"/>
        </w:rPr>
        <w:t xml:space="preserve">The department’s full response to the recommendations is </w:t>
      </w:r>
      <w:r w:rsidR="00032958">
        <w:rPr>
          <w:szCs w:val="24"/>
        </w:rPr>
        <w:t xml:space="preserve">also </w:t>
      </w:r>
      <w:r>
        <w:rPr>
          <w:szCs w:val="24"/>
        </w:rPr>
        <w:t>at</w:t>
      </w:r>
      <w:r w:rsidR="00C3711C">
        <w:rPr>
          <w:szCs w:val="24"/>
        </w:rPr>
        <w:t xml:space="preserve"> Appendix A.</w:t>
      </w:r>
    </w:p>
    <w:p w14:paraId="107B0679" w14:textId="7D715B28" w:rsidR="00CC703E" w:rsidRDefault="00E37FDB" w:rsidP="00BA3EB1">
      <w:pPr>
        <w:pStyle w:val="Heading3"/>
        <w:numPr>
          <w:ilvl w:val="0"/>
          <w:numId w:val="0"/>
        </w:numPr>
        <w:ind w:left="567" w:hanging="567"/>
      </w:pPr>
      <w:bookmarkStart w:id="34" w:name="_Toc499040833"/>
      <w:bookmarkStart w:id="35" w:name="_Toc499040950"/>
      <w:r>
        <w:lastRenderedPageBreak/>
        <w:t>Recommendation 1</w:t>
      </w:r>
      <w:bookmarkEnd w:id="34"/>
      <w:bookmarkEnd w:id="35"/>
    </w:p>
    <w:p w14:paraId="5AB413B1" w14:textId="77777777"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in consultation with industry and state/territory governments, should review risk mitigation measures for the various pathways for white spot disease to enter and establish in Australia.</w:t>
      </w:r>
    </w:p>
    <w:p w14:paraId="49644EEF" w14:textId="6C6A3C44" w:rsidR="00CC703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sidRPr="00503FCE">
        <w:rPr>
          <w:szCs w:val="24"/>
        </w:rPr>
        <w:t xml:space="preserve"> </w:t>
      </w:r>
      <w:r w:rsidR="00503FCE" w:rsidRPr="00AA1D56">
        <w:rPr>
          <w:rFonts w:ascii="Calibri" w:hAnsi="Calibri" w:cs="Calibri"/>
          <w:bCs/>
          <w:sz w:val="23"/>
          <w:szCs w:val="23"/>
        </w:rPr>
        <w:t>Agree</w:t>
      </w:r>
      <w:r w:rsidR="006C364E" w:rsidRPr="00AA1D56">
        <w:rPr>
          <w:rFonts w:ascii="Calibri" w:hAnsi="Calibri" w:cs="Calibri"/>
          <w:bCs/>
          <w:sz w:val="23"/>
          <w:szCs w:val="23"/>
        </w:rPr>
        <w:t xml:space="preserve">. </w:t>
      </w:r>
      <w:r w:rsidR="006C364E" w:rsidRPr="00AA1D56">
        <w:t xml:space="preserve">The </w:t>
      </w:r>
      <w:r w:rsidR="006C364E" w:rsidRPr="00C4292B">
        <w:t>department has commenced a review of the biosecurity risks of, and import conditions for, prawns imported for human consumption. There will be extensive consultation and engagement with aquatic health and production experts in Australian and state/territory government agencies, universities and industry to support the prawn risk review.</w:t>
      </w:r>
    </w:p>
    <w:p w14:paraId="2834F44D" w14:textId="77777777" w:rsidR="00CC703E" w:rsidRDefault="00E37FDB" w:rsidP="00BA3EB1">
      <w:pPr>
        <w:pStyle w:val="Heading3"/>
        <w:numPr>
          <w:ilvl w:val="0"/>
          <w:numId w:val="0"/>
        </w:numPr>
        <w:ind w:left="567" w:hanging="567"/>
      </w:pPr>
      <w:bookmarkStart w:id="36" w:name="_Toc499040834"/>
      <w:bookmarkStart w:id="37" w:name="_Toc499040951"/>
      <w:r>
        <w:t>Recommendation 2</w:t>
      </w:r>
      <w:bookmarkEnd w:id="36"/>
      <w:bookmarkEnd w:id="37"/>
    </w:p>
    <w:p w14:paraId="128D00C6" w14:textId="426B638F"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should, as a priority, review the sampling regime for consignments of imported uncooked prawns and prawn products.</w:t>
      </w:r>
    </w:p>
    <w:p w14:paraId="46635464" w14:textId="7B803D96" w:rsidR="00CC703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sidRPr="00503FCE">
        <w:rPr>
          <w:szCs w:val="24"/>
        </w:rPr>
        <w:t xml:space="preserve"> </w:t>
      </w:r>
      <w:r w:rsidR="006C364E">
        <w:t xml:space="preserve">Agree. </w:t>
      </w:r>
      <w:r w:rsidR="006C364E" w:rsidRPr="00C4292B">
        <w:t>An improved sampling process for consignments of imported uncooked prawns and prawn products has been implemented. Sampling regimes will also be considered in the prawn risk review.</w:t>
      </w:r>
    </w:p>
    <w:p w14:paraId="7BD82CE0" w14:textId="77777777" w:rsidR="00815CC4" w:rsidRDefault="00815CC4">
      <w:pPr>
        <w:tabs>
          <w:tab w:val="clear" w:pos="567"/>
        </w:tabs>
        <w:spacing w:before="0" w:after="0"/>
        <w:rPr>
          <w:rFonts w:eastAsia="Times New Roman"/>
          <w:b/>
          <w:bCs/>
          <w:color w:val="000000"/>
          <w:szCs w:val="28"/>
          <w:lang w:eastAsia="en-AU"/>
        </w:rPr>
      </w:pPr>
      <w:bookmarkStart w:id="38" w:name="_Toc499040835"/>
      <w:bookmarkStart w:id="39" w:name="_Toc499040952"/>
      <w:r>
        <w:br w:type="page"/>
      </w:r>
    </w:p>
    <w:p w14:paraId="6BA95D76" w14:textId="1597CE75" w:rsidR="00CC703E" w:rsidRDefault="00E37FDB" w:rsidP="00815CC4">
      <w:pPr>
        <w:pStyle w:val="Heading3"/>
        <w:numPr>
          <w:ilvl w:val="0"/>
          <w:numId w:val="0"/>
        </w:numPr>
        <w:spacing w:before="0"/>
        <w:ind w:left="567" w:hanging="567"/>
      </w:pPr>
      <w:r>
        <w:lastRenderedPageBreak/>
        <w:t>Recommendation 3</w:t>
      </w:r>
      <w:bookmarkEnd w:id="38"/>
      <w:bookmarkEnd w:id="39"/>
    </w:p>
    <w:p w14:paraId="5B736F9A" w14:textId="77777777" w:rsidR="00CC703E" w:rsidRDefault="00E37FDB" w:rsidP="00150A32">
      <w:pPr>
        <w:pBdr>
          <w:top w:val="single" w:sz="4" w:space="1" w:color="auto"/>
          <w:left w:val="single" w:sz="4" w:space="1" w:color="auto"/>
          <w:bottom w:val="single" w:sz="4" w:space="1" w:color="auto"/>
          <w:right w:val="single" w:sz="4" w:space="1" w:color="auto"/>
        </w:pBdr>
        <w:spacing w:after="0"/>
        <w:rPr>
          <w:szCs w:val="24"/>
        </w:rPr>
      </w:pPr>
      <w:r>
        <w:rPr>
          <w:szCs w:val="24"/>
        </w:rPr>
        <w:t>The department should facilitate research to validate the impact of cooking on:</w:t>
      </w:r>
    </w:p>
    <w:p w14:paraId="768D4AF9" w14:textId="2CD7454F" w:rsidR="00CC703E" w:rsidRDefault="00E37FDB" w:rsidP="004901C8">
      <w:pPr>
        <w:pStyle w:val="ListBullet"/>
        <w:numPr>
          <w:ilvl w:val="0"/>
          <w:numId w:val="24"/>
        </w:numPr>
        <w:pBdr>
          <w:top w:val="single" w:sz="4" w:space="1" w:color="auto"/>
          <w:left w:val="single" w:sz="4" w:space="1" w:color="auto"/>
          <w:bottom w:val="single" w:sz="4" w:space="1" w:color="auto"/>
          <w:right w:val="single" w:sz="4" w:space="1" w:color="auto"/>
        </w:pBdr>
        <w:spacing w:after="0"/>
      </w:pPr>
      <w:r>
        <w:t>white spot syndrome virus inactivation</w:t>
      </w:r>
      <w:r w:rsidR="000074B2">
        <w:t>, and</w:t>
      </w:r>
    </w:p>
    <w:p w14:paraId="23B0B5FD" w14:textId="06094F31" w:rsidR="00150A32" w:rsidRPr="00150A32" w:rsidRDefault="00E37FDB" w:rsidP="004901C8">
      <w:pPr>
        <w:pStyle w:val="ListBullet"/>
        <w:numPr>
          <w:ilvl w:val="0"/>
          <w:numId w:val="24"/>
        </w:numPr>
        <w:pBdr>
          <w:top w:val="single" w:sz="4" w:space="1" w:color="auto"/>
          <w:left w:val="single" w:sz="4" w:space="1" w:color="auto"/>
          <w:bottom w:val="single" w:sz="4" w:space="1" w:color="auto"/>
          <w:right w:val="single" w:sz="4" w:space="1" w:color="auto"/>
        </w:pBdr>
      </w:pPr>
      <w:proofErr w:type="gramStart"/>
      <w:r>
        <w:t>white</w:t>
      </w:r>
      <w:proofErr w:type="gramEnd"/>
      <w:r>
        <w:t xml:space="preserve"> spot syndrome virus testing results.</w:t>
      </w:r>
      <w:r w:rsidR="00150A32" w:rsidRPr="00150A32">
        <w:rPr>
          <w:szCs w:val="24"/>
        </w:rPr>
        <w:t xml:space="preserve"> </w:t>
      </w:r>
    </w:p>
    <w:p w14:paraId="1B58777A" w14:textId="1A3C008F" w:rsidR="00D170E0" w:rsidRPr="00503FCE" w:rsidRDefault="00D170E0" w:rsidP="00D170E0">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b/>
          <w:szCs w:val="24"/>
        </w:rPr>
        <w:t xml:space="preserve"> </w:t>
      </w:r>
      <w:r w:rsidR="00503FCE">
        <w:rPr>
          <w:szCs w:val="24"/>
        </w:rPr>
        <w:t>Agree</w:t>
      </w:r>
      <w:r w:rsidR="00932375">
        <w:rPr>
          <w:szCs w:val="24"/>
        </w:rPr>
        <w:t>d</w:t>
      </w:r>
      <w:r w:rsidR="00503FCE">
        <w:rPr>
          <w:szCs w:val="24"/>
        </w:rPr>
        <w:t xml:space="preserve"> in principle</w:t>
      </w:r>
      <w:r w:rsidR="006C364E">
        <w:rPr>
          <w:szCs w:val="24"/>
        </w:rPr>
        <w:t xml:space="preserve">. </w:t>
      </w:r>
      <w:r w:rsidR="006C364E" w:rsidRPr="00C4292B">
        <w:t>Research such as this, which could be commissioned by FRDC, will be considered in the context of the prawn risk review.</w:t>
      </w:r>
    </w:p>
    <w:p w14:paraId="0BF010F9" w14:textId="77777777" w:rsidR="00CC703E" w:rsidRDefault="00E37FDB" w:rsidP="00D170E0">
      <w:pPr>
        <w:pStyle w:val="Heading3"/>
        <w:numPr>
          <w:ilvl w:val="0"/>
          <w:numId w:val="0"/>
        </w:numPr>
        <w:ind w:left="567" w:hanging="567"/>
      </w:pPr>
      <w:bookmarkStart w:id="40" w:name="_Toc499040836"/>
      <w:bookmarkStart w:id="41" w:name="_Toc499040953"/>
      <w:r>
        <w:t>Recommendation 4</w:t>
      </w:r>
      <w:bookmarkEnd w:id="40"/>
      <w:bookmarkEnd w:id="41"/>
    </w:p>
    <w:p w14:paraId="13C7E2D9" w14:textId="57B76546"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 xml:space="preserve">The department should review import conditions for uncooked prawns listed on </w:t>
      </w:r>
      <w:r w:rsidR="00185E2D">
        <w:rPr>
          <w:szCs w:val="24"/>
        </w:rPr>
        <w:t xml:space="preserve">its </w:t>
      </w:r>
      <w:r>
        <w:rPr>
          <w:szCs w:val="24"/>
        </w:rPr>
        <w:t xml:space="preserve">Biosecurity Import Conditions (BICON) </w:t>
      </w:r>
      <w:r w:rsidR="00185E2D">
        <w:rPr>
          <w:szCs w:val="24"/>
        </w:rPr>
        <w:t xml:space="preserve">system </w:t>
      </w:r>
      <w:r>
        <w:rPr>
          <w:szCs w:val="24"/>
        </w:rPr>
        <w:t>to ensure clarity and consistency with OIE terminology, scientific accuracy and usefulness for verification at the border.</w:t>
      </w:r>
    </w:p>
    <w:p w14:paraId="76564FC2" w14:textId="4CDF0AC4"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6C364E">
        <w:rPr>
          <w:szCs w:val="24"/>
        </w:rPr>
        <w:t xml:space="preserve">. </w:t>
      </w:r>
      <w:r w:rsidR="006C364E" w:rsidRPr="00C4292B">
        <w:t>Import conditions have been reviewed and updated and will be further reviewed and updated as the risk review progresses.</w:t>
      </w:r>
    </w:p>
    <w:p w14:paraId="683EB6C4" w14:textId="77777777" w:rsidR="00CC703E" w:rsidRDefault="00E37FDB" w:rsidP="00D170E0">
      <w:pPr>
        <w:pStyle w:val="Heading3"/>
        <w:numPr>
          <w:ilvl w:val="0"/>
          <w:numId w:val="0"/>
        </w:numPr>
        <w:ind w:left="567" w:hanging="567"/>
      </w:pPr>
      <w:bookmarkStart w:id="42" w:name="_Toc499040837"/>
      <w:bookmarkStart w:id="43" w:name="_Toc499040954"/>
      <w:r w:rsidRPr="00150A32">
        <w:t>Recommendation 5</w:t>
      </w:r>
      <w:bookmarkEnd w:id="42"/>
      <w:bookmarkEnd w:id="43"/>
    </w:p>
    <w:p w14:paraId="48F66F9E" w14:textId="0BD3F0AB" w:rsidR="00CC703E" w:rsidRDefault="00E37FDB" w:rsidP="00815CC4">
      <w:pPr>
        <w:pBdr>
          <w:top w:val="single" w:sz="4" w:space="1" w:color="auto"/>
          <w:left w:val="single" w:sz="4" w:space="1" w:color="auto"/>
          <w:bottom w:val="single" w:sz="4" w:space="1" w:color="auto"/>
          <w:right w:val="single" w:sz="4" w:space="1" w:color="auto"/>
        </w:pBdr>
        <w:spacing w:after="0"/>
      </w:pPr>
      <w:r>
        <w:t xml:space="preserve">The </w:t>
      </w:r>
      <w:r w:rsidRPr="00815CC4">
        <w:rPr>
          <w:szCs w:val="24"/>
        </w:rPr>
        <w:t>department</w:t>
      </w:r>
      <w:r>
        <w:t xml:space="preserve"> should work with competent authorities and industry to </w:t>
      </w:r>
      <w:r w:rsidR="008D5825">
        <w:t>ensure that, where possible,</w:t>
      </w:r>
      <w:r>
        <w:t xml:space="preserve"> uncooked prawn products </w:t>
      </w:r>
      <w:r w:rsidR="008D5825">
        <w:t xml:space="preserve">are imported </w:t>
      </w:r>
      <w:r>
        <w:t xml:space="preserve">from specific pathogen-free countries, zones or compartments. This should be industry-driven and involve: </w:t>
      </w:r>
    </w:p>
    <w:p w14:paraId="3124E840" w14:textId="77777777" w:rsidR="00CC703E" w:rsidRDefault="00E37FDB" w:rsidP="004901C8">
      <w:pPr>
        <w:pStyle w:val="ListBullet"/>
        <w:numPr>
          <w:ilvl w:val="0"/>
          <w:numId w:val="24"/>
        </w:numPr>
        <w:pBdr>
          <w:top w:val="single" w:sz="4" w:space="1" w:color="auto"/>
          <w:left w:val="single" w:sz="4" w:space="1" w:color="auto"/>
          <w:bottom w:val="single" w:sz="4" w:space="1" w:color="auto"/>
          <w:right w:val="single" w:sz="4" w:space="1" w:color="auto"/>
        </w:pBdr>
      </w:pPr>
      <w:r>
        <w:t>quality-assured supply chain management</w:t>
      </w:r>
    </w:p>
    <w:p w14:paraId="6FEEAFA5" w14:textId="12F3AFE2" w:rsidR="00CC703E" w:rsidRDefault="00E37FDB" w:rsidP="004901C8">
      <w:pPr>
        <w:pStyle w:val="ListBullet"/>
        <w:numPr>
          <w:ilvl w:val="0"/>
          <w:numId w:val="24"/>
        </w:numPr>
        <w:pBdr>
          <w:top w:val="single" w:sz="4" w:space="1" w:color="auto"/>
          <w:left w:val="single" w:sz="4" w:space="1" w:color="auto"/>
          <w:bottom w:val="single" w:sz="4" w:space="1" w:color="auto"/>
          <w:right w:val="single" w:sz="4" w:space="1" w:color="auto"/>
        </w:pBdr>
      </w:pPr>
      <w:r>
        <w:t>competent authority verification of pre-border status of consignments</w:t>
      </w:r>
      <w:r w:rsidR="00A0251B">
        <w:t>, and</w:t>
      </w:r>
    </w:p>
    <w:p w14:paraId="32D54953" w14:textId="77777777" w:rsidR="00CC703E" w:rsidRDefault="00E37FDB" w:rsidP="004901C8">
      <w:pPr>
        <w:pStyle w:val="ListBullet"/>
        <w:numPr>
          <w:ilvl w:val="0"/>
          <w:numId w:val="24"/>
        </w:numPr>
        <w:pBdr>
          <w:top w:val="single" w:sz="4" w:space="1" w:color="auto"/>
          <w:left w:val="single" w:sz="4" w:space="1" w:color="auto"/>
          <w:bottom w:val="single" w:sz="4" w:space="1" w:color="auto"/>
          <w:right w:val="single" w:sz="4" w:space="1" w:color="auto"/>
        </w:pBdr>
      </w:pPr>
      <w:proofErr w:type="gramStart"/>
      <w:r>
        <w:t>regular</w:t>
      </w:r>
      <w:proofErr w:type="gramEnd"/>
      <w:r>
        <w:t xml:space="preserve"> departmental offshore audits or verifications of these arrangements.</w:t>
      </w:r>
    </w:p>
    <w:p w14:paraId="3B6ABCB6" w14:textId="450701D7" w:rsidR="00CC703E" w:rsidRPr="00503FCE" w:rsidRDefault="00A23AD9">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 in principle</w:t>
      </w:r>
      <w:r w:rsidR="006C364E">
        <w:rPr>
          <w:szCs w:val="24"/>
        </w:rPr>
        <w:t xml:space="preserve">. </w:t>
      </w:r>
      <w:r w:rsidR="006C364E" w:rsidRPr="000A4038">
        <w:t>In conducting the risk review, the department will consult with competent authorities and industry to consider the designation of specific pathogen-free countries, zones or compartments for the import of uncooked prawn products.</w:t>
      </w:r>
    </w:p>
    <w:p w14:paraId="08D65781" w14:textId="77777777" w:rsidR="00CC703E" w:rsidRDefault="00E37FDB" w:rsidP="00D170E0">
      <w:pPr>
        <w:pStyle w:val="Heading3"/>
        <w:numPr>
          <w:ilvl w:val="0"/>
          <w:numId w:val="0"/>
        </w:numPr>
        <w:ind w:left="567" w:hanging="567"/>
      </w:pPr>
      <w:bookmarkStart w:id="44" w:name="_Toc499040838"/>
      <w:bookmarkStart w:id="45" w:name="_Toc499040955"/>
      <w:r>
        <w:t>Recommendation 6</w:t>
      </w:r>
      <w:bookmarkEnd w:id="44"/>
      <w:bookmarkEnd w:id="45"/>
    </w:p>
    <w:p w14:paraId="21E7AAFC" w14:textId="77777777"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should continue to conduct full seals-intact inspections of uncooked prawn imports (by at least two inspectors). It should also review measures to ensure integrity of the seals-intact containers until inspection.</w:t>
      </w:r>
    </w:p>
    <w:p w14:paraId="21A74ECC" w14:textId="1A7117A4" w:rsidR="009F5732" w:rsidRPr="00503FCE" w:rsidRDefault="00E37FDB" w:rsidP="009F5732">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Agreed and implemented</w:t>
      </w:r>
      <w:r w:rsidR="006C364E">
        <w:rPr>
          <w:szCs w:val="24"/>
        </w:rPr>
        <w:t>.</w:t>
      </w:r>
    </w:p>
    <w:p w14:paraId="79423807" w14:textId="2A86A0AF" w:rsidR="00CC703E" w:rsidRDefault="00E37FDB" w:rsidP="00D170E0">
      <w:pPr>
        <w:pStyle w:val="Heading3"/>
        <w:numPr>
          <w:ilvl w:val="0"/>
          <w:numId w:val="0"/>
        </w:numPr>
        <w:ind w:left="567" w:hanging="567"/>
      </w:pPr>
      <w:bookmarkStart w:id="46" w:name="_Toc499040839"/>
      <w:bookmarkStart w:id="47" w:name="_Toc499040956"/>
      <w:r>
        <w:t>Recommendation 7</w:t>
      </w:r>
      <w:bookmarkEnd w:id="46"/>
      <w:bookmarkEnd w:id="47"/>
    </w:p>
    <w:p w14:paraId="7C6C58FA" w14:textId="5CC490EF" w:rsidR="00CC703E" w:rsidRDefault="00014886" w:rsidP="00815CC4">
      <w:pPr>
        <w:pBdr>
          <w:top w:val="single" w:sz="4" w:space="1" w:color="auto"/>
          <w:left w:val="single" w:sz="4" w:space="1" w:color="auto"/>
          <w:bottom w:val="single" w:sz="4" w:space="1" w:color="auto"/>
          <w:right w:val="single" w:sz="4" w:space="1" w:color="auto"/>
        </w:pBdr>
        <w:spacing w:after="0"/>
        <w:rPr>
          <w:szCs w:val="24"/>
        </w:rPr>
      </w:pPr>
      <w:r w:rsidRPr="00014886">
        <w:rPr>
          <w:szCs w:val="24"/>
        </w:rPr>
        <w:t>The department should implement and publicise an ongoing program of random and risk-based, seals-intact inspections of frozen goods to ensure that uncooked prawns are not being imported as other frozen foods.</w:t>
      </w:r>
    </w:p>
    <w:p w14:paraId="639E7983" w14:textId="60E8D118" w:rsidR="00CC703E" w:rsidRPr="00503FCE" w:rsidRDefault="00E37FDB" w:rsidP="00815CC4">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6C364E">
        <w:rPr>
          <w:szCs w:val="24"/>
        </w:rPr>
        <w:t xml:space="preserve">. </w:t>
      </w:r>
      <w:r w:rsidR="006C364E" w:rsidRPr="000A4038">
        <w:t>This may be implemented as part of the department’s cargo compliance verification program.</w:t>
      </w:r>
    </w:p>
    <w:p w14:paraId="51A878D2" w14:textId="77777777" w:rsidR="00CC703E" w:rsidRDefault="00E37FDB" w:rsidP="00815CC4">
      <w:pPr>
        <w:pStyle w:val="Heading3"/>
        <w:numPr>
          <w:ilvl w:val="0"/>
          <w:numId w:val="0"/>
        </w:numPr>
        <w:spacing w:before="120"/>
        <w:ind w:left="567" w:hanging="567"/>
      </w:pPr>
      <w:bookmarkStart w:id="48" w:name="_Toc499040840"/>
      <w:bookmarkStart w:id="49" w:name="_Toc499040957"/>
      <w:r>
        <w:lastRenderedPageBreak/>
        <w:t>Recommendation 8</w:t>
      </w:r>
      <w:bookmarkEnd w:id="48"/>
      <w:bookmarkEnd w:id="49"/>
    </w:p>
    <w:p w14:paraId="472FEF26" w14:textId="5D0D0FE1" w:rsidR="00CC703E" w:rsidRDefault="00A0251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should ensure that inspections at approved arrangements, especially at regulated cold stores, are periodically carried out by two inspectors. If only single inspectors are available, they should be regularly rotated.</w:t>
      </w:r>
    </w:p>
    <w:p w14:paraId="14F65D00" w14:textId="3F98A814"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6C364E">
        <w:rPr>
          <w:szCs w:val="24"/>
        </w:rPr>
        <w:t xml:space="preserve">. </w:t>
      </w:r>
      <w:r w:rsidR="006C364E" w:rsidRPr="000A4038">
        <w:t>Revised processes have been implemented.</w:t>
      </w:r>
    </w:p>
    <w:p w14:paraId="4A5A7475" w14:textId="77777777" w:rsidR="00CC703E" w:rsidRDefault="00E37FDB" w:rsidP="00D170E0">
      <w:pPr>
        <w:pStyle w:val="Heading3"/>
        <w:numPr>
          <w:ilvl w:val="0"/>
          <w:numId w:val="0"/>
        </w:numPr>
        <w:ind w:left="567" w:hanging="567"/>
      </w:pPr>
      <w:bookmarkStart w:id="50" w:name="_Toc499040841"/>
      <w:bookmarkStart w:id="51" w:name="_Toc499040958"/>
      <w:r>
        <w:t>Recommendation 9</w:t>
      </w:r>
      <w:bookmarkEnd w:id="50"/>
      <w:bookmarkEnd w:id="51"/>
    </w:p>
    <w:p w14:paraId="0B3293D5" w14:textId="45B91FBA" w:rsidR="00CC703E" w:rsidRDefault="00E62D26">
      <w:pPr>
        <w:pBdr>
          <w:top w:val="single" w:sz="4" w:space="1" w:color="auto"/>
          <w:left w:val="single" w:sz="4" w:space="1" w:color="auto"/>
          <w:bottom w:val="single" w:sz="4" w:space="1" w:color="auto"/>
          <w:right w:val="single" w:sz="4" w:space="1" w:color="auto"/>
        </w:pBdr>
        <w:spacing w:after="0"/>
        <w:rPr>
          <w:szCs w:val="24"/>
        </w:rPr>
      </w:pPr>
      <w:r w:rsidRPr="00E62D26">
        <w:rPr>
          <w:szCs w:val="24"/>
        </w:rPr>
        <w:t>The department should facilitate the development and implementation of a nationally consistent competence and verification framework covering staff involved in assessing and inspecting imported uncooked prawns and other commodities. This should be regularly reviewed and adequately resourced.</w:t>
      </w:r>
    </w:p>
    <w:p w14:paraId="2E5E185D" w14:textId="6CB1D2D3"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6C364E">
        <w:rPr>
          <w:szCs w:val="24"/>
        </w:rPr>
        <w:t xml:space="preserve">. </w:t>
      </w:r>
      <w:r w:rsidR="006C364E" w:rsidRPr="004F721A">
        <w:t>The Department has implemented a national competency and verification framework for prawn inspections</w:t>
      </w:r>
      <w:r w:rsidR="006C364E">
        <w:t>.</w:t>
      </w:r>
    </w:p>
    <w:p w14:paraId="6AD97449" w14:textId="77777777" w:rsidR="00CC703E" w:rsidRDefault="00E37FDB" w:rsidP="00D170E0">
      <w:pPr>
        <w:pStyle w:val="Heading3"/>
        <w:numPr>
          <w:ilvl w:val="0"/>
          <w:numId w:val="0"/>
        </w:numPr>
        <w:ind w:left="567" w:hanging="567"/>
      </w:pPr>
      <w:bookmarkStart w:id="52" w:name="_Toc499040842"/>
      <w:bookmarkStart w:id="53" w:name="_Toc499040959"/>
      <w:r>
        <w:t>Recommendation 10</w:t>
      </w:r>
      <w:bookmarkEnd w:id="52"/>
      <w:bookmarkEnd w:id="53"/>
    </w:p>
    <w:p w14:paraId="334EFFD1" w14:textId="6C03B1DF" w:rsidR="00CC703E" w:rsidRDefault="00E62D26">
      <w:pPr>
        <w:pBdr>
          <w:top w:val="single" w:sz="4" w:space="1" w:color="auto"/>
          <w:left w:val="single" w:sz="4" w:space="1" w:color="auto"/>
          <w:bottom w:val="single" w:sz="4" w:space="1" w:color="auto"/>
          <w:right w:val="single" w:sz="4" w:space="1" w:color="auto"/>
        </w:pBdr>
        <w:spacing w:after="0"/>
        <w:rPr>
          <w:b/>
          <w:szCs w:val="24"/>
        </w:rPr>
      </w:pPr>
      <w:r w:rsidRPr="00E62D26">
        <w:rPr>
          <w:szCs w:val="24"/>
        </w:rPr>
        <w:t>The department should improve internal communication to develop and implement training processes, instructional material and work directions that are technically sound, suit the conditions being experienced and are applied as intended. These should be monitored and regularly reviewed.</w:t>
      </w:r>
    </w:p>
    <w:p w14:paraId="78B8D2F5" w14:textId="75A1B96A"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6C364E">
        <w:rPr>
          <w:szCs w:val="24"/>
        </w:rPr>
        <w:t xml:space="preserve">. </w:t>
      </w:r>
      <w:r w:rsidR="006C364E" w:rsidRPr="00B02575">
        <w:t xml:space="preserve">The </w:t>
      </w:r>
      <w:r w:rsidR="006C364E">
        <w:t>d</w:t>
      </w:r>
      <w:r w:rsidR="006C364E" w:rsidRPr="00B02575">
        <w:t>epartment has implemented improved internal communications arrangements, updated instructional material and has strengthened arrangements to ensure that the required processes are being applied as intended.</w:t>
      </w:r>
    </w:p>
    <w:p w14:paraId="6581FFA1" w14:textId="77777777" w:rsidR="00CC703E" w:rsidRDefault="00E37FDB" w:rsidP="00D170E0">
      <w:pPr>
        <w:pStyle w:val="Heading3"/>
        <w:numPr>
          <w:ilvl w:val="0"/>
          <w:numId w:val="0"/>
        </w:numPr>
        <w:ind w:left="567" w:hanging="567"/>
      </w:pPr>
      <w:bookmarkStart w:id="54" w:name="_Toc499040843"/>
      <w:bookmarkStart w:id="55" w:name="_Toc499040960"/>
      <w:r>
        <w:t>Recommendation 11</w:t>
      </w:r>
      <w:bookmarkEnd w:id="54"/>
      <w:bookmarkEnd w:id="55"/>
    </w:p>
    <w:p w14:paraId="4738C2CB" w14:textId="50E45A22" w:rsidR="00CC703E" w:rsidRDefault="00E62D26" w:rsidP="004D3673">
      <w:pPr>
        <w:pBdr>
          <w:top w:val="single" w:sz="4" w:space="1" w:color="auto"/>
          <w:left w:val="single" w:sz="4" w:space="1" w:color="auto"/>
          <w:bottom w:val="single" w:sz="4" w:space="1" w:color="auto"/>
          <w:right w:val="single" w:sz="4" w:space="1" w:color="auto"/>
        </w:pBdr>
        <w:spacing w:after="0"/>
        <w:rPr>
          <w:szCs w:val="24"/>
        </w:rPr>
      </w:pPr>
      <w:r w:rsidRPr="00E62D26">
        <w:rPr>
          <w:szCs w:val="24"/>
        </w:rPr>
        <w:t>The Australian Government should commit to ensuring adequate long-term funding for biosecurity risk management, including border inspections and enforcement. Funding should be linked to growth in imports and biosecurity risks, with cost-recovered functions exempt from efficiency dividends and staff ceilings.</w:t>
      </w:r>
    </w:p>
    <w:p w14:paraId="6795B086" w14:textId="10A1325C"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Noted</w:t>
      </w:r>
      <w:r w:rsidR="006C364E">
        <w:rPr>
          <w:szCs w:val="24"/>
        </w:rPr>
        <w:t xml:space="preserve">. </w:t>
      </w:r>
      <w:r w:rsidR="006C364E" w:rsidRPr="00815CC4">
        <w:rPr>
          <w:szCs w:val="24"/>
        </w:rPr>
        <w:t>This is a matter for government.</w:t>
      </w:r>
    </w:p>
    <w:p w14:paraId="74A1E928" w14:textId="77777777" w:rsidR="00CC703E" w:rsidRDefault="00E37FDB" w:rsidP="00D170E0">
      <w:pPr>
        <w:pStyle w:val="Heading3"/>
        <w:numPr>
          <w:ilvl w:val="0"/>
          <w:numId w:val="0"/>
        </w:numPr>
        <w:ind w:left="567" w:hanging="567"/>
      </w:pPr>
      <w:bookmarkStart w:id="56" w:name="_Toc499040844"/>
      <w:bookmarkStart w:id="57" w:name="_Toc499040961"/>
      <w:r>
        <w:t>Recommendation 12</w:t>
      </w:r>
      <w:bookmarkEnd w:id="56"/>
      <w:bookmarkEnd w:id="57"/>
    </w:p>
    <w:p w14:paraId="027A93A1" w14:textId="7C152C0E" w:rsidR="00CC703E" w:rsidRDefault="00F970F9">
      <w:pPr>
        <w:pBdr>
          <w:top w:val="single" w:sz="4" w:space="1" w:color="auto"/>
          <w:left w:val="single" w:sz="4" w:space="1" w:color="auto"/>
          <w:bottom w:val="single" w:sz="4" w:space="1" w:color="auto"/>
          <w:right w:val="single" w:sz="4" w:space="1" w:color="auto"/>
        </w:pBdr>
        <w:spacing w:after="0"/>
        <w:rPr>
          <w:szCs w:val="24"/>
        </w:rPr>
      </w:pPr>
      <w:r w:rsidRPr="00F970F9">
        <w:rPr>
          <w:szCs w:val="24"/>
        </w:rPr>
        <w:t xml:space="preserve">The department should consider seeking stronger powers under the </w:t>
      </w:r>
      <w:r w:rsidRPr="00F970F9">
        <w:rPr>
          <w:i/>
          <w:szCs w:val="24"/>
        </w:rPr>
        <w:t>Biosecurity Act 2015</w:t>
      </w:r>
      <w:r w:rsidRPr="00F970F9">
        <w:rPr>
          <w:szCs w:val="24"/>
        </w:rPr>
        <w:t xml:space="preserve"> to apply direct penalties for serious non-compliance and impose administrative sanctions or on-the-spot fines for relatively minor non-compliance.</w:t>
      </w:r>
    </w:p>
    <w:p w14:paraId="337E30C6" w14:textId="76F123AE"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6C364E">
        <w:rPr>
          <w:szCs w:val="24"/>
        </w:rPr>
        <w:t xml:space="preserve">. </w:t>
      </w:r>
      <w:r w:rsidR="006C364E" w:rsidRPr="00B02575">
        <w:t>While the Biosecurity Act already provides powers to apply direct penalties for serious non-compliance and penalties for relatively minor non-compliance in the form of infringement notices, the department will consider whether stronger powers are required.</w:t>
      </w:r>
    </w:p>
    <w:p w14:paraId="07D4C41B" w14:textId="77777777" w:rsidR="00815CC4" w:rsidRDefault="00815CC4">
      <w:pPr>
        <w:tabs>
          <w:tab w:val="clear" w:pos="567"/>
        </w:tabs>
        <w:spacing w:before="0" w:after="0"/>
        <w:rPr>
          <w:rFonts w:eastAsia="Times New Roman"/>
          <w:b/>
          <w:bCs/>
          <w:color w:val="000000"/>
          <w:szCs w:val="28"/>
          <w:lang w:eastAsia="en-AU"/>
        </w:rPr>
      </w:pPr>
      <w:bookmarkStart w:id="58" w:name="_Toc499040845"/>
      <w:bookmarkStart w:id="59" w:name="_Toc499040962"/>
      <w:r>
        <w:br w:type="page"/>
      </w:r>
    </w:p>
    <w:p w14:paraId="0B21F8FF" w14:textId="7F9EBD65" w:rsidR="00CC703E" w:rsidRDefault="00E37FDB" w:rsidP="00815CC4">
      <w:pPr>
        <w:pStyle w:val="Heading3"/>
        <w:numPr>
          <w:ilvl w:val="0"/>
          <w:numId w:val="0"/>
        </w:numPr>
        <w:spacing w:before="0"/>
        <w:ind w:left="567" w:hanging="567"/>
      </w:pPr>
      <w:r>
        <w:lastRenderedPageBreak/>
        <w:t>Recommendation 13</w:t>
      </w:r>
      <w:bookmarkEnd w:id="58"/>
      <w:bookmarkEnd w:id="59"/>
    </w:p>
    <w:p w14:paraId="315A09AE" w14:textId="4F93F1BB"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 xml:space="preserve">The Director of Biosecurity should seek powers under the </w:t>
      </w:r>
      <w:r>
        <w:rPr>
          <w:i/>
          <w:szCs w:val="24"/>
        </w:rPr>
        <w:t>Biosecurity Act 2015</w:t>
      </w:r>
      <w:r>
        <w:rPr>
          <w:szCs w:val="24"/>
        </w:rPr>
        <w:t xml:space="preserve"> to conduct a general recall of goods for biosecurity purposes.</w:t>
      </w:r>
    </w:p>
    <w:p w14:paraId="66323725" w14:textId="394BF2DF"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 in principle</w:t>
      </w:r>
      <w:r w:rsidR="006C364E">
        <w:rPr>
          <w:szCs w:val="24"/>
        </w:rPr>
        <w:t xml:space="preserve">. </w:t>
      </w:r>
      <w:r w:rsidR="006C364E" w:rsidRPr="00B02575">
        <w:t>Proposed changes to the Biosecurity Act have been drafted that will provide powers to enable the improved management of a similar event.</w:t>
      </w:r>
    </w:p>
    <w:p w14:paraId="2F7A659A" w14:textId="77777777" w:rsidR="00CC703E" w:rsidRDefault="00E37FDB" w:rsidP="00D170E0">
      <w:pPr>
        <w:pStyle w:val="Heading3"/>
        <w:numPr>
          <w:ilvl w:val="0"/>
          <w:numId w:val="0"/>
        </w:numPr>
        <w:ind w:left="567" w:hanging="567"/>
      </w:pPr>
      <w:bookmarkStart w:id="60" w:name="_Toc499040846"/>
      <w:bookmarkStart w:id="61" w:name="_Toc499040963"/>
      <w:r>
        <w:t>Recommendation 14</w:t>
      </w:r>
      <w:bookmarkEnd w:id="60"/>
      <w:bookmarkEnd w:id="61"/>
    </w:p>
    <w:p w14:paraId="059892A6" w14:textId="6CE85312"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should continue to improve internal biosecurity risk governance and communication to rapidly identify emerging biosecurity risks. Risks should be communicated to governments, the wider community and industry through a defined and documented triaging and escalation procedure.</w:t>
      </w:r>
    </w:p>
    <w:p w14:paraId="493EABA4" w14:textId="1A765DE0"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 in principle</w:t>
      </w:r>
      <w:r w:rsidR="006C364E">
        <w:rPr>
          <w:szCs w:val="24"/>
        </w:rPr>
        <w:t xml:space="preserve">. </w:t>
      </w:r>
      <w:r w:rsidR="006C364E" w:rsidRPr="00B02575">
        <w:t>The department’s Active Risk Management program is helping to improve internal biosecurity risk governance and communication to rapidly identify emerging biosecurity risks. Risks will be communicated to other governments, the wider community and industry as appropriate to the specific circumstances.</w:t>
      </w:r>
    </w:p>
    <w:p w14:paraId="044B9B68" w14:textId="77777777" w:rsidR="00CC703E" w:rsidRDefault="00E37FDB" w:rsidP="00D170E0">
      <w:pPr>
        <w:pStyle w:val="Heading3"/>
        <w:numPr>
          <w:ilvl w:val="0"/>
          <w:numId w:val="0"/>
        </w:numPr>
        <w:ind w:left="567" w:hanging="567"/>
      </w:pPr>
      <w:bookmarkStart w:id="62" w:name="_Toc499040847"/>
      <w:bookmarkStart w:id="63" w:name="_Toc499040964"/>
      <w:r>
        <w:t>Recommendation 15</w:t>
      </w:r>
      <w:bookmarkEnd w:id="62"/>
      <w:bookmarkEnd w:id="63"/>
    </w:p>
    <w:p w14:paraId="63959CAD" w14:textId="39CE8A6C" w:rsidR="00CC703E" w:rsidRDefault="00E62D26" w:rsidP="00815CC4">
      <w:pPr>
        <w:pBdr>
          <w:top w:val="single" w:sz="4" w:space="1" w:color="auto"/>
          <w:left w:val="single" w:sz="4" w:space="1" w:color="auto"/>
          <w:bottom w:val="single" w:sz="4" w:space="1" w:color="auto"/>
          <w:right w:val="single" w:sz="4" w:space="1" w:color="auto"/>
        </w:pBdr>
        <w:spacing w:after="0"/>
        <w:rPr>
          <w:b/>
          <w:szCs w:val="24"/>
        </w:rPr>
      </w:pPr>
      <w:r w:rsidRPr="00E62D26">
        <w:rPr>
          <w:szCs w:val="24"/>
          <w:lang w:val="en"/>
        </w:rPr>
        <w:t xml:space="preserve">The </w:t>
      </w:r>
      <w:r w:rsidRPr="00815CC4">
        <w:rPr>
          <w:szCs w:val="24"/>
        </w:rPr>
        <w:t>department</w:t>
      </w:r>
      <w:r w:rsidRPr="00E62D26">
        <w:rPr>
          <w:szCs w:val="24"/>
          <w:lang w:val="en"/>
        </w:rPr>
        <w:t xml:space="preserve"> should discuss with the National Biosecurity Committee mandatory reporting of all post-border detections of prescribed exotic disease agents or pests to Australian and state/territory government departments.</w:t>
      </w:r>
    </w:p>
    <w:p w14:paraId="7DA88604" w14:textId="761408C5" w:rsidR="00CC703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Pr>
          <w:szCs w:val="24"/>
        </w:rPr>
        <w:t xml:space="preserve"> </w:t>
      </w:r>
      <w:r w:rsidR="00503FCE">
        <w:rPr>
          <w:szCs w:val="24"/>
        </w:rPr>
        <w:t>Agree</w:t>
      </w:r>
      <w:r w:rsidR="006C364E">
        <w:rPr>
          <w:szCs w:val="24"/>
        </w:rPr>
        <w:t xml:space="preserve">. </w:t>
      </w:r>
      <w:r w:rsidR="006C364E" w:rsidRPr="005A1031">
        <w:t>The Australian government reports post quarantine detections to state and territory governments and will seek the National Biosecurity Committee’s agreement that states and territories share similar information with the Australian government and with each other.</w:t>
      </w:r>
    </w:p>
    <w:p w14:paraId="452A3A3E" w14:textId="77777777" w:rsidR="00CC703E" w:rsidRDefault="00E37FDB" w:rsidP="00D170E0">
      <w:pPr>
        <w:pStyle w:val="Heading3"/>
        <w:numPr>
          <w:ilvl w:val="0"/>
          <w:numId w:val="0"/>
        </w:numPr>
        <w:ind w:left="567" w:hanging="567"/>
      </w:pPr>
      <w:bookmarkStart w:id="64" w:name="_Toc499040848"/>
      <w:bookmarkStart w:id="65" w:name="_Toc499040965"/>
      <w:r>
        <w:t>Recommendation 16</w:t>
      </w:r>
      <w:bookmarkEnd w:id="64"/>
      <w:bookmarkEnd w:id="65"/>
    </w:p>
    <w:p w14:paraId="000940DB" w14:textId="4B465868" w:rsidR="00CC703E" w:rsidRDefault="00FB0F9F" w:rsidP="00815CC4">
      <w:pPr>
        <w:pBdr>
          <w:top w:val="single" w:sz="4" w:space="1" w:color="auto"/>
          <w:left w:val="single" w:sz="4" w:space="1" w:color="auto"/>
          <w:bottom w:val="single" w:sz="4" w:space="1" w:color="auto"/>
          <w:right w:val="single" w:sz="4" w:space="1" w:color="auto"/>
        </w:pBdr>
        <w:spacing w:after="0"/>
        <w:rPr>
          <w:szCs w:val="24"/>
        </w:rPr>
      </w:pPr>
      <w:r w:rsidRPr="00FB0F9F">
        <w:rPr>
          <w:szCs w:val="24"/>
        </w:rPr>
        <w:t>The department should collaborate with state/territory agencies, Animal Health Australia and relevant industry bodies to review and implement more effective communication policies to aid the early dissemination of information about exotic aquatic diseases and pests and their management to stakeholders.</w:t>
      </w:r>
    </w:p>
    <w:p w14:paraId="7E09CD59" w14:textId="5FB85368"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890FCB">
        <w:rPr>
          <w:szCs w:val="24"/>
        </w:rPr>
        <w:t xml:space="preserve">. </w:t>
      </w:r>
      <w:r w:rsidR="00890FCB" w:rsidRPr="005A1031">
        <w:t>Implementation is progressing.</w:t>
      </w:r>
    </w:p>
    <w:p w14:paraId="5917CD96" w14:textId="77777777" w:rsidR="00CC703E" w:rsidRDefault="00E37FDB" w:rsidP="00D170E0">
      <w:pPr>
        <w:pStyle w:val="Heading3"/>
        <w:numPr>
          <w:ilvl w:val="0"/>
          <w:numId w:val="0"/>
        </w:numPr>
        <w:ind w:left="567" w:hanging="567"/>
      </w:pPr>
      <w:bookmarkStart w:id="66" w:name="_Toc499040849"/>
      <w:bookmarkStart w:id="67" w:name="_Toc499040966"/>
      <w:r>
        <w:t>Recommendation 17</w:t>
      </w:r>
      <w:bookmarkEnd w:id="66"/>
      <w:bookmarkEnd w:id="67"/>
    </w:p>
    <w:p w14:paraId="0136DD85" w14:textId="77777777"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should formalise, oversight and monitor stronger prescribed arrangements for laboratories undertaking import testing to ensure their accountability and ongoing implementation of prescribed testing standards.</w:t>
      </w:r>
    </w:p>
    <w:p w14:paraId="30DCEB9E" w14:textId="4262C757"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890FCB">
        <w:rPr>
          <w:szCs w:val="24"/>
        </w:rPr>
        <w:t xml:space="preserve">. </w:t>
      </w:r>
      <w:r w:rsidR="00890FCB" w:rsidRPr="005A1031">
        <w:t>Implementation is progressing.</w:t>
      </w:r>
    </w:p>
    <w:p w14:paraId="69D78964" w14:textId="77777777" w:rsidR="00815CC4" w:rsidRDefault="00815CC4">
      <w:pPr>
        <w:tabs>
          <w:tab w:val="clear" w:pos="567"/>
        </w:tabs>
        <w:spacing w:before="0" w:after="0"/>
        <w:rPr>
          <w:rFonts w:eastAsia="Times New Roman"/>
          <w:b/>
          <w:bCs/>
          <w:color w:val="000000"/>
          <w:szCs w:val="28"/>
          <w:lang w:eastAsia="en-AU"/>
        </w:rPr>
      </w:pPr>
      <w:bookmarkStart w:id="68" w:name="_Toc499040850"/>
      <w:bookmarkStart w:id="69" w:name="_Toc499040967"/>
      <w:r>
        <w:br w:type="page"/>
      </w:r>
    </w:p>
    <w:p w14:paraId="2647DE00" w14:textId="45871258" w:rsidR="00CC703E" w:rsidRDefault="00E37FDB" w:rsidP="00815CC4">
      <w:pPr>
        <w:pStyle w:val="Heading3"/>
        <w:numPr>
          <w:ilvl w:val="0"/>
          <w:numId w:val="0"/>
        </w:numPr>
        <w:spacing w:before="0"/>
        <w:ind w:left="567" w:hanging="567"/>
      </w:pPr>
      <w:r>
        <w:lastRenderedPageBreak/>
        <w:t>Recommendation 18</w:t>
      </w:r>
      <w:bookmarkEnd w:id="68"/>
      <w:bookmarkEnd w:id="69"/>
    </w:p>
    <w:p w14:paraId="2E1C5D90" w14:textId="5CAA65D2" w:rsidR="00CC703E" w:rsidRDefault="00F551CA" w:rsidP="00815CC4">
      <w:pPr>
        <w:pBdr>
          <w:top w:val="single" w:sz="4" w:space="1" w:color="auto"/>
          <w:left w:val="single" w:sz="4" w:space="1" w:color="auto"/>
          <w:bottom w:val="single" w:sz="4" w:space="1" w:color="auto"/>
          <w:right w:val="single" w:sz="4" w:space="1" w:color="auto"/>
        </w:pBdr>
        <w:spacing w:after="0"/>
        <w:rPr>
          <w:b/>
          <w:szCs w:val="24"/>
        </w:rPr>
      </w:pPr>
      <w:r>
        <w:rPr>
          <w:szCs w:val="24"/>
        </w:rPr>
        <w:t xml:space="preserve">The department should, in collaboration with National Association of Testing Authorities, oversight the performance of import testing laboratories in quality assurance programs. This should include regular proficiency testing and </w:t>
      </w:r>
      <w:r>
        <w:t>assessment of control samples distributed among the laboratory network, with means to</w:t>
      </w:r>
      <w:r>
        <w:rPr>
          <w:szCs w:val="24"/>
        </w:rPr>
        <w:t xml:space="preserve"> ensure that laboratories rectify any identified deficiencies in a reasonable period of time.</w:t>
      </w:r>
    </w:p>
    <w:p w14:paraId="113E17F2" w14:textId="1F9050B9"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890FCB">
        <w:rPr>
          <w:szCs w:val="24"/>
        </w:rPr>
        <w:t xml:space="preserve">. </w:t>
      </w:r>
      <w:r w:rsidR="00890FCB" w:rsidRPr="005A1031">
        <w:t>Implementation is well progressed.</w:t>
      </w:r>
    </w:p>
    <w:p w14:paraId="16296AB5" w14:textId="77777777" w:rsidR="00CC703E" w:rsidRDefault="00E37FDB" w:rsidP="00D170E0">
      <w:pPr>
        <w:pStyle w:val="Heading3"/>
        <w:numPr>
          <w:ilvl w:val="0"/>
          <w:numId w:val="0"/>
        </w:numPr>
        <w:ind w:left="567" w:hanging="567"/>
      </w:pPr>
      <w:bookmarkStart w:id="70" w:name="_Toc499040851"/>
      <w:bookmarkStart w:id="71" w:name="_Toc499040968"/>
      <w:r>
        <w:t>Recommendation 19</w:t>
      </w:r>
      <w:bookmarkEnd w:id="70"/>
      <w:bookmarkEnd w:id="71"/>
    </w:p>
    <w:p w14:paraId="4DEF5E08" w14:textId="7F528250" w:rsidR="00CC703E" w:rsidRDefault="0080489E" w:rsidP="00815CC4">
      <w:pPr>
        <w:pBdr>
          <w:top w:val="single" w:sz="4" w:space="1" w:color="auto"/>
          <w:left w:val="single" w:sz="4" w:space="1" w:color="auto"/>
          <w:bottom w:val="single" w:sz="4" w:space="1" w:color="auto"/>
          <w:right w:val="single" w:sz="4" w:space="1" w:color="auto"/>
        </w:pBdr>
        <w:spacing w:after="0"/>
        <w:rPr>
          <w:szCs w:val="24"/>
        </w:rPr>
      </w:pPr>
      <w:r w:rsidRPr="0080489E">
        <w:rPr>
          <w:szCs w:val="24"/>
        </w:rPr>
        <w:t xml:space="preserve">The department should promote an update of the old Australian and New Zealand standard diagnostic procedure for white spot syndrome virus including peer review of the new </w:t>
      </w:r>
      <w:r w:rsidRPr="0080489E">
        <w:rPr>
          <w:i/>
          <w:szCs w:val="24"/>
          <w:lang w:val="en"/>
        </w:rPr>
        <w:t>Procedure for detection of white spot syndrome virus for biosecurity risk management</w:t>
      </w:r>
      <w:r w:rsidRPr="0080489E">
        <w:rPr>
          <w:szCs w:val="24"/>
        </w:rPr>
        <w:t>. This should be conducted by a suitably resourced national technical group formed from the Animal Health Committee’s National Laboratory Task Group and Sub-Committee on Aquatic Animal Health.</w:t>
      </w:r>
    </w:p>
    <w:p w14:paraId="72F74AE8" w14:textId="59EA09AD"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szCs w:val="24"/>
        </w:rPr>
        <w:t>Department’s response:</w:t>
      </w:r>
      <w:r w:rsidR="00503FCE">
        <w:rPr>
          <w:szCs w:val="24"/>
        </w:rPr>
        <w:t xml:space="preserve"> Agree</w:t>
      </w:r>
      <w:r w:rsidR="00890FCB">
        <w:rPr>
          <w:szCs w:val="24"/>
        </w:rPr>
        <w:t xml:space="preserve">. </w:t>
      </w:r>
      <w:r w:rsidR="00890FCB" w:rsidRPr="005A1031">
        <w:t>Implementation is progressing</w:t>
      </w:r>
      <w:r w:rsidR="00890FCB">
        <w:t>.</w:t>
      </w:r>
    </w:p>
    <w:p w14:paraId="1401A151" w14:textId="77777777" w:rsidR="00CC703E" w:rsidRDefault="00E37FDB" w:rsidP="00D170E0">
      <w:pPr>
        <w:pStyle w:val="Heading3"/>
        <w:numPr>
          <w:ilvl w:val="0"/>
          <w:numId w:val="0"/>
        </w:numPr>
        <w:ind w:left="567" w:hanging="567"/>
      </w:pPr>
      <w:bookmarkStart w:id="72" w:name="_Toc499040852"/>
      <w:bookmarkStart w:id="73" w:name="_Toc499040969"/>
      <w:r>
        <w:t>Recommendation 20</w:t>
      </w:r>
      <w:bookmarkEnd w:id="72"/>
      <w:bookmarkEnd w:id="73"/>
    </w:p>
    <w:p w14:paraId="52CC616D" w14:textId="77777777" w:rsidR="00B13F4E" w:rsidRPr="00740F7E" w:rsidRDefault="00B13F4E" w:rsidP="00815CC4">
      <w:pPr>
        <w:pBdr>
          <w:top w:val="single" w:sz="4" w:space="1" w:color="auto"/>
          <w:left w:val="single" w:sz="4" w:space="1" w:color="auto"/>
          <w:bottom w:val="single" w:sz="4" w:space="1" w:color="auto"/>
          <w:right w:val="single" w:sz="4" w:space="1" w:color="auto"/>
        </w:pBdr>
        <w:spacing w:after="0"/>
        <w:rPr>
          <w:lang w:bidi="hi-IN"/>
        </w:rPr>
      </w:pPr>
      <w:r w:rsidRPr="00740F7E">
        <w:rPr>
          <w:lang w:bidi="hi-IN"/>
        </w:rPr>
        <w:t xml:space="preserve">The </w:t>
      </w:r>
      <w:r w:rsidRPr="00815CC4">
        <w:rPr>
          <w:szCs w:val="24"/>
        </w:rPr>
        <w:t>department</w:t>
      </w:r>
      <w:r w:rsidRPr="00740F7E">
        <w:rPr>
          <w:lang w:bidi="hi-IN"/>
        </w:rPr>
        <w:t xml:space="preserve"> should maintain strong links with aquatic health and production experts in Australian and state/territory government agencies, universities and industry</w:t>
      </w:r>
      <w:r>
        <w:rPr>
          <w:lang w:bidi="hi-IN"/>
        </w:rPr>
        <w:t>, to</w:t>
      </w:r>
      <w:r w:rsidRPr="00740F7E">
        <w:rPr>
          <w:lang w:bidi="hi-IN"/>
        </w:rPr>
        <w:t xml:space="preserve"> </w:t>
      </w:r>
      <w:r>
        <w:rPr>
          <w:lang w:bidi="hi-IN"/>
        </w:rPr>
        <w:t xml:space="preserve">support </w:t>
      </w:r>
      <w:r w:rsidRPr="00740F7E">
        <w:rPr>
          <w:lang w:bidi="hi-IN"/>
        </w:rPr>
        <w:t>decision-making based on:</w:t>
      </w:r>
    </w:p>
    <w:p w14:paraId="05C270F0" w14:textId="77777777" w:rsidR="00B13F4E" w:rsidRPr="00740F7E" w:rsidRDefault="00B13F4E" w:rsidP="00815CC4">
      <w:pPr>
        <w:pStyle w:val="ListBullet"/>
        <w:pBdr>
          <w:top w:val="single" w:sz="4" w:space="1" w:color="auto"/>
          <w:left w:val="single" w:sz="4" w:space="1" w:color="auto"/>
          <w:bottom w:val="single" w:sz="4" w:space="1" w:color="auto"/>
          <w:right w:val="single" w:sz="4" w:space="1" w:color="auto"/>
        </w:pBdr>
        <w:spacing w:after="0"/>
        <w:rPr>
          <w:lang w:bidi="hi-IN"/>
        </w:rPr>
      </w:pPr>
      <w:r w:rsidRPr="00740F7E">
        <w:rPr>
          <w:lang w:bidi="hi-IN"/>
        </w:rPr>
        <w:t>the latest scientific knowledge of new technologies, and</w:t>
      </w:r>
    </w:p>
    <w:p w14:paraId="057591D1" w14:textId="0F734E9A" w:rsidR="00CC703E" w:rsidRDefault="00B13F4E" w:rsidP="00815CC4">
      <w:pPr>
        <w:pStyle w:val="ListBullet"/>
        <w:pBdr>
          <w:top w:val="single" w:sz="4" w:space="1" w:color="auto"/>
          <w:left w:val="single" w:sz="4" w:space="1" w:color="auto"/>
          <w:bottom w:val="single" w:sz="4" w:space="1" w:color="auto"/>
          <w:right w:val="single" w:sz="4" w:space="1" w:color="auto"/>
        </w:pBdr>
        <w:spacing w:after="0"/>
      </w:pPr>
      <w:proofErr w:type="gramStart"/>
      <w:r w:rsidRPr="00740F7E">
        <w:rPr>
          <w:lang w:bidi="hi-IN"/>
        </w:rPr>
        <w:t>international</w:t>
      </w:r>
      <w:proofErr w:type="gramEnd"/>
      <w:r w:rsidRPr="00740F7E">
        <w:rPr>
          <w:lang w:bidi="hi-IN"/>
        </w:rPr>
        <w:t xml:space="preserve"> emergence, movements and risks to Australia of serious aquatic animal diseases.</w:t>
      </w:r>
    </w:p>
    <w:p w14:paraId="51BE8234" w14:textId="4D6B7C07" w:rsidR="00CC703E" w:rsidRPr="00503FCE" w:rsidRDefault="00E37FDB" w:rsidP="00815CC4">
      <w:pPr>
        <w:pBdr>
          <w:top w:val="single" w:sz="4" w:space="1" w:color="auto"/>
          <w:left w:val="single" w:sz="4" w:space="1" w:color="auto"/>
          <w:bottom w:val="single" w:sz="4" w:space="1" w:color="auto"/>
          <w:right w:val="single" w:sz="4" w:space="1" w:color="auto"/>
        </w:pBdr>
        <w:spacing w:after="0"/>
        <w:rPr>
          <w:lang w:bidi="hi-IN"/>
        </w:rPr>
      </w:pPr>
      <w:r>
        <w:rPr>
          <w:b/>
          <w:szCs w:val="24"/>
        </w:rPr>
        <w:t>Department’s</w:t>
      </w:r>
      <w:r>
        <w:rPr>
          <w:b/>
          <w:lang w:bidi="hi-IN"/>
        </w:rPr>
        <w:t xml:space="preserve"> response:</w:t>
      </w:r>
      <w:r w:rsidR="00503FCE">
        <w:rPr>
          <w:lang w:bidi="hi-IN"/>
        </w:rPr>
        <w:t xml:space="preserve"> Agree</w:t>
      </w:r>
      <w:r w:rsidR="00890FCB">
        <w:rPr>
          <w:lang w:bidi="hi-IN"/>
        </w:rPr>
        <w:t xml:space="preserve">. </w:t>
      </w:r>
      <w:r w:rsidR="00890FCB" w:rsidRPr="005A1031">
        <w:t>There will be extensive consultation and engagement with aquatic health and production experts in Australian and state/territory government agencies, universities and industry to support the prawn risk review.</w:t>
      </w:r>
    </w:p>
    <w:p w14:paraId="1495EE05" w14:textId="77777777" w:rsidR="00CC703E" w:rsidRDefault="00E37FDB" w:rsidP="00D170E0">
      <w:pPr>
        <w:pStyle w:val="Heading3"/>
        <w:numPr>
          <w:ilvl w:val="0"/>
          <w:numId w:val="0"/>
        </w:numPr>
        <w:ind w:left="567" w:hanging="567"/>
      </w:pPr>
      <w:bookmarkStart w:id="74" w:name="_Toc499040853"/>
      <w:bookmarkStart w:id="75" w:name="_Toc499040970"/>
      <w:r>
        <w:t>Recommendation 21</w:t>
      </w:r>
      <w:bookmarkEnd w:id="74"/>
      <w:bookmarkEnd w:id="75"/>
    </w:p>
    <w:p w14:paraId="56D8E339" w14:textId="0DAB763F" w:rsidR="00CC703E" w:rsidRDefault="006B2626" w:rsidP="00815CC4">
      <w:pPr>
        <w:pBdr>
          <w:top w:val="single" w:sz="4" w:space="1" w:color="auto"/>
          <w:left w:val="single" w:sz="4" w:space="1" w:color="auto"/>
          <w:bottom w:val="single" w:sz="4" w:space="1" w:color="auto"/>
          <w:right w:val="single" w:sz="4" w:space="1" w:color="auto"/>
        </w:pBdr>
        <w:spacing w:after="0"/>
        <w:rPr>
          <w:szCs w:val="24"/>
        </w:rPr>
      </w:pPr>
      <w:r w:rsidRPr="006B2626">
        <w:rPr>
          <w:szCs w:val="24"/>
        </w:rPr>
        <w:t>The department should continue to work with Animal Health Australia, state/territory agencies and aquatic industries to develop an aquatic emergency animal disease response agreement (deed) as soon as possible.</w:t>
      </w:r>
    </w:p>
    <w:p w14:paraId="5991DE64" w14:textId="74B25D8C"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lang w:bidi="hi-IN"/>
        </w:rPr>
        <w:t>Department’s</w:t>
      </w:r>
      <w:r>
        <w:rPr>
          <w:b/>
          <w:szCs w:val="24"/>
        </w:rPr>
        <w:t xml:space="preserve"> response:</w:t>
      </w:r>
      <w:r w:rsidR="00503FCE">
        <w:rPr>
          <w:szCs w:val="24"/>
        </w:rPr>
        <w:t xml:space="preserve"> Agree</w:t>
      </w:r>
      <w:r w:rsidR="00890FCB">
        <w:rPr>
          <w:szCs w:val="24"/>
        </w:rPr>
        <w:t xml:space="preserve">. </w:t>
      </w:r>
      <w:r w:rsidR="00890FCB" w:rsidRPr="005A1031">
        <w:t>Development of the aquatic deed is well progressed</w:t>
      </w:r>
      <w:r w:rsidR="00890FCB">
        <w:t>.</w:t>
      </w:r>
    </w:p>
    <w:p w14:paraId="0A6CEE9A" w14:textId="77777777" w:rsidR="00815CC4" w:rsidRDefault="00815CC4">
      <w:pPr>
        <w:tabs>
          <w:tab w:val="clear" w:pos="567"/>
        </w:tabs>
        <w:spacing w:before="0" w:after="0"/>
        <w:rPr>
          <w:rFonts w:eastAsia="Times New Roman"/>
          <w:b/>
          <w:bCs/>
          <w:color w:val="000000"/>
          <w:szCs w:val="28"/>
          <w:lang w:eastAsia="en-AU"/>
        </w:rPr>
      </w:pPr>
      <w:bookmarkStart w:id="76" w:name="_Toc499040854"/>
      <w:bookmarkStart w:id="77" w:name="_Toc499040971"/>
      <w:r>
        <w:br w:type="page"/>
      </w:r>
    </w:p>
    <w:p w14:paraId="4C0D969E" w14:textId="0CBEAFDA" w:rsidR="00CC703E" w:rsidRDefault="00E37FDB" w:rsidP="00D170E0">
      <w:pPr>
        <w:pStyle w:val="Heading3"/>
        <w:numPr>
          <w:ilvl w:val="0"/>
          <w:numId w:val="0"/>
        </w:numPr>
        <w:ind w:left="567" w:hanging="567"/>
      </w:pPr>
      <w:r>
        <w:lastRenderedPageBreak/>
        <w:t>Recommendation 22</w:t>
      </w:r>
      <w:bookmarkEnd w:id="76"/>
      <w:bookmarkEnd w:id="77"/>
    </w:p>
    <w:p w14:paraId="405801A4" w14:textId="77777777" w:rsidR="00CC703E" w:rsidRDefault="00E37FDB" w:rsidP="00815CC4">
      <w:pPr>
        <w:pBdr>
          <w:top w:val="single" w:sz="4" w:space="1" w:color="auto"/>
          <w:left w:val="single" w:sz="4" w:space="1" w:color="auto"/>
          <w:bottom w:val="single" w:sz="4" w:space="1" w:color="auto"/>
          <w:right w:val="single" w:sz="4" w:space="1" w:color="auto"/>
        </w:pBdr>
        <w:spacing w:after="0"/>
        <w:rPr>
          <w:szCs w:val="24"/>
        </w:rPr>
      </w:pPr>
      <w:r>
        <w:rPr>
          <w:szCs w:val="24"/>
        </w:rPr>
        <w:t>The department and state/territory governments and industry should agree on (and cost share, as relevant) measures for monitoring and minimising risks of any imported uncooked prawn product entering waterways. Measures could include:</w:t>
      </w:r>
    </w:p>
    <w:p w14:paraId="0B43CD0B" w14:textId="77777777" w:rsidR="00CC703E" w:rsidRDefault="00E37FDB" w:rsidP="004901C8">
      <w:pPr>
        <w:numPr>
          <w:ilvl w:val="0"/>
          <w:numId w:val="24"/>
        </w:numPr>
        <w:pBdr>
          <w:top w:val="single" w:sz="4" w:space="1" w:color="auto"/>
          <w:left w:val="single" w:sz="4" w:space="1" w:color="auto"/>
          <w:bottom w:val="single" w:sz="4" w:space="1" w:color="auto"/>
          <w:right w:val="single" w:sz="4" w:space="1" w:color="auto"/>
        </w:pBdr>
        <w:tabs>
          <w:tab w:val="clear" w:pos="567"/>
        </w:tabs>
        <w:spacing w:before="60" w:after="0"/>
        <w:rPr>
          <w:szCs w:val="24"/>
        </w:rPr>
      </w:pPr>
      <w:r>
        <w:rPr>
          <w:szCs w:val="24"/>
        </w:rPr>
        <w:t>periodic surveillance of retail prawns for target diseases</w:t>
      </w:r>
    </w:p>
    <w:p w14:paraId="431DD804" w14:textId="77777777" w:rsidR="00CC703E" w:rsidRDefault="00E37FDB" w:rsidP="004901C8">
      <w:pPr>
        <w:numPr>
          <w:ilvl w:val="0"/>
          <w:numId w:val="24"/>
        </w:numPr>
        <w:pBdr>
          <w:top w:val="single" w:sz="4" w:space="1" w:color="auto"/>
          <w:left w:val="single" w:sz="4" w:space="1" w:color="auto"/>
          <w:bottom w:val="single" w:sz="4" w:space="1" w:color="auto"/>
          <w:right w:val="single" w:sz="4" w:space="1" w:color="auto"/>
        </w:pBdr>
        <w:tabs>
          <w:tab w:val="clear" w:pos="567"/>
        </w:tabs>
        <w:spacing w:before="60" w:after="0"/>
        <w:rPr>
          <w:szCs w:val="24"/>
        </w:rPr>
      </w:pPr>
      <w:r>
        <w:rPr>
          <w:szCs w:val="24"/>
        </w:rPr>
        <w:t>periodic assessment of fishing practices</w:t>
      </w:r>
    </w:p>
    <w:p w14:paraId="6AF4F40E" w14:textId="77777777" w:rsidR="00CC703E" w:rsidRDefault="00E37FDB" w:rsidP="004901C8">
      <w:pPr>
        <w:numPr>
          <w:ilvl w:val="0"/>
          <w:numId w:val="24"/>
        </w:numPr>
        <w:pBdr>
          <w:top w:val="single" w:sz="4" w:space="1" w:color="auto"/>
          <w:left w:val="single" w:sz="4" w:space="1" w:color="auto"/>
          <w:bottom w:val="single" w:sz="4" w:space="1" w:color="auto"/>
          <w:right w:val="single" w:sz="4" w:space="1" w:color="auto"/>
        </w:pBdr>
        <w:tabs>
          <w:tab w:val="clear" w:pos="567"/>
        </w:tabs>
        <w:spacing w:before="60" w:after="0"/>
        <w:rPr>
          <w:szCs w:val="24"/>
        </w:rPr>
      </w:pPr>
      <w:r>
        <w:rPr>
          <w:szCs w:val="24"/>
        </w:rPr>
        <w:t>targeted public awareness programs discouraging use of imported prawns as bait</w:t>
      </w:r>
    </w:p>
    <w:p w14:paraId="5243BEC9" w14:textId="2AB3C945" w:rsidR="00CC703E" w:rsidRDefault="00E37FDB" w:rsidP="004901C8">
      <w:pPr>
        <w:numPr>
          <w:ilvl w:val="0"/>
          <w:numId w:val="24"/>
        </w:numPr>
        <w:pBdr>
          <w:top w:val="single" w:sz="4" w:space="1" w:color="auto"/>
          <w:left w:val="single" w:sz="4" w:space="1" w:color="auto"/>
          <w:bottom w:val="single" w:sz="4" w:space="1" w:color="auto"/>
          <w:right w:val="single" w:sz="4" w:space="1" w:color="auto"/>
        </w:pBdr>
        <w:tabs>
          <w:tab w:val="clear" w:pos="567"/>
        </w:tabs>
        <w:spacing w:before="60" w:after="0"/>
        <w:rPr>
          <w:szCs w:val="24"/>
        </w:rPr>
      </w:pPr>
      <w:r>
        <w:rPr>
          <w:szCs w:val="24"/>
        </w:rPr>
        <w:t xml:space="preserve">prevention of recreational fishing </w:t>
      </w:r>
      <w:r w:rsidR="00CD5545">
        <w:rPr>
          <w:szCs w:val="24"/>
        </w:rPr>
        <w:t xml:space="preserve">and surveillance of wild crustaceans </w:t>
      </w:r>
      <w:r>
        <w:rPr>
          <w:szCs w:val="24"/>
        </w:rPr>
        <w:t>close to prawn farms</w:t>
      </w:r>
      <w:r w:rsidR="00F551CA">
        <w:rPr>
          <w:szCs w:val="24"/>
        </w:rPr>
        <w:t>,</w:t>
      </w:r>
      <w:r>
        <w:rPr>
          <w:szCs w:val="24"/>
        </w:rPr>
        <w:t xml:space="preserve"> and</w:t>
      </w:r>
    </w:p>
    <w:p w14:paraId="0BFB0F0C" w14:textId="7DD48127" w:rsidR="00CC703E" w:rsidRDefault="00E37FDB" w:rsidP="004901C8">
      <w:pPr>
        <w:numPr>
          <w:ilvl w:val="0"/>
          <w:numId w:val="24"/>
        </w:numPr>
        <w:pBdr>
          <w:top w:val="single" w:sz="4" w:space="1" w:color="auto"/>
          <w:left w:val="single" w:sz="4" w:space="1" w:color="auto"/>
          <w:bottom w:val="single" w:sz="4" w:space="1" w:color="auto"/>
          <w:right w:val="single" w:sz="4" w:space="1" w:color="auto"/>
        </w:pBdr>
        <w:tabs>
          <w:tab w:val="clear" w:pos="567"/>
        </w:tabs>
        <w:spacing w:before="60" w:after="0"/>
        <w:rPr>
          <w:szCs w:val="24"/>
        </w:rPr>
      </w:pPr>
      <w:proofErr w:type="gramStart"/>
      <w:r>
        <w:rPr>
          <w:szCs w:val="24"/>
        </w:rPr>
        <w:t>surveillance</w:t>
      </w:r>
      <w:proofErr w:type="gramEnd"/>
      <w:r>
        <w:rPr>
          <w:szCs w:val="24"/>
        </w:rPr>
        <w:t xml:space="preserve"> of bait shops to ensure they are not selling prawns</w:t>
      </w:r>
      <w:r w:rsidR="00F551CA" w:rsidRPr="00F551CA">
        <w:rPr>
          <w:szCs w:val="24"/>
        </w:rPr>
        <w:t xml:space="preserve"> </w:t>
      </w:r>
      <w:r w:rsidR="00F551CA">
        <w:rPr>
          <w:szCs w:val="24"/>
        </w:rPr>
        <w:t>imported for human consumption</w:t>
      </w:r>
      <w:r>
        <w:rPr>
          <w:szCs w:val="24"/>
        </w:rPr>
        <w:t>.</w:t>
      </w:r>
    </w:p>
    <w:p w14:paraId="397CF3A9" w14:textId="72ABAA51" w:rsidR="00CC703E" w:rsidRPr="00503FCE" w:rsidRDefault="00E37FDB">
      <w:pPr>
        <w:pBdr>
          <w:top w:val="single" w:sz="4" w:space="1" w:color="auto"/>
          <w:left w:val="single" w:sz="4" w:space="1" w:color="auto"/>
          <w:bottom w:val="single" w:sz="4" w:space="1" w:color="auto"/>
          <w:right w:val="single" w:sz="4" w:space="1" w:color="auto"/>
        </w:pBdr>
        <w:spacing w:after="0"/>
        <w:rPr>
          <w:szCs w:val="24"/>
        </w:rPr>
      </w:pPr>
      <w:r>
        <w:rPr>
          <w:b/>
          <w:lang w:bidi="hi-IN"/>
        </w:rPr>
        <w:t>Department’s</w:t>
      </w:r>
      <w:r>
        <w:rPr>
          <w:b/>
          <w:szCs w:val="24"/>
        </w:rPr>
        <w:t xml:space="preserve"> response:</w:t>
      </w:r>
      <w:r w:rsidR="00503FCE">
        <w:rPr>
          <w:szCs w:val="24"/>
        </w:rPr>
        <w:t xml:space="preserve"> Agree in principle</w:t>
      </w:r>
      <w:r w:rsidR="00890FCB">
        <w:rPr>
          <w:szCs w:val="24"/>
        </w:rPr>
        <w:t xml:space="preserve"> </w:t>
      </w:r>
      <w:r w:rsidR="00890FCB" w:rsidRPr="005A1031">
        <w:t>– These issues will be considered as part of a systems based approach. Regulation of domestic fishing practices is a matter for state and territory governments</w:t>
      </w:r>
      <w:r w:rsidR="00890FCB">
        <w:t>.</w:t>
      </w:r>
    </w:p>
    <w:p w14:paraId="2FE711FE" w14:textId="2FB3F1F7" w:rsidR="00815CC4" w:rsidRDefault="00815CC4" w:rsidP="00815CC4">
      <w:pPr>
        <w:spacing w:before="600" w:after="0"/>
        <w:rPr>
          <w:szCs w:val="24"/>
        </w:rPr>
      </w:pPr>
      <w:r>
        <w:rPr>
          <w:noProof/>
          <w:lang w:eastAsia="en-AU"/>
        </w:rPr>
        <w:drawing>
          <wp:inline distT="0" distB="0" distL="0" distR="0" wp14:anchorId="25565DD5" wp14:editId="7D5A8AB1">
            <wp:extent cx="2000250" cy="358775"/>
            <wp:effectExtent l="0" t="0" r="0" b="3175"/>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0" cy="358775"/>
                    </a:xfrm>
                    <a:prstGeom prst="rect">
                      <a:avLst/>
                    </a:prstGeom>
                    <a:noFill/>
                    <a:ln>
                      <a:noFill/>
                    </a:ln>
                  </pic:spPr>
                </pic:pic>
              </a:graphicData>
            </a:graphic>
          </wp:inline>
        </w:drawing>
      </w:r>
    </w:p>
    <w:p w14:paraId="099C6BFF" w14:textId="77777777" w:rsidR="00CC703E" w:rsidRDefault="00E37FDB" w:rsidP="00815CC4">
      <w:pPr>
        <w:spacing w:after="0"/>
        <w:rPr>
          <w:szCs w:val="24"/>
        </w:rPr>
      </w:pPr>
      <w:r>
        <w:rPr>
          <w:szCs w:val="24"/>
        </w:rPr>
        <w:t>Dr Helen Scott-Orr</w:t>
      </w:r>
    </w:p>
    <w:p w14:paraId="50E7C1B2" w14:textId="77777777" w:rsidR="00CC703E" w:rsidRDefault="00E37FDB">
      <w:pPr>
        <w:spacing w:after="0"/>
        <w:rPr>
          <w:szCs w:val="24"/>
        </w:rPr>
      </w:pPr>
      <w:r>
        <w:rPr>
          <w:szCs w:val="24"/>
        </w:rPr>
        <w:t>Inspector-General of Biosecurity</w:t>
      </w:r>
    </w:p>
    <w:p w14:paraId="65FE9C02" w14:textId="6112691E" w:rsidR="00CC703E" w:rsidRDefault="00AE4913">
      <w:pPr>
        <w:spacing w:before="0" w:after="480"/>
        <w:rPr>
          <w:szCs w:val="24"/>
        </w:rPr>
      </w:pPr>
      <w:r>
        <w:rPr>
          <w:szCs w:val="24"/>
        </w:rPr>
        <w:t>12</w:t>
      </w:r>
      <w:r w:rsidRPr="00380E81">
        <w:rPr>
          <w:szCs w:val="24"/>
        </w:rPr>
        <w:t xml:space="preserve"> </w:t>
      </w:r>
      <w:r w:rsidR="009D0725" w:rsidRPr="00380E81">
        <w:rPr>
          <w:szCs w:val="24"/>
        </w:rPr>
        <w:t>December</w:t>
      </w:r>
      <w:r w:rsidR="00E37FDB">
        <w:rPr>
          <w:szCs w:val="24"/>
        </w:rPr>
        <w:t xml:space="preserve"> 2017</w:t>
      </w:r>
    </w:p>
    <w:p w14:paraId="73B3EA77" w14:textId="77777777" w:rsidR="00CC703E" w:rsidRDefault="00E37FDB">
      <w:pPr>
        <w:spacing w:before="0"/>
        <w:rPr>
          <w:b/>
          <w:bCs/>
          <w:szCs w:val="24"/>
        </w:rPr>
      </w:pPr>
      <w:r>
        <w:rPr>
          <w:b/>
          <w:bCs/>
          <w:szCs w:val="24"/>
        </w:rPr>
        <w:t>Acknowledgements</w:t>
      </w:r>
    </w:p>
    <w:p w14:paraId="79539406" w14:textId="0EAF6B56" w:rsidR="006B7888" w:rsidRDefault="00E37FDB">
      <w:pPr>
        <w:spacing w:after="0"/>
        <w:rPr>
          <w:szCs w:val="24"/>
        </w:rPr>
      </w:pPr>
      <w:r>
        <w:rPr>
          <w:szCs w:val="24"/>
        </w:rPr>
        <w:t xml:space="preserve">In undertaking this review, the IGB received cooperation and advice from industry organisations, prawn importers and </w:t>
      </w:r>
      <w:r w:rsidR="008F281F">
        <w:rPr>
          <w:szCs w:val="24"/>
        </w:rPr>
        <w:t xml:space="preserve">related </w:t>
      </w:r>
      <w:r>
        <w:rPr>
          <w:szCs w:val="24"/>
        </w:rPr>
        <w:t>companies and individuals</w:t>
      </w:r>
      <w:r w:rsidR="008F281F">
        <w:rPr>
          <w:szCs w:val="24"/>
        </w:rPr>
        <w:t>,</w:t>
      </w:r>
      <w:r>
        <w:rPr>
          <w:szCs w:val="24"/>
        </w:rPr>
        <w:t xml:space="preserve"> </w:t>
      </w:r>
      <w:r w:rsidR="0085771A">
        <w:rPr>
          <w:szCs w:val="24"/>
        </w:rPr>
        <w:t xml:space="preserve">university and laboratory specialists, </w:t>
      </w:r>
      <w:r>
        <w:rPr>
          <w:szCs w:val="24"/>
        </w:rPr>
        <w:t xml:space="preserve">and </w:t>
      </w:r>
      <w:r w:rsidR="00E60019">
        <w:rPr>
          <w:szCs w:val="24"/>
        </w:rPr>
        <w:t xml:space="preserve">many </w:t>
      </w:r>
      <w:r w:rsidR="008F281F">
        <w:rPr>
          <w:szCs w:val="24"/>
        </w:rPr>
        <w:t xml:space="preserve">government </w:t>
      </w:r>
      <w:r>
        <w:rPr>
          <w:szCs w:val="24"/>
        </w:rPr>
        <w:t>officials</w:t>
      </w:r>
      <w:r w:rsidR="00E60019">
        <w:rPr>
          <w:szCs w:val="24"/>
        </w:rPr>
        <w:t>,</w:t>
      </w:r>
      <w:r>
        <w:rPr>
          <w:szCs w:val="24"/>
        </w:rPr>
        <w:t xml:space="preserve"> </w:t>
      </w:r>
      <w:r w:rsidR="008F281F">
        <w:rPr>
          <w:szCs w:val="24"/>
        </w:rPr>
        <w:t>especially from</w:t>
      </w:r>
      <w:r>
        <w:rPr>
          <w:szCs w:val="24"/>
        </w:rPr>
        <w:t xml:space="preserve"> the Australian Government Department of Agriculture and Water Resources and the Queensland Department of Agriculture and Forestry. Their assistance is gratefully acknowledged.</w:t>
      </w:r>
      <w:r w:rsidR="00CD5545">
        <w:rPr>
          <w:szCs w:val="24"/>
        </w:rPr>
        <w:t xml:space="preserve"> </w:t>
      </w:r>
      <w:r w:rsidR="005865C6">
        <w:rPr>
          <w:szCs w:val="24"/>
        </w:rPr>
        <w:t>W</w:t>
      </w:r>
      <w:r w:rsidR="00CD5545">
        <w:rPr>
          <w:szCs w:val="24"/>
        </w:rPr>
        <w:t>ritten submissions to the IGB are available on the IGB website.</w:t>
      </w:r>
      <w:bookmarkEnd w:id="2"/>
      <w:bookmarkEnd w:id="3"/>
      <w:bookmarkEnd w:id="4"/>
      <w:bookmarkEnd w:id="5"/>
      <w:bookmarkEnd w:id="6"/>
      <w:bookmarkEnd w:id="7"/>
      <w:bookmarkEnd w:id="8"/>
      <w:bookmarkEnd w:id="9"/>
      <w:bookmarkEnd w:id="10"/>
    </w:p>
    <w:sectPr w:rsidR="006B7888" w:rsidSect="007C529C">
      <w:headerReference w:type="default" r:id="rId21"/>
      <w:footerReference w:type="default" r:id="rId22"/>
      <w:endnotePr>
        <w:numFmt w:val="decimal"/>
      </w:endnotePr>
      <w:pgSz w:w="11906" w:h="16838" w:code="9"/>
      <w:pgMar w:top="1724" w:right="1247" w:bottom="1134" w:left="1247" w:header="567"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99CFF" w14:textId="77777777" w:rsidR="00FD08D8" w:rsidRDefault="00FD08D8">
      <w:pPr>
        <w:spacing w:after="0"/>
      </w:pPr>
      <w:r>
        <w:separator/>
      </w:r>
    </w:p>
    <w:p w14:paraId="46D8E948" w14:textId="77777777" w:rsidR="00FD08D8" w:rsidRDefault="00FD08D8"/>
    <w:p w14:paraId="0A7A58BC" w14:textId="77777777" w:rsidR="00FD08D8" w:rsidRDefault="00FD08D8"/>
  </w:endnote>
  <w:endnote w:type="continuationSeparator" w:id="0">
    <w:p w14:paraId="3EBFFD21" w14:textId="77777777" w:rsidR="00FD08D8" w:rsidRDefault="00FD08D8">
      <w:pPr>
        <w:spacing w:after="0"/>
      </w:pPr>
      <w:r>
        <w:continuationSeparator/>
      </w:r>
    </w:p>
    <w:p w14:paraId="665EAB29" w14:textId="77777777" w:rsidR="00FD08D8" w:rsidRDefault="00FD08D8"/>
    <w:p w14:paraId="58D92B5F" w14:textId="77777777" w:rsidR="00FD08D8" w:rsidRDefault="00FD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142423"/>
      <w:docPartObj>
        <w:docPartGallery w:val="Page Numbers (Bottom of Page)"/>
        <w:docPartUnique/>
      </w:docPartObj>
    </w:sdtPr>
    <w:sdtEndPr>
      <w:rPr>
        <w:noProof/>
      </w:rPr>
    </w:sdtEndPr>
    <w:sdtContent>
      <w:p w14:paraId="70655656" w14:textId="77777777" w:rsidR="00FD08D8" w:rsidRDefault="00FD08D8">
        <w:pPr>
          <w:pStyle w:val="Footer"/>
        </w:pPr>
        <w:r>
          <w:fldChar w:fldCharType="begin"/>
        </w:r>
        <w:r>
          <w:instrText xml:space="preserve"> PAGE   \* MERGEFORMAT </w:instrText>
        </w:r>
        <w:r>
          <w:fldChar w:fldCharType="separate"/>
        </w:r>
        <w:r w:rsidR="00DF7A74">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756BB" w14:textId="77777777" w:rsidR="00FD08D8" w:rsidRDefault="00FD08D8">
    <w:pPr>
      <w:pStyle w:val="Footer"/>
      <w:pBdr>
        <w:top w:val="none" w:sz="0" w:space="0" w:color="auto"/>
      </w:pBd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84354"/>
      <w:docPartObj>
        <w:docPartGallery w:val="Page Numbers (Bottom of Page)"/>
        <w:docPartUnique/>
      </w:docPartObj>
    </w:sdtPr>
    <w:sdtEndPr>
      <w:rPr>
        <w:noProof/>
      </w:rPr>
    </w:sdtEndPr>
    <w:sdtContent>
      <w:p w14:paraId="12338C80" w14:textId="77777777" w:rsidR="00FD08D8" w:rsidRDefault="00FD08D8" w:rsidP="00E37FDB">
        <w:pPr>
          <w:pStyle w:val="Footer"/>
          <w:rPr>
            <w:rFonts w:cs="Times New Roman"/>
            <w:noProof/>
            <w:sz w:val="24"/>
            <w:lang w:val="en-AU" w:eastAsia="en-US" w:bidi="ar-SA"/>
          </w:rPr>
        </w:pPr>
        <w:r>
          <w:fldChar w:fldCharType="begin"/>
        </w:r>
        <w:r>
          <w:instrText xml:space="preserve"> PAGE   \* MERGEFORMAT </w:instrText>
        </w:r>
        <w:r>
          <w:fldChar w:fldCharType="separate"/>
        </w:r>
        <w:r w:rsidR="00DF7A74">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BB3E4" w14:textId="77777777" w:rsidR="00FD08D8" w:rsidRDefault="00FD08D8">
      <w:pPr>
        <w:spacing w:after="0"/>
      </w:pPr>
      <w:r>
        <w:separator/>
      </w:r>
    </w:p>
  </w:footnote>
  <w:footnote w:type="continuationSeparator" w:id="0">
    <w:p w14:paraId="0A6A9B37" w14:textId="77777777" w:rsidR="00FD08D8" w:rsidRDefault="00FD08D8">
      <w:pPr>
        <w:spacing w:after="0"/>
      </w:pPr>
      <w:r>
        <w:continuationSeparator/>
      </w:r>
    </w:p>
    <w:p w14:paraId="36D14900" w14:textId="77777777" w:rsidR="00FD08D8" w:rsidRDefault="00FD08D8"/>
    <w:p w14:paraId="15EA4B6F" w14:textId="77777777" w:rsidR="00FD08D8" w:rsidRDefault="00FD08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3F996" w14:textId="7A9DC6AA" w:rsidR="00FD08D8" w:rsidRDefault="004C39F3" w:rsidP="006B7888">
    <w:pPr>
      <w:pStyle w:val="Header"/>
      <w:pBdr>
        <w:bottom w:val="single" w:sz="4" w:space="6" w:color="auto"/>
      </w:pBdr>
      <w:tabs>
        <w:tab w:val="clear" w:pos="567"/>
        <w:tab w:val="right" w:pos="4820"/>
        <w:tab w:val="left" w:pos="8931"/>
      </w:tabs>
      <w:spacing w:after="240"/>
      <w:jc w:val="left"/>
      <w:rPr>
        <w:sz w:val="22"/>
        <w:szCs w:val="22"/>
        <w:lang w:val="en-AU"/>
      </w:rPr>
    </w:pPr>
    <w:r>
      <w:rPr>
        <w:sz w:val="22"/>
        <w:szCs w:val="22"/>
        <w:lang w:val="en-AU"/>
      </w:rPr>
      <w:t>Summary—</w:t>
    </w:r>
    <w:r w:rsidR="00FD08D8">
      <w:rPr>
        <w:sz w:val="22"/>
        <w:szCs w:val="22"/>
        <w:lang w:val="en-AU"/>
      </w:rPr>
      <w:t>Uncooked prawn imports: effectiveness o</w:t>
    </w:r>
    <w:r w:rsidR="006B7888">
      <w:rPr>
        <w:sz w:val="22"/>
        <w:szCs w:val="22"/>
        <w:lang w:val="en-AU"/>
      </w:rPr>
      <w:t>f biosecurity controls</w:t>
    </w:r>
    <w:r w:rsidR="006B7888">
      <w:rPr>
        <w:sz w:val="22"/>
        <w:szCs w:val="22"/>
        <w:lang w:val="en-AU"/>
      </w:rPr>
      <w:tab/>
    </w:r>
    <w:r w:rsidR="00FD08D8">
      <w:rPr>
        <w:sz w:val="22"/>
        <w:szCs w:val="22"/>
        <w:lang w:val="en-AU"/>
      </w:rPr>
      <w:t>IGB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C4BB8" w14:textId="77777777" w:rsidR="00FD08D8" w:rsidRDefault="00FD08D8">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4815" w14:textId="5C2E7B17" w:rsidR="00FD08D8" w:rsidRDefault="009D1D0F" w:rsidP="00A5158F">
    <w:pPr>
      <w:pStyle w:val="Header"/>
      <w:tabs>
        <w:tab w:val="clear" w:pos="567"/>
        <w:tab w:val="clear" w:pos="4820"/>
        <w:tab w:val="right" w:pos="9356"/>
      </w:tabs>
      <w:jc w:val="left"/>
      <w:rPr>
        <w:sz w:val="22"/>
        <w:szCs w:val="22"/>
      </w:rPr>
    </w:pPr>
    <w:r>
      <w:rPr>
        <w:sz w:val="22"/>
        <w:szCs w:val="22"/>
        <w:lang w:val="en-AU"/>
      </w:rPr>
      <w:t>Summary—</w:t>
    </w:r>
    <w:r w:rsidR="00FD08D8">
      <w:rPr>
        <w:sz w:val="22"/>
        <w:szCs w:val="22"/>
        <w:lang w:val="en-AU"/>
      </w:rPr>
      <w:t>Uncooked prawn imports: effectiveness of biosecurity controls</w:t>
    </w:r>
    <w:r w:rsidR="00FD08D8">
      <w:rPr>
        <w:sz w:val="22"/>
        <w:szCs w:val="22"/>
        <w:lang w:val="en-AU"/>
      </w:rPr>
      <w:tab/>
      <w:t>IGB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1CCA3D"/>
    <w:multiLevelType w:val="hybridMultilevel"/>
    <w:tmpl w:val="FAED96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6DEE9AC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C6E54"/>
    <w:multiLevelType w:val="hybridMultilevel"/>
    <w:tmpl w:val="D5CEF05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02400C3C"/>
    <w:multiLevelType w:val="multilevel"/>
    <w:tmpl w:val="D2745C36"/>
    <w:numStyleLink w:val="Headings"/>
  </w:abstractNum>
  <w:abstractNum w:abstractNumId="5" w15:restartNumberingAfterBreak="0">
    <w:nsid w:val="03A156C0"/>
    <w:multiLevelType w:val="multilevel"/>
    <w:tmpl w:val="E490E802"/>
    <w:styleLink w:val="Part1"/>
    <w:lvl w:ilvl="0">
      <w:start w:val="1"/>
      <w:numFmt w:val="decimal"/>
      <w:pStyle w:val="ListNumber"/>
      <w:lvlText w:val="s%1."/>
      <w:lvlJc w:val="left"/>
      <w:pPr>
        <w:ind w:left="1134" w:hanging="1134"/>
      </w:pPr>
      <w:rPr>
        <w:rFonts w:hint="default"/>
      </w:rPr>
    </w:lvl>
    <w:lvl w:ilvl="1">
      <w:start w:val="1"/>
      <w:numFmt w:val="lowerLetter"/>
      <w:lvlText w:val="%2."/>
      <w:lvlJc w:val="left"/>
      <w:pPr>
        <w:ind w:left="1701" w:hanging="1134"/>
      </w:pPr>
      <w:rPr>
        <w:rFonts w:hint="default"/>
      </w:rPr>
    </w:lvl>
    <w:lvl w:ilvl="2">
      <w:start w:val="1"/>
      <w:numFmt w:val="lowerRoman"/>
      <w:lvlText w:val="%3."/>
      <w:lvlJc w:val="right"/>
      <w:pPr>
        <w:ind w:left="2268" w:hanging="1134"/>
      </w:pPr>
      <w:rPr>
        <w:rFonts w:hint="default"/>
      </w:rPr>
    </w:lvl>
    <w:lvl w:ilvl="3">
      <w:start w:val="1"/>
      <w:numFmt w:val="decimal"/>
      <w:lvlText w:val="%4."/>
      <w:lvlJc w:val="left"/>
      <w:pPr>
        <w:ind w:left="2835" w:hanging="1134"/>
      </w:pPr>
      <w:rPr>
        <w:rFonts w:hint="default"/>
      </w:rPr>
    </w:lvl>
    <w:lvl w:ilvl="4">
      <w:start w:val="1"/>
      <w:numFmt w:val="lowerLetter"/>
      <w:lvlText w:val="%5."/>
      <w:lvlJc w:val="left"/>
      <w:pPr>
        <w:ind w:left="3402" w:hanging="1134"/>
      </w:pPr>
      <w:rPr>
        <w:rFonts w:hint="default"/>
      </w:rPr>
    </w:lvl>
    <w:lvl w:ilvl="5">
      <w:start w:val="1"/>
      <w:numFmt w:val="lowerRoman"/>
      <w:lvlText w:val="%6."/>
      <w:lvlJc w:val="right"/>
      <w:pPr>
        <w:ind w:left="3969" w:hanging="1134"/>
      </w:pPr>
      <w:rPr>
        <w:rFonts w:hint="default"/>
      </w:rPr>
    </w:lvl>
    <w:lvl w:ilvl="6">
      <w:start w:val="1"/>
      <w:numFmt w:val="decimal"/>
      <w:lvlText w:val="%7."/>
      <w:lvlJc w:val="left"/>
      <w:pPr>
        <w:ind w:left="4536" w:hanging="1134"/>
      </w:pPr>
      <w:rPr>
        <w:rFonts w:hint="default"/>
      </w:rPr>
    </w:lvl>
    <w:lvl w:ilvl="7">
      <w:start w:val="1"/>
      <w:numFmt w:val="lowerLetter"/>
      <w:lvlText w:val="%8."/>
      <w:lvlJc w:val="left"/>
      <w:pPr>
        <w:ind w:left="5103" w:hanging="1134"/>
      </w:pPr>
      <w:rPr>
        <w:rFonts w:hint="default"/>
      </w:rPr>
    </w:lvl>
    <w:lvl w:ilvl="8">
      <w:start w:val="1"/>
      <w:numFmt w:val="lowerRoman"/>
      <w:lvlText w:val="%9."/>
      <w:lvlJc w:val="right"/>
      <w:pPr>
        <w:ind w:left="5670" w:hanging="1134"/>
      </w:pPr>
      <w:rPr>
        <w:rFonts w:hint="default"/>
      </w:rPr>
    </w:lvl>
  </w:abstractNum>
  <w:abstractNum w:abstractNumId="6" w15:restartNumberingAfterBreak="0">
    <w:nsid w:val="040F5E14"/>
    <w:multiLevelType w:val="hybridMultilevel"/>
    <w:tmpl w:val="C56C3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4195F36"/>
    <w:multiLevelType w:val="hybridMultilevel"/>
    <w:tmpl w:val="71E83E02"/>
    <w:lvl w:ilvl="0" w:tplc="38CA202C">
      <w:numFmt w:val="bullet"/>
      <w:lvlText w:val="•"/>
      <w:lvlJc w:val="left"/>
      <w:pPr>
        <w:ind w:left="720" w:hanging="360"/>
      </w:pPr>
      <w:rPr>
        <w:rFonts w:ascii="Calibri" w:eastAsia="Calibri" w:hAnsi="Calibri" w:cs="Times New Roman"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5654F7"/>
    <w:multiLevelType w:val="hybridMultilevel"/>
    <w:tmpl w:val="8CAC4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5B6D63"/>
    <w:multiLevelType w:val="hybridMultilevel"/>
    <w:tmpl w:val="9D56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EE6A9A"/>
    <w:multiLevelType w:val="multilevel"/>
    <w:tmpl w:val="D8665074"/>
    <w:styleLink w:val="LFO8"/>
    <w:lvl w:ilvl="0">
      <w:numFmt w:val="bullet"/>
      <w:lvlText w:val=""/>
      <w:lvlJc w:val="left"/>
      <w:pPr>
        <w:ind w:left="2871" w:hanging="360"/>
      </w:pPr>
      <w:rPr>
        <w:rFonts w:ascii="Symbol" w:hAnsi="Symbol"/>
      </w:rPr>
    </w:lvl>
    <w:lvl w:ilvl="1">
      <w:numFmt w:val="bullet"/>
      <w:lvlText w:val="•"/>
      <w:lvlJc w:val="left"/>
      <w:pPr>
        <w:ind w:left="2217" w:hanging="570"/>
      </w:pPr>
      <w:rPr>
        <w:rFonts w:ascii="Calibri" w:eastAsia="Calibri" w:hAnsi="Calibri" w:cs="Calibri"/>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192E30DB"/>
    <w:multiLevelType w:val="hybridMultilevel"/>
    <w:tmpl w:val="1794E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950C91"/>
    <w:multiLevelType w:val="hybridMultilevel"/>
    <w:tmpl w:val="94D8A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3B6F9A"/>
    <w:multiLevelType w:val="hybridMultilevel"/>
    <w:tmpl w:val="157A4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4927E5"/>
    <w:multiLevelType w:val="hybridMultilevel"/>
    <w:tmpl w:val="A6AA6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1F123EC9"/>
    <w:multiLevelType w:val="hybridMultilevel"/>
    <w:tmpl w:val="EB6890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20465044"/>
    <w:multiLevelType w:val="hybridMultilevel"/>
    <w:tmpl w:val="2F96D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19" w15:restartNumberingAfterBreak="0">
    <w:nsid w:val="232D1E23"/>
    <w:multiLevelType w:val="multilevel"/>
    <w:tmpl w:val="27A8E460"/>
    <w:numStyleLink w:val="Part2"/>
  </w:abstractNum>
  <w:abstractNum w:abstractNumId="20" w15:restartNumberingAfterBreak="0">
    <w:nsid w:val="255A1B62"/>
    <w:multiLevelType w:val="multilevel"/>
    <w:tmpl w:val="E490E802"/>
    <w:numStyleLink w:val="Part1"/>
  </w:abstractNum>
  <w:abstractNum w:abstractNumId="21" w15:restartNumberingAfterBreak="0">
    <w:nsid w:val="258D4120"/>
    <w:multiLevelType w:val="multilevel"/>
    <w:tmpl w:val="6216641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6D3177D"/>
    <w:multiLevelType w:val="hybridMultilevel"/>
    <w:tmpl w:val="7A42DC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7412117"/>
    <w:multiLevelType w:val="hybridMultilevel"/>
    <w:tmpl w:val="618CA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15:restartNumberingAfterBreak="0">
    <w:nsid w:val="30CF2659"/>
    <w:multiLevelType w:val="hybridMultilevel"/>
    <w:tmpl w:val="A468B1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FD6998"/>
    <w:multiLevelType w:val="hybridMultilevel"/>
    <w:tmpl w:val="761ECD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73E0B2D"/>
    <w:multiLevelType w:val="multilevel"/>
    <w:tmpl w:val="E438F216"/>
    <w:styleLink w:val="AppendixC3List"/>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none"/>
      <w:lvlText w:val="– "/>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43C80DAC"/>
    <w:multiLevelType w:val="hybridMultilevel"/>
    <w:tmpl w:val="43E8960A"/>
    <w:lvl w:ilvl="0" w:tplc="0C090001">
      <w:start w:val="1"/>
      <w:numFmt w:val="bullet"/>
      <w:lvlText w:val=""/>
      <w:lvlJc w:val="left"/>
      <w:pPr>
        <w:ind w:left="-130" w:hanging="360"/>
      </w:pPr>
      <w:rPr>
        <w:rFonts w:ascii="Symbol" w:hAnsi="Symbo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29" w15:restartNumberingAfterBreak="0">
    <w:nsid w:val="44221963"/>
    <w:multiLevelType w:val="multilevel"/>
    <w:tmpl w:val="460C9E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6DD5C12"/>
    <w:multiLevelType w:val="multilevel"/>
    <w:tmpl w:val="20F2356A"/>
    <w:numStyleLink w:val="Appendix"/>
  </w:abstractNum>
  <w:abstractNum w:abstractNumId="31" w15:restartNumberingAfterBreak="0">
    <w:nsid w:val="48411F5D"/>
    <w:multiLevelType w:val="hybridMultilevel"/>
    <w:tmpl w:val="B35EA8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B40200"/>
    <w:multiLevelType w:val="hybridMultilevel"/>
    <w:tmpl w:val="F1C01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3C5BF3"/>
    <w:multiLevelType w:val="hybridMultilevel"/>
    <w:tmpl w:val="926CA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2205260"/>
    <w:multiLevelType w:val="hybridMultilevel"/>
    <w:tmpl w:val="F4DC5C6A"/>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6" w15:restartNumberingAfterBreak="0">
    <w:nsid w:val="53B75320"/>
    <w:multiLevelType w:val="multilevel"/>
    <w:tmpl w:val="87BCBDFC"/>
    <w:lvl w:ilvl="0">
      <w:start w:val="1"/>
      <w:numFmt w:val="decimal"/>
      <w:lvlText w:val="%1"/>
      <w:lvlJc w:val="left"/>
      <w:pPr>
        <w:ind w:left="851" w:hanging="851"/>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6174C2"/>
    <w:multiLevelType w:val="hybridMultilevel"/>
    <w:tmpl w:val="FE50D9E6"/>
    <w:lvl w:ilvl="0" w:tplc="FFCA95C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9" w15:restartNumberingAfterBreak="0">
    <w:nsid w:val="5BF51EC7"/>
    <w:multiLevelType w:val="multilevel"/>
    <w:tmpl w:val="D2745C36"/>
    <w:styleLink w:val="Headings"/>
    <w:lvl w:ilvl="0">
      <w:start w:val="1"/>
      <w:numFmt w:val="decimal"/>
      <w:pStyle w:val="Heading2"/>
      <w:lvlText w:val="%1"/>
      <w:lvlJc w:val="left"/>
      <w:pPr>
        <w:ind w:left="567" w:hanging="567"/>
      </w:pPr>
      <w:rPr>
        <w:rFonts w:ascii="Calibri" w:hAnsi="Calibri" w:hint="default"/>
        <w:b/>
        <w:i w:val="0"/>
      </w:rPr>
    </w:lvl>
    <w:lvl w:ilvl="1">
      <w:start w:val="1"/>
      <w:numFmt w:val="decimal"/>
      <w:pStyle w:val="Heading3"/>
      <w:lvlText w:val="%1.%2"/>
      <w:lvlJc w:val="left"/>
      <w:pPr>
        <w:ind w:left="567" w:hanging="567"/>
      </w:pPr>
      <w:rPr>
        <w:rFonts w:ascii="Calibri" w:hAnsi="Calibri" w:hint="default"/>
        <w:b/>
        <w:i w:val="0"/>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0" w15:restartNumberingAfterBreak="0">
    <w:nsid w:val="5D7510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45635E"/>
    <w:multiLevelType w:val="multilevel"/>
    <w:tmpl w:val="E438F216"/>
    <w:numStyleLink w:val="AppendixC3List"/>
  </w:abstractNum>
  <w:abstractNum w:abstractNumId="42" w15:restartNumberingAfterBreak="0">
    <w:nsid w:val="67A61789"/>
    <w:multiLevelType w:val="multilevel"/>
    <w:tmpl w:val="27A8E460"/>
    <w:styleLink w:val="Part2"/>
    <w:lvl w:ilvl="0">
      <w:start w:val="1"/>
      <w:numFmt w:val="decimal"/>
      <w:lvlText w:val="%1"/>
      <w:lvlJc w:val="left"/>
      <w:pPr>
        <w:ind w:left="851" w:hanging="851"/>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A86E94"/>
    <w:multiLevelType w:val="hybridMultilevel"/>
    <w:tmpl w:val="FFF4D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FB69BE"/>
    <w:multiLevelType w:val="multilevel"/>
    <w:tmpl w:val="D2745C36"/>
    <w:numStyleLink w:val="Headings"/>
  </w:abstractNum>
  <w:abstractNum w:abstractNumId="45" w15:restartNumberingAfterBreak="0">
    <w:nsid w:val="6C333C4E"/>
    <w:multiLevelType w:val="hybridMultilevel"/>
    <w:tmpl w:val="0246AA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6B59DF"/>
    <w:multiLevelType w:val="multilevel"/>
    <w:tmpl w:val="AC9A1EE0"/>
    <w:lvl w:ilvl="0">
      <w:start w:val="1"/>
      <w:numFmt w:val="decimal"/>
      <w:lvlText w:val="%1."/>
      <w:lvlJc w:val="left"/>
      <w:pPr>
        <w:ind w:left="643"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94F280B"/>
    <w:multiLevelType w:val="hybridMultilevel"/>
    <w:tmpl w:val="D2D85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B6F3718"/>
    <w:multiLevelType w:val="multilevel"/>
    <w:tmpl w:val="4FD873F6"/>
    <w:lvl w:ilvl="0">
      <w:start w:val="10"/>
      <w:numFmt w:val="decimal"/>
      <w:lvlText w:val="%1"/>
      <w:lvlJc w:val="left"/>
      <w:pPr>
        <w:ind w:left="552" w:hanging="552"/>
      </w:pPr>
      <w:rPr>
        <w:rFonts w:hint="default"/>
      </w:rPr>
    </w:lvl>
    <w:lvl w:ilvl="1">
      <w:start w:val="1"/>
      <w:numFmt w:val="decimal"/>
      <w:lvlText w:val="%1.%2"/>
      <w:lvlJc w:val="left"/>
      <w:pPr>
        <w:ind w:left="694" w:hanging="55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7BD60B08"/>
    <w:multiLevelType w:val="hybridMultilevel"/>
    <w:tmpl w:val="5CE08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D6A31D6"/>
    <w:multiLevelType w:val="hybridMultilevel"/>
    <w:tmpl w:val="15CED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EDC2329"/>
    <w:multiLevelType w:val="hybridMultilevel"/>
    <w:tmpl w:val="38BCD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0"/>
    <w:lvlOverride w:ilvl="0">
      <w:lvl w:ilvl="0">
        <w:start w:val="1"/>
        <w:numFmt w:val="decimal"/>
        <w:pStyle w:val="ListNumber"/>
        <w:lvlText w:val="s%1."/>
        <w:lvlJc w:val="left"/>
        <w:pPr>
          <w:ind w:left="1134" w:hanging="1134"/>
        </w:pPr>
        <w:rPr>
          <w:rFonts w:hint="default"/>
          <w:i w:val="0"/>
        </w:rPr>
      </w:lvl>
    </w:lvlOverride>
  </w:num>
  <w:num w:numId="4">
    <w:abstractNumId w:val="27"/>
  </w:num>
  <w:num w:numId="5">
    <w:abstractNumId w:val="41"/>
  </w:num>
  <w:num w:numId="6">
    <w:abstractNumId w:val="10"/>
  </w:num>
  <w:num w:numId="7">
    <w:abstractNumId w:val="7"/>
  </w:num>
  <w:num w:numId="8">
    <w:abstractNumId w:val="19"/>
    <w:lvlOverride w:ilvl="0">
      <w:lvl w:ilvl="0">
        <w:start w:val="1"/>
        <w:numFmt w:val="decimal"/>
        <w:lvlText w:val="%1"/>
        <w:lvlJc w:val="left"/>
        <w:pPr>
          <w:ind w:left="851" w:hanging="851"/>
        </w:pPr>
        <w:rPr>
          <w:rFonts w:hint="default"/>
        </w:rPr>
      </w:lvl>
    </w:lvlOverride>
    <w:lvlOverride w:ilvl="1">
      <w:lvl w:ilvl="1">
        <w:start w:val="1"/>
        <w:numFmt w:val="decimal"/>
        <w:pStyle w:val="ListNumber2"/>
        <w:lvlText w:val="%1.%2"/>
        <w:lvlJc w:val="left"/>
        <w:pPr>
          <w:ind w:left="720" w:hanging="360"/>
        </w:pPr>
        <w:rPr>
          <w:rFonts w:asciiTheme="minorHAnsi" w:hAnsiTheme="minorHAnsi" w:hint="default"/>
          <w:b/>
          <w:i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45"/>
  </w:num>
  <w:num w:numId="10">
    <w:abstractNumId w:val="42"/>
  </w:num>
  <w:num w:numId="11">
    <w:abstractNumId w:val="14"/>
  </w:num>
  <w:num w:numId="12">
    <w:abstractNumId w:val="8"/>
  </w:num>
  <w:num w:numId="13">
    <w:abstractNumId w:val="43"/>
  </w:num>
  <w:num w:numId="14">
    <w:abstractNumId w:val="48"/>
  </w:num>
  <w:num w:numId="15">
    <w:abstractNumId w:val="0"/>
  </w:num>
  <w:num w:numId="16">
    <w:abstractNumId w:val="2"/>
  </w:num>
  <w:num w:numId="17">
    <w:abstractNumId w:val="50"/>
  </w:num>
  <w:num w:numId="18">
    <w:abstractNumId w:val="15"/>
  </w:num>
  <w:num w:numId="19">
    <w:abstractNumId w:val="25"/>
  </w:num>
  <w:num w:numId="20">
    <w:abstractNumId w:val="11"/>
  </w:num>
  <w:num w:numId="21">
    <w:abstractNumId w:val="52"/>
  </w:num>
  <w:num w:numId="22">
    <w:abstractNumId w:val="33"/>
  </w:num>
  <w:num w:numId="23">
    <w:abstractNumId w:val="26"/>
  </w:num>
  <w:num w:numId="24">
    <w:abstractNumId w:val="38"/>
  </w:num>
  <w:num w:numId="25">
    <w:abstractNumId w:val="32"/>
  </w:num>
  <w:num w:numId="26">
    <w:abstractNumId w:val="16"/>
  </w:num>
  <w:num w:numId="27">
    <w:abstractNumId w:val="1"/>
  </w:num>
  <w:num w:numId="28">
    <w:abstractNumId w:val="47"/>
  </w:num>
  <w:num w:numId="29">
    <w:abstractNumId w:val="39"/>
  </w:num>
  <w:num w:numId="30">
    <w:abstractNumId w:val="24"/>
  </w:num>
  <w:num w:numId="31">
    <w:abstractNumId w:val="30"/>
  </w:num>
  <w:num w:numId="32">
    <w:abstractNumId w:val="17"/>
  </w:num>
  <w:num w:numId="33">
    <w:abstractNumId w:val="3"/>
  </w:num>
  <w:num w:numId="34">
    <w:abstractNumId w:val="19"/>
    <w:lvlOverride w:ilvl="0">
      <w:lvl w:ilvl="0">
        <w:start w:val="1"/>
        <w:numFmt w:val="decimal"/>
        <w:lvlText w:val="%1"/>
        <w:lvlJc w:val="left"/>
        <w:pPr>
          <w:ind w:left="851" w:hanging="851"/>
        </w:pPr>
        <w:rPr>
          <w:rFonts w:hint="default"/>
        </w:rPr>
      </w:lvl>
    </w:lvlOverride>
    <w:lvlOverride w:ilvl="1">
      <w:lvl w:ilvl="1">
        <w:start w:val="1"/>
        <w:numFmt w:val="decimal"/>
        <w:pStyle w:val="ListNumber2"/>
        <w:lvlText w:val="%1.%2"/>
        <w:lvlJc w:val="left"/>
        <w:pPr>
          <w:ind w:left="720" w:hanging="360"/>
        </w:pPr>
        <w:rPr>
          <w:rFonts w:asciiTheme="minorHAnsi" w:hAnsiTheme="minorHAnsi" w:hint="default"/>
          <w:b/>
          <w:i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b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46"/>
  </w:num>
  <w:num w:numId="36">
    <w:abstractNumId w:val="34"/>
  </w:num>
  <w:num w:numId="37">
    <w:abstractNumId w:val="6"/>
  </w:num>
  <w:num w:numId="38">
    <w:abstractNumId w:val="23"/>
  </w:num>
  <w:num w:numId="39">
    <w:abstractNumId w:val="28"/>
  </w:num>
  <w:num w:numId="40">
    <w:abstractNumId w:val="36"/>
  </w:num>
  <w:num w:numId="41">
    <w:abstractNumId w:val="49"/>
  </w:num>
  <w:num w:numId="42">
    <w:abstractNumId w:val="51"/>
  </w:num>
  <w:num w:numId="43">
    <w:abstractNumId w:val="9"/>
  </w:num>
  <w:num w:numId="44">
    <w:abstractNumId w:val="18"/>
  </w:num>
  <w:num w:numId="45">
    <w:abstractNumId w:val="40"/>
  </w:num>
  <w:num w:numId="46">
    <w:abstractNumId w:val="29"/>
  </w:num>
  <w:num w:numId="47">
    <w:abstractNumId w:val="21"/>
  </w:num>
  <w:num w:numId="48">
    <w:abstractNumId w:val="38"/>
  </w:num>
  <w:num w:numId="49">
    <w:abstractNumId w:val="13"/>
  </w:num>
  <w:num w:numId="50">
    <w:abstractNumId w:val="22"/>
  </w:num>
  <w:num w:numId="51">
    <w:abstractNumId w:val="37"/>
  </w:num>
  <w:num w:numId="52">
    <w:abstractNumId w:val="35"/>
  </w:num>
  <w:num w:numId="53">
    <w:abstractNumId w:val="31"/>
  </w:num>
  <w:num w:numId="54">
    <w:abstractNumId w:val="4"/>
  </w:num>
  <w:num w:numId="55">
    <w:abstractNumId w:val="44"/>
  </w:num>
  <w:num w:numId="56">
    <w:abstractNumId w:val="44"/>
  </w:num>
  <w:num w:numId="57">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1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DOI&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CC703E"/>
    <w:rsid w:val="000015D1"/>
    <w:rsid w:val="000034F2"/>
    <w:rsid w:val="00004C92"/>
    <w:rsid w:val="0000534C"/>
    <w:rsid w:val="00007261"/>
    <w:rsid w:val="000074B2"/>
    <w:rsid w:val="00014886"/>
    <w:rsid w:val="00026B14"/>
    <w:rsid w:val="00031C58"/>
    <w:rsid w:val="00032958"/>
    <w:rsid w:val="000341C2"/>
    <w:rsid w:val="00037EB8"/>
    <w:rsid w:val="000435B8"/>
    <w:rsid w:val="000458DA"/>
    <w:rsid w:val="00046D19"/>
    <w:rsid w:val="00061542"/>
    <w:rsid w:val="00062AD4"/>
    <w:rsid w:val="000746B8"/>
    <w:rsid w:val="00074B45"/>
    <w:rsid w:val="00075C1E"/>
    <w:rsid w:val="00077B73"/>
    <w:rsid w:val="00077CBD"/>
    <w:rsid w:val="00077F2F"/>
    <w:rsid w:val="000806CA"/>
    <w:rsid w:val="0008249A"/>
    <w:rsid w:val="00083FF8"/>
    <w:rsid w:val="00086015"/>
    <w:rsid w:val="0008656D"/>
    <w:rsid w:val="00086CDD"/>
    <w:rsid w:val="00090E4F"/>
    <w:rsid w:val="00092D7B"/>
    <w:rsid w:val="00093C63"/>
    <w:rsid w:val="00095C89"/>
    <w:rsid w:val="000978E4"/>
    <w:rsid w:val="00097B41"/>
    <w:rsid w:val="000A05EA"/>
    <w:rsid w:val="000A127D"/>
    <w:rsid w:val="000A2F54"/>
    <w:rsid w:val="000A39C1"/>
    <w:rsid w:val="000A45B1"/>
    <w:rsid w:val="000A54F4"/>
    <w:rsid w:val="000A566F"/>
    <w:rsid w:val="000A6E2E"/>
    <w:rsid w:val="000B2535"/>
    <w:rsid w:val="000B3D87"/>
    <w:rsid w:val="000C0EC6"/>
    <w:rsid w:val="000C1383"/>
    <w:rsid w:val="000C4977"/>
    <w:rsid w:val="000C5417"/>
    <w:rsid w:val="000C5B9F"/>
    <w:rsid w:val="000C7250"/>
    <w:rsid w:val="000C7995"/>
    <w:rsid w:val="000D11A9"/>
    <w:rsid w:val="000D1FF4"/>
    <w:rsid w:val="000D7FF1"/>
    <w:rsid w:val="000E014A"/>
    <w:rsid w:val="000E11A0"/>
    <w:rsid w:val="000E1398"/>
    <w:rsid w:val="000E161B"/>
    <w:rsid w:val="000E1812"/>
    <w:rsid w:val="000E1AE0"/>
    <w:rsid w:val="000E292F"/>
    <w:rsid w:val="000E47DB"/>
    <w:rsid w:val="000E55A8"/>
    <w:rsid w:val="000F0AC1"/>
    <w:rsid w:val="000F0BCB"/>
    <w:rsid w:val="000F4FE1"/>
    <w:rsid w:val="000F53BE"/>
    <w:rsid w:val="000F7C8D"/>
    <w:rsid w:val="001067C3"/>
    <w:rsid w:val="001103B4"/>
    <w:rsid w:val="00112780"/>
    <w:rsid w:val="00115293"/>
    <w:rsid w:val="0011644D"/>
    <w:rsid w:val="00117BFA"/>
    <w:rsid w:val="001232EC"/>
    <w:rsid w:val="001266D3"/>
    <w:rsid w:val="00126A12"/>
    <w:rsid w:val="00131F8D"/>
    <w:rsid w:val="00150A32"/>
    <w:rsid w:val="001573B9"/>
    <w:rsid w:val="00160B82"/>
    <w:rsid w:val="00161430"/>
    <w:rsid w:val="0017142F"/>
    <w:rsid w:val="001715E4"/>
    <w:rsid w:val="00172577"/>
    <w:rsid w:val="00174800"/>
    <w:rsid w:val="00175789"/>
    <w:rsid w:val="00177E6A"/>
    <w:rsid w:val="001800DB"/>
    <w:rsid w:val="00181A96"/>
    <w:rsid w:val="0018567A"/>
    <w:rsid w:val="00185BBF"/>
    <w:rsid w:val="00185E2D"/>
    <w:rsid w:val="00186B58"/>
    <w:rsid w:val="00186FB9"/>
    <w:rsid w:val="001874D7"/>
    <w:rsid w:val="00190105"/>
    <w:rsid w:val="00191C38"/>
    <w:rsid w:val="001936C7"/>
    <w:rsid w:val="00196FF9"/>
    <w:rsid w:val="00197604"/>
    <w:rsid w:val="001A2532"/>
    <w:rsid w:val="001A25E9"/>
    <w:rsid w:val="001B4209"/>
    <w:rsid w:val="001B5D47"/>
    <w:rsid w:val="001B680D"/>
    <w:rsid w:val="001C3B4D"/>
    <w:rsid w:val="001C7475"/>
    <w:rsid w:val="001D45DD"/>
    <w:rsid w:val="001D76D4"/>
    <w:rsid w:val="001F0264"/>
    <w:rsid w:val="001F06E1"/>
    <w:rsid w:val="001F3A0B"/>
    <w:rsid w:val="001F3CE5"/>
    <w:rsid w:val="001F4221"/>
    <w:rsid w:val="001F600C"/>
    <w:rsid w:val="00200E2D"/>
    <w:rsid w:val="0020153E"/>
    <w:rsid w:val="002044B1"/>
    <w:rsid w:val="002051EE"/>
    <w:rsid w:val="00205889"/>
    <w:rsid w:val="0021372F"/>
    <w:rsid w:val="00213C5F"/>
    <w:rsid w:val="00213D38"/>
    <w:rsid w:val="0022277C"/>
    <w:rsid w:val="0022751F"/>
    <w:rsid w:val="002338E2"/>
    <w:rsid w:val="00237ED8"/>
    <w:rsid w:val="002408B9"/>
    <w:rsid w:val="00242B77"/>
    <w:rsid w:val="00243531"/>
    <w:rsid w:val="0024397C"/>
    <w:rsid w:val="0024462A"/>
    <w:rsid w:val="002469B6"/>
    <w:rsid w:val="002477D2"/>
    <w:rsid w:val="00247ECA"/>
    <w:rsid w:val="002525FA"/>
    <w:rsid w:val="002541F9"/>
    <w:rsid w:val="00254AD5"/>
    <w:rsid w:val="002568E8"/>
    <w:rsid w:val="00256FA0"/>
    <w:rsid w:val="002640DB"/>
    <w:rsid w:val="00271090"/>
    <w:rsid w:val="002710D6"/>
    <w:rsid w:val="002734D1"/>
    <w:rsid w:val="00274E68"/>
    <w:rsid w:val="00275FC5"/>
    <w:rsid w:val="002801A7"/>
    <w:rsid w:val="002818DA"/>
    <w:rsid w:val="0028244E"/>
    <w:rsid w:val="002839B9"/>
    <w:rsid w:val="00283ECB"/>
    <w:rsid w:val="00284F22"/>
    <w:rsid w:val="0028613E"/>
    <w:rsid w:val="00286CAA"/>
    <w:rsid w:val="00287BA3"/>
    <w:rsid w:val="00292E26"/>
    <w:rsid w:val="0029368D"/>
    <w:rsid w:val="00295AE8"/>
    <w:rsid w:val="00295CD3"/>
    <w:rsid w:val="00297321"/>
    <w:rsid w:val="002A14CA"/>
    <w:rsid w:val="002A3367"/>
    <w:rsid w:val="002A6631"/>
    <w:rsid w:val="002B0A75"/>
    <w:rsid w:val="002B16DB"/>
    <w:rsid w:val="002B3158"/>
    <w:rsid w:val="002B408B"/>
    <w:rsid w:val="002B70BF"/>
    <w:rsid w:val="002C1526"/>
    <w:rsid w:val="002C477E"/>
    <w:rsid w:val="002C7940"/>
    <w:rsid w:val="002D197A"/>
    <w:rsid w:val="002D1FE0"/>
    <w:rsid w:val="002D3963"/>
    <w:rsid w:val="002E2A16"/>
    <w:rsid w:val="002E6441"/>
    <w:rsid w:val="002F249C"/>
    <w:rsid w:val="002F38A4"/>
    <w:rsid w:val="002F3A44"/>
    <w:rsid w:val="002F72C5"/>
    <w:rsid w:val="002F7736"/>
    <w:rsid w:val="003007ED"/>
    <w:rsid w:val="003013D3"/>
    <w:rsid w:val="00303C1A"/>
    <w:rsid w:val="003056AF"/>
    <w:rsid w:val="003056DE"/>
    <w:rsid w:val="003078E8"/>
    <w:rsid w:val="00312B55"/>
    <w:rsid w:val="00321D56"/>
    <w:rsid w:val="00323AE3"/>
    <w:rsid w:val="003252AD"/>
    <w:rsid w:val="003265FC"/>
    <w:rsid w:val="003329F2"/>
    <w:rsid w:val="00337EEE"/>
    <w:rsid w:val="00341520"/>
    <w:rsid w:val="0034395F"/>
    <w:rsid w:val="00345D98"/>
    <w:rsid w:val="003461B0"/>
    <w:rsid w:val="003463D8"/>
    <w:rsid w:val="00346886"/>
    <w:rsid w:val="003468CA"/>
    <w:rsid w:val="00357069"/>
    <w:rsid w:val="003575E9"/>
    <w:rsid w:val="003603BA"/>
    <w:rsid w:val="003604B1"/>
    <w:rsid w:val="00362175"/>
    <w:rsid w:val="00365C49"/>
    <w:rsid w:val="0037074B"/>
    <w:rsid w:val="003707A5"/>
    <w:rsid w:val="003708EA"/>
    <w:rsid w:val="00375257"/>
    <w:rsid w:val="003770A8"/>
    <w:rsid w:val="003800B6"/>
    <w:rsid w:val="00380E81"/>
    <w:rsid w:val="00381EBA"/>
    <w:rsid w:val="00382874"/>
    <w:rsid w:val="00386D26"/>
    <w:rsid w:val="00386D4D"/>
    <w:rsid w:val="00387E62"/>
    <w:rsid w:val="0039504F"/>
    <w:rsid w:val="003A2515"/>
    <w:rsid w:val="003A3D25"/>
    <w:rsid w:val="003A4004"/>
    <w:rsid w:val="003A6D35"/>
    <w:rsid w:val="003A70A8"/>
    <w:rsid w:val="003B0513"/>
    <w:rsid w:val="003B07D2"/>
    <w:rsid w:val="003B2FBE"/>
    <w:rsid w:val="003B5F16"/>
    <w:rsid w:val="003B620C"/>
    <w:rsid w:val="003C1F8E"/>
    <w:rsid w:val="003C29F5"/>
    <w:rsid w:val="003C2ADB"/>
    <w:rsid w:val="003C2EF4"/>
    <w:rsid w:val="003C3F55"/>
    <w:rsid w:val="003C6832"/>
    <w:rsid w:val="003C77C8"/>
    <w:rsid w:val="003D09AB"/>
    <w:rsid w:val="003D11B8"/>
    <w:rsid w:val="003D2AE7"/>
    <w:rsid w:val="003D71AA"/>
    <w:rsid w:val="003D7BBE"/>
    <w:rsid w:val="003E3625"/>
    <w:rsid w:val="003E4669"/>
    <w:rsid w:val="003E4FAA"/>
    <w:rsid w:val="003E58CD"/>
    <w:rsid w:val="003F30ED"/>
    <w:rsid w:val="003F357E"/>
    <w:rsid w:val="003F6201"/>
    <w:rsid w:val="003F78E4"/>
    <w:rsid w:val="004028D1"/>
    <w:rsid w:val="00405CC5"/>
    <w:rsid w:val="00405F55"/>
    <w:rsid w:val="0040610A"/>
    <w:rsid w:val="00411E41"/>
    <w:rsid w:val="00416327"/>
    <w:rsid w:val="0042114D"/>
    <w:rsid w:val="004218D5"/>
    <w:rsid w:val="004237FF"/>
    <w:rsid w:val="00426E37"/>
    <w:rsid w:val="0042751A"/>
    <w:rsid w:val="00430F02"/>
    <w:rsid w:val="0043157D"/>
    <w:rsid w:val="00435DB4"/>
    <w:rsid w:val="00440268"/>
    <w:rsid w:val="004452F0"/>
    <w:rsid w:val="00450B04"/>
    <w:rsid w:val="00454E13"/>
    <w:rsid w:val="00455CF2"/>
    <w:rsid w:val="0046605D"/>
    <w:rsid w:val="00467B8B"/>
    <w:rsid w:val="0047005A"/>
    <w:rsid w:val="004719C8"/>
    <w:rsid w:val="00472C83"/>
    <w:rsid w:val="004735DD"/>
    <w:rsid w:val="004768C7"/>
    <w:rsid w:val="00476B9F"/>
    <w:rsid w:val="00476BBF"/>
    <w:rsid w:val="00477128"/>
    <w:rsid w:val="004771DA"/>
    <w:rsid w:val="00483B9F"/>
    <w:rsid w:val="004841AC"/>
    <w:rsid w:val="004854DF"/>
    <w:rsid w:val="00486403"/>
    <w:rsid w:val="0048708C"/>
    <w:rsid w:val="004901C8"/>
    <w:rsid w:val="0049135B"/>
    <w:rsid w:val="00492767"/>
    <w:rsid w:val="00492B09"/>
    <w:rsid w:val="004938EE"/>
    <w:rsid w:val="00493EEB"/>
    <w:rsid w:val="00495572"/>
    <w:rsid w:val="004A1F7E"/>
    <w:rsid w:val="004A22E2"/>
    <w:rsid w:val="004A2558"/>
    <w:rsid w:val="004A3248"/>
    <w:rsid w:val="004A7028"/>
    <w:rsid w:val="004A72FB"/>
    <w:rsid w:val="004B05B7"/>
    <w:rsid w:val="004B2DBE"/>
    <w:rsid w:val="004B4AF0"/>
    <w:rsid w:val="004B61F5"/>
    <w:rsid w:val="004B6889"/>
    <w:rsid w:val="004C01B4"/>
    <w:rsid w:val="004C39F3"/>
    <w:rsid w:val="004C4120"/>
    <w:rsid w:val="004C5646"/>
    <w:rsid w:val="004C7E40"/>
    <w:rsid w:val="004D0ADA"/>
    <w:rsid w:val="004D3673"/>
    <w:rsid w:val="004D3AF2"/>
    <w:rsid w:val="004D6A36"/>
    <w:rsid w:val="004D6B1E"/>
    <w:rsid w:val="004D745D"/>
    <w:rsid w:val="004E630F"/>
    <w:rsid w:val="004E632C"/>
    <w:rsid w:val="004F0D82"/>
    <w:rsid w:val="004F28AA"/>
    <w:rsid w:val="00503FCE"/>
    <w:rsid w:val="00504F41"/>
    <w:rsid w:val="0050617D"/>
    <w:rsid w:val="005203CF"/>
    <w:rsid w:val="005223EB"/>
    <w:rsid w:val="00522945"/>
    <w:rsid w:val="005234FD"/>
    <w:rsid w:val="0052411A"/>
    <w:rsid w:val="00527A48"/>
    <w:rsid w:val="005305C1"/>
    <w:rsid w:val="0053088F"/>
    <w:rsid w:val="005309EF"/>
    <w:rsid w:val="00536A8B"/>
    <w:rsid w:val="005412BF"/>
    <w:rsid w:val="00546366"/>
    <w:rsid w:val="00550158"/>
    <w:rsid w:val="005502CA"/>
    <w:rsid w:val="00552EC6"/>
    <w:rsid w:val="00553EE9"/>
    <w:rsid w:val="005601F2"/>
    <w:rsid w:val="00561C8C"/>
    <w:rsid w:val="005620C1"/>
    <w:rsid w:val="00563C92"/>
    <w:rsid w:val="005645E2"/>
    <w:rsid w:val="0056565E"/>
    <w:rsid w:val="00565835"/>
    <w:rsid w:val="005676D7"/>
    <w:rsid w:val="00567A30"/>
    <w:rsid w:val="00572DAE"/>
    <w:rsid w:val="00572F22"/>
    <w:rsid w:val="00573BEC"/>
    <w:rsid w:val="00573D70"/>
    <w:rsid w:val="00574585"/>
    <w:rsid w:val="00574B48"/>
    <w:rsid w:val="005750B9"/>
    <w:rsid w:val="00575101"/>
    <w:rsid w:val="00581BE9"/>
    <w:rsid w:val="00583008"/>
    <w:rsid w:val="005836BB"/>
    <w:rsid w:val="00584079"/>
    <w:rsid w:val="005857F3"/>
    <w:rsid w:val="005865C6"/>
    <w:rsid w:val="00587EB2"/>
    <w:rsid w:val="005947C3"/>
    <w:rsid w:val="005A0023"/>
    <w:rsid w:val="005A13FD"/>
    <w:rsid w:val="005A6E11"/>
    <w:rsid w:val="005B0926"/>
    <w:rsid w:val="005B61C7"/>
    <w:rsid w:val="005B674E"/>
    <w:rsid w:val="005C2923"/>
    <w:rsid w:val="005C45CC"/>
    <w:rsid w:val="005C5E8C"/>
    <w:rsid w:val="005C7F07"/>
    <w:rsid w:val="005D2F78"/>
    <w:rsid w:val="005D7715"/>
    <w:rsid w:val="005E0B3F"/>
    <w:rsid w:val="005E0D16"/>
    <w:rsid w:val="005E375A"/>
    <w:rsid w:val="005E3A5C"/>
    <w:rsid w:val="005E62E4"/>
    <w:rsid w:val="005F1A15"/>
    <w:rsid w:val="005F42F8"/>
    <w:rsid w:val="005F432D"/>
    <w:rsid w:val="005F53D6"/>
    <w:rsid w:val="005F61EF"/>
    <w:rsid w:val="005F745C"/>
    <w:rsid w:val="0060288A"/>
    <w:rsid w:val="006068F4"/>
    <w:rsid w:val="00610545"/>
    <w:rsid w:val="00611281"/>
    <w:rsid w:val="00611D52"/>
    <w:rsid w:val="00611ED8"/>
    <w:rsid w:val="00612596"/>
    <w:rsid w:val="00612C7F"/>
    <w:rsid w:val="0061777C"/>
    <w:rsid w:val="00622489"/>
    <w:rsid w:val="00625596"/>
    <w:rsid w:val="0062568A"/>
    <w:rsid w:val="00626988"/>
    <w:rsid w:val="006318C7"/>
    <w:rsid w:val="00632A61"/>
    <w:rsid w:val="00633688"/>
    <w:rsid w:val="00633890"/>
    <w:rsid w:val="00633EC9"/>
    <w:rsid w:val="0063545E"/>
    <w:rsid w:val="00637E5A"/>
    <w:rsid w:val="00641609"/>
    <w:rsid w:val="00641A09"/>
    <w:rsid w:val="00642C86"/>
    <w:rsid w:val="006465B0"/>
    <w:rsid w:val="0064799B"/>
    <w:rsid w:val="006513DC"/>
    <w:rsid w:val="00652A28"/>
    <w:rsid w:val="00654FF3"/>
    <w:rsid w:val="00655B52"/>
    <w:rsid w:val="00656A9A"/>
    <w:rsid w:val="006653C2"/>
    <w:rsid w:val="00665968"/>
    <w:rsid w:val="00665F47"/>
    <w:rsid w:val="0066652F"/>
    <w:rsid w:val="00666DB7"/>
    <w:rsid w:val="00666E26"/>
    <w:rsid w:val="006749DF"/>
    <w:rsid w:val="00676B9D"/>
    <w:rsid w:val="006810A8"/>
    <w:rsid w:val="006839DE"/>
    <w:rsid w:val="006847B3"/>
    <w:rsid w:val="0068532C"/>
    <w:rsid w:val="00685640"/>
    <w:rsid w:val="0068584D"/>
    <w:rsid w:val="00685B80"/>
    <w:rsid w:val="00690E09"/>
    <w:rsid w:val="00692309"/>
    <w:rsid w:val="0069676B"/>
    <w:rsid w:val="006972A9"/>
    <w:rsid w:val="006A2E10"/>
    <w:rsid w:val="006A500F"/>
    <w:rsid w:val="006B236A"/>
    <w:rsid w:val="006B2626"/>
    <w:rsid w:val="006B3976"/>
    <w:rsid w:val="006B3B2E"/>
    <w:rsid w:val="006B5708"/>
    <w:rsid w:val="006B721A"/>
    <w:rsid w:val="006B7888"/>
    <w:rsid w:val="006C364E"/>
    <w:rsid w:val="006C6C48"/>
    <w:rsid w:val="006C7CD4"/>
    <w:rsid w:val="006C7D64"/>
    <w:rsid w:val="006D3241"/>
    <w:rsid w:val="006D491D"/>
    <w:rsid w:val="006E04B7"/>
    <w:rsid w:val="006E13AF"/>
    <w:rsid w:val="006E2454"/>
    <w:rsid w:val="006E27E2"/>
    <w:rsid w:val="006E7A04"/>
    <w:rsid w:val="006F05BC"/>
    <w:rsid w:val="006F1D68"/>
    <w:rsid w:val="006F3379"/>
    <w:rsid w:val="006F5A4F"/>
    <w:rsid w:val="0070110F"/>
    <w:rsid w:val="0070554C"/>
    <w:rsid w:val="00706307"/>
    <w:rsid w:val="007078A1"/>
    <w:rsid w:val="007103F6"/>
    <w:rsid w:val="00711CA0"/>
    <w:rsid w:val="007137B4"/>
    <w:rsid w:val="00715D95"/>
    <w:rsid w:val="007240B7"/>
    <w:rsid w:val="00726EAD"/>
    <w:rsid w:val="007270EF"/>
    <w:rsid w:val="00732180"/>
    <w:rsid w:val="00735C33"/>
    <w:rsid w:val="007404CB"/>
    <w:rsid w:val="00740928"/>
    <w:rsid w:val="00740A72"/>
    <w:rsid w:val="00740F7E"/>
    <w:rsid w:val="007427B4"/>
    <w:rsid w:val="007444C9"/>
    <w:rsid w:val="00746900"/>
    <w:rsid w:val="00746974"/>
    <w:rsid w:val="00750AF6"/>
    <w:rsid w:val="007575DF"/>
    <w:rsid w:val="00761AA1"/>
    <w:rsid w:val="00761F1A"/>
    <w:rsid w:val="007632A2"/>
    <w:rsid w:val="0076391A"/>
    <w:rsid w:val="00765232"/>
    <w:rsid w:val="00766629"/>
    <w:rsid w:val="00766BC7"/>
    <w:rsid w:val="0076727C"/>
    <w:rsid w:val="007704ED"/>
    <w:rsid w:val="00771C64"/>
    <w:rsid w:val="0077258F"/>
    <w:rsid w:val="007773CD"/>
    <w:rsid w:val="00780D3B"/>
    <w:rsid w:val="007876F0"/>
    <w:rsid w:val="0079085B"/>
    <w:rsid w:val="0079536A"/>
    <w:rsid w:val="007A108C"/>
    <w:rsid w:val="007A4662"/>
    <w:rsid w:val="007A4915"/>
    <w:rsid w:val="007B06C1"/>
    <w:rsid w:val="007B354F"/>
    <w:rsid w:val="007C1DB2"/>
    <w:rsid w:val="007C2EFF"/>
    <w:rsid w:val="007C529C"/>
    <w:rsid w:val="007C59C5"/>
    <w:rsid w:val="007C7B9D"/>
    <w:rsid w:val="007C7F84"/>
    <w:rsid w:val="007D0491"/>
    <w:rsid w:val="007D0EDB"/>
    <w:rsid w:val="007D1B30"/>
    <w:rsid w:val="007D7556"/>
    <w:rsid w:val="007E0A6D"/>
    <w:rsid w:val="007E0CA3"/>
    <w:rsid w:val="007E4C81"/>
    <w:rsid w:val="007E59D5"/>
    <w:rsid w:val="007E5A82"/>
    <w:rsid w:val="007F4D83"/>
    <w:rsid w:val="007F5311"/>
    <w:rsid w:val="007F5A4D"/>
    <w:rsid w:val="007F7180"/>
    <w:rsid w:val="007F75C8"/>
    <w:rsid w:val="007F7855"/>
    <w:rsid w:val="0080489E"/>
    <w:rsid w:val="008078E0"/>
    <w:rsid w:val="00812D7A"/>
    <w:rsid w:val="0081415F"/>
    <w:rsid w:val="00815CC4"/>
    <w:rsid w:val="00816701"/>
    <w:rsid w:val="008243BB"/>
    <w:rsid w:val="008256E3"/>
    <w:rsid w:val="00825C6C"/>
    <w:rsid w:val="00826553"/>
    <w:rsid w:val="00826CF4"/>
    <w:rsid w:val="00827CFD"/>
    <w:rsid w:val="0083531C"/>
    <w:rsid w:val="008373A7"/>
    <w:rsid w:val="008409DD"/>
    <w:rsid w:val="0084322B"/>
    <w:rsid w:val="008433C8"/>
    <w:rsid w:val="00843430"/>
    <w:rsid w:val="00843978"/>
    <w:rsid w:val="00845839"/>
    <w:rsid w:val="00845F46"/>
    <w:rsid w:val="0084759A"/>
    <w:rsid w:val="00850ADC"/>
    <w:rsid w:val="00851B3C"/>
    <w:rsid w:val="0085607C"/>
    <w:rsid w:val="008571A1"/>
    <w:rsid w:val="0085771A"/>
    <w:rsid w:val="00871DA5"/>
    <w:rsid w:val="00873B6D"/>
    <w:rsid w:val="00880223"/>
    <w:rsid w:val="008823A5"/>
    <w:rsid w:val="0088269F"/>
    <w:rsid w:val="00882FE4"/>
    <w:rsid w:val="00886545"/>
    <w:rsid w:val="0088665C"/>
    <w:rsid w:val="0088708C"/>
    <w:rsid w:val="008907F1"/>
    <w:rsid w:val="00890FCB"/>
    <w:rsid w:val="00891906"/>
    <w:rsid w:val="00894A91"/>
    <w:rsid w:val="00895C57"/>
    <w:rsid w:val="00896B50"/>
    <w:rsid w:val="00897C8C"/>
    <w:rsid w:val="008A1EFF"/>
    <w:rsid w:val="008A28A1"/>
    <w:rsid w:val="008A3C39"/>
    <w:rsid w:val="008A446C"/>
    <w:rsid w:val="008B0A53"/>
    <w:rsid w:val="008B24E8"/>
    <w:rsid w:val="008B49A1"/>
    <w:rsid w:val="008B4DAC"/>
    <w:rsid w:val="008B50A4"/>
    <w:rsid w:val="008C06DC"/>
    <w:rsid w:val="008C1CE4"/>
    <w:rsid w:val="008C436A"/>
    <w:rsid w:val="008C456D"/>
    <w:rsid w:val="008C688F"/>
    <w:rsid w:val="008D1311"/>
    <w:rsid w:val="008D5825"/>
    <w:rsid w:val="008D6769"/>
    <w:rsid w:val="008D777E"/>
    <w:rsid w:val="008D7CEA"/>
    <w:rsid w:val="008E3C32"/>
    <w:rsid w:val="008E78F6"/>
    <w:rsid w:val="008F281F"/>
    <w:rsid w:val="008F65EF"/>
    <w:rsid w:val="008F725A"/>
    <w:rsid w:val="00900EC0"/>
    <w:rsid w:val="00911AC2"/>
    <w:rsid w:val="00921E59"/>
    <w:rsid w:val="00926913"/>
    <w:rsid w:val="00930299"/>
    <w:rsid w:val="00931D58"/>
    <w:rsid w:val="00932375"/>
    <w:rsid w:val="0093410D"/>
    <w:rsid w:val="00934A25"/>
    <w:rsid w:val="00935E6E"/>
    <w:rsid w:val="009416D8"/>
    <w:rsid w:val="009435EB"/>
    <w:rsid w:val="00943D0A"/>
    <w:rsid w:val="009452CD"/>
    <w:rsid w:val="0094680E"/>
    <w:rsid w:val="0095120F"/>
    <w:rsid w:val="00953F01"/>
    <w:rsid w:val="009562DB"/>
    <w:rsid w:val="0095705F"/>
    <w:rsid w:val="009601E6"/>
    <w:rsid w:val="00963622"/>
    <w:rsid w:val="009647EF"/>
    <w:rsid w:val="00964E7F"/>
    <w:rsid w:val="00972156"/>
    <w:rsid w:val="00980536"/>
    <w:rsid w:val="009833FD"/>
    <w:rsid w:val="00985E6C"/>
    <w:rsid w:val="009865B8"/>
    <w:rsid w:val="009905E1"/>
    <w:rsid w:val="00993D67"/>
    <w:rsid w:val="00996B61"/>
    <w:rsid w:val="00997EAC"/>
    <w:rsid w:val="009A0C74"/>
    <w:rsid w:val="009A417E"/>
    <w:rsid w:val="009A505A"/>
    <w:rsid w:val="009A5C8B"/>
    <w:rsid w:val="009A5D2D"/>
    <w:rsid w:val="009C15AA"/>
    <w:rsid w:val="009C1BB3"/>
    <w:rsid w:val="009C4947"/>
    <w:rsid w:val="009D0725"/>
    <w:rsid w:val="009D1D0F"/>
    <w:rsid w:val="009D380B"/>
    <w:rsid w:val="009D4653"/>
    <w:rsid w:val="009D5857"/>
    <w:rsid w:val="009D73FC"/>
    <w:rsid w:val="009F0CF4"/>
    <w:rsid w:val="009F5732"/>
    <w:rsid w:val="009F792C"/>
    <w:rsid w:val="00A005E4"/>
    <w:rsid w:val="00A0177F"/>
    <w:rsid w:val="00A0251B"/>
    <w:rsid w:val="00A03A42"/>
    <w:rsid w:val="00A060E3"/>
    <w:rsid w:val="00A105F7"/>
    <w:rsid w:val="00A16BC7"/>
    <w:rsid w:val="00A16F2A"/>
    <w:rsid w:val="00A1708B"/>
    <w:rsid w:val="00A2184E"/>
    <w:rsid w:val="00A2290B"/>
    <w:rsid w:val="00A22C9B"/>
    <w:rsid w:val="00A232E2"/>
    <w:rsid w:val="00A23951"/>
    <w:rsid w:val="00A23AD9"/>
    <w:rsid w:val="00A323F8"/>
    <w:rsid w:val="00A348A3"/>
    <w:rsid w:val="00A4077C"/>
    <w:rsid w:val="00A42272"/>
    <w:rsid w:val="00A469BA"/>
    <w:rsid w:val="00A51122"/>
    <w:rsid w:val="00A5158F"/>
    <w:rsid w:val="00A52E00"/>
    <w:rsid w:val="00A558A0"/>
    <w:rsid w:val="00A56E98"/>
    <w:rsid w:val="00A57561"/>
    <w:rsid w:val="00A5797E"/>
    <w:rsid w:val="00A627BB"/>
    <w:rsid w:val="00A6453C"/>
    <w:rsid w:val="00A64E60"/>
    <w:rsid w:val="00A65BCE"/>
    <w:rsid w:val="00A73094"/>
    <w:rsid w:val="00A7331F"/>
    <w:rsid w:val="00A73371"/>
    <w:rsid w:val="00A75DDD"/>
    <w:rsid w:val="00A80B70"/>
    <w:rsid w:val="00A815B1"/>
    <w:rsid w:val="00A815F6"/>
    <w:rsid w:val="00A84BA9"/>
    <w:rsid w:val="00A93053"/>
    <w:rsid w:val="00A95C0A"/>
    <w:rsid w:val="00A963C6"/>
    <w:rsid w:val="00A968E3"/>
    <w:rsid w:val="00AA0B09"/>
    <w:rsid w:val="00AA1D56"/>
    <w:rsid w:val="00AA273E"/>
    <w:rsid w:val="00AA2D43"/>
    <w:rsid w:val="00AB0C7B"/>
    <w:rsid w:val="00AB3296"/>
    <w:rsid w:val="00AB479E"/>
    <w:rsid w:val="00AB7400"/>
    <w:rsid w:val="00AB75F3"/>
    <w:rsid w:val="00AC0071"/>
    <w:rsid w:val="00AC255C"/>
    <w:rsid w:val="00AD119E"/>
    <w:rsid w:val="00AD3D4E"/>
    <w:rsid w:val="00AD4760"/>
    <w:rsid w:val="00AD7412"/>
    <w:rsid w:val="00AE07B2"/>
    <w:rsid w:val="00AE0DAF"/>
    <w:rsid w:val="00AE2682"/>
    <w:rsid w:val="00AE2C4A"/>
    <w:rsid w:val="00AE4913"/>
    <w:rsid w:val="00AE5E80"/>
    <w:rsid w:val="00AE7437"/>
    <w:rsid w:val="00AF051A"/>
    <w:rsid w:val="00AF0B5D"/>
    <w:rsid w:val="00AF649A"/>
    <w:rsid w:val="00AF7DE2"/>
    <w:rsid w:val="00B050EA"/>
    <w:rsid w:val="00B05588"/>
    <w:rsid w:val="00B0621E"/>
    <w:rsid w:val="00B06C99"/>
    <w:rsid w:val="00B134E3"/>
    <w:rsid w:val="00B13831"/>
    <w:rsid w:val="00B13F4E"/>
    <w:rsid w:val="00B15212"/>
    <w:rsid w:val="00B16443"/>
    <w:rsid w:val="00B16D88"/>
    <w:rsid w:val="00B179DD"/>
    <w:rsid w:val="00B20162"/>
    <w:rsid w:val="00B227D1"/>
    <w:rsid w:val="00B235EF"/>
    <w:rsid w:val="00B313DD"/>
    <w:rsid w:val="00B33C85"/>
    <w:rsid w:val="00B3574A"/>
    <w:rsid w:val="00B35CC0"/>
    <w:rsid w:val="00B422B9"/>
    <w:rsid w:val="00B5034D"/>
    <w:rsid w:val="00B518EC"/>
    <w:rsid w:val="00B533E9"/>
    <w:rsid w:val="00B54D3A"/>
    <w:rsid w:val="00B5515D"/>
    <w:rsid w:val="00B57488"/>
    <w:rsid w:val="00B6350B"/>
    <w:rsid w:val="00B63B03"/>
    <w:rsid w:val="00B74C92"/>
    <w:rsid w:val="00B76B9A"/>
    <w:rsid w:val="00B85AD7"/>
    <w:rsid w:val="00B874F9"/>
    <w:rsid w:val="00B87D43"/>
    <w:rsid w:val="00B92BD8"/>
    <w:rsid w:val="00B94D45"/>
    <w:rsid w:val="00B97BF4"/>
    <w:rsid w:val="00BA00C1"/>
    <w:rsid w:val="00BA152E"/>
    <w:rsid w:val="00BA3EB1"/>
    <w:rsid w:val="00BA52BA"/>
    <w:rsid w:val="00BB0383"/>
    <w:rsid w:val="00BB579A"/>
    <w:rsid w:val="00BB6E04"/>
    <w:rsid w:val="00BC1013"/>
    <w:rsid w:val="00BC2D4C"/>
    <w:rsid w:val="00BC4752"/>
    <w:rsid w:val="00BC7B7D"/>
    <w:rsid w:val="00BC7D0A"/>
    <w:rsid w:val="00BD3FAD"/>
    <w:rsid w:val="00BD7799"/>
    <w:rsid w:val="00BE0717"/>
    <w:rsid w:val="00BE0DED"/>
    <w:rsid w:val="00BE3D9F"/>
    <w:rsid w:val="00BE7F67"/>
    <w:rsid w:val="00BF1D3E"/>
    <w:rsid w:val="00BF4748"/>
    <w:rsid w:val="00BF68E7"/>
    <w:rsid w:val="00BF767A"/>
    <w:rsid w:val="00C0230A"/>
    <w:rsid w:val="00C0423C"/>
    <w:rsid w:val="00C05D28"/>
    <w:rsid w:val="00C07BB4"/>
    <w:rsid w:val="00C11351"/>
    <w:rsid w:val="00C134AF"/>
    <w:rsid w:val="00C136AB"/>
    <w:rsid w:val="00C143CD"/>
    <w:rsid w:val="00C17888"/>
    <w:rsid w:val="00C216FD"/>
    <w:rsid w:val="00C2237F"/>
    <w:rsid w:val="00C226C5"/>
    <w:rsid w:val="00C27249"/>
    <w:rsid w:val="00C31350"/>
    <w:rsid w:val="00C339E8"/>
    <w:rsid w:val="00C35E93"/>
    <w:rsid w:val="00C3711C"/>
    <w:rsid w:val="00C40231"/>
    <w:rsid w:val="00C4122D"/>
    <w:rsid w:val="00C42663"/>
    <w:rsid w:val="00C426AD"/>
    <w:rsid w:val="00C43DB6"/>
    <w:rsid w:val="00C44D2C"/>
    <w:rsid w:val="00C45B6A"/>
    <w:rsid w:val="00C46B2A"/>
    <w:rsid w:val="00C4751E"/>
    <w:rsid w:val="00C47E6E"/>
    <w:rsid w:val="00C51E9B"/>
    <w:rsid w:val="00C51EE3"/>
    <w:rsid w:val="00C529D5"/>
    <w:rsid w:val="00C57150"/>
    <w:rsid w:val="00C578AB"/>
    <w:rsid w:val="00C60E2F"/>
    <w:rsid w:val="00C61156"/>
    <w:rsid w:val="00C619AB"/>
    <w:rsid w:val="00C62E1E"/>
    <w:rsid w:val="00C72D71"/>
    <w:rsid w:val="00C73D26"/>
    <w:rsid w:val="00C744F1"/>
    <w:rsid w:val="00C83CF7"/>
    <w:rsid w:val="00C84A33"/>
    <w:rsid w:val="00C9053C"/>
    <w:rsid w:val="00C91C65"/>
    <w:rsid w:val="00C948C1"/>
    <w:rsid w:val="00C94938"/>
    <w:rsid w:val="00C961FD"/>
    <w:rsid w:val="00CA06A3"/>
    <w:rsid w:val="00CA2E18"/>
    <w:rsid w:val="00CA590E"/>
    <w:rsid w:val="00CA60CF"/>
    <w:rsid w:val="00CA643B"/>
    <w:rsid w:val="00CA66C5"/>
    <w:rsid w:val="00CB4B12"/>
    <w:rsid w:val="00CB797F"/>
    <w:rsid w:val="00CC0BFE"/>
    <w:rsid w:val="00CC1F88"/>
    <w:rsid w:val="00CC358E"/>
    <w:rsid w:val="00CC703E"/>
    <w:rsid w:val="00CC707A"/>
    <w:rsid w:val="00CD0007"/>
    <w:rsid w:val="00CD5545"/>
    <w:rsid w:val="00CE1401"/>
    <w:rsid w:val="00CE2C24"/>
    <w:rsid w:val="00CE3470"/>
    <w:rsid w:val="00CE7D3D"/>
    <w:rsid w:val="00CF019C"/>
    <w:rsid w:val="00CF0252"/>
    <w:rsid w:val="00CF1A45"/>
    <w:rsid w:val="00CF5D76"/>
    <w:rsid w:val="00CF5DA0"/>
    <w:rsid w:val="00CF67AC"/>
    <w:rsid w:val="00D00E1A"/>
    <w:rsid w:val="00D01ECE"/>
    <w:rsid w:val="00D0299D"/>
    <w:rsid w:val="00D05BBB"/>
    <w:rsid w:val="00D11E0F"/>
    <w:rsid w:val="00D12B7A"/>
    <w:rsid w:val="00D170E0"/>
    <w:rsid w:val="00D2188D"/>
    <w:rsid w:val="00D21C4E"/>
    <w:rsid w:val="00D248D8"/>
    <w:rsid w:val="00D24C8A"/>
    <w:rsid w:val="00D269F4"/>
    <w:rsid w:val="00D27BE6"/>
    <w:rsid w:val="00D31AE4"/>
    <w:rsid w:val="00D34CC2"/>
    <w:rsid w:val="00D35052"/>
    <w:rsid w:val="00D35359"/>
    <w:rsid w:val="00D35464"/>
    <w:rsid w:val="00D3596B"/>
    <w:rsid w:val="00D4089D"/>
    <w:rsid w:val="00D45B83"/>
    <w:rsid w:val="00D47E39"/>
    <w:rsid w:val="00D57D6C"/>
    <w:rsid w:val="00D6279F"/>
    <w:rsid w:val="00D6287F"/>
    <w:rsid w:val="00D63947"/>
    <w:rsid w:val="00D65387"/>
    <w:rsid w:val="00D65B1F"/>
    <w:rsid w:val="00D675CF"/>
    <w:rsid w:val="00D731A1"/>
    <w:rsid w:val="00D76532"/>
    <w:rsid w:val="00D81057"/>
    <w:rsid w:val="00D83C78"/>
    <w:rsid w:val="00D83D47"/>
    <w:rsid w:val="00D85CF5"/>
    <w:rsid w:val="00D865D1"/>
    <w:rsid w:val="00D90276"/>
    <w:rsid w:val="00D94291"/>
    <w:rsid w:val="00DA1CA7"/>
    <w:rsid w:val="00DA4B72"/>
    <w:rsid w:val="00DA4FCD"/>
    <w:rsid w:val="00DA5AA1"/>
    <w:rsid w:val="00DB06CC"/>
    <w:rsid w:val="00DB4796"/>
    <w:rsid w:val="00DB77A6"/>
    <w:rsid w:val="00DC3A65"/>
    <w:rsid w:val="00DC3EBF"/>
    <w:rsid w:val="00DC555D"/>
    <w:rsid w:val="00DC5F7A"/>
    <w:rsid w:val="00DD0BA9"/>
    <w:rsid w:val="00DD1D21"/>
    <w:rsid w:val="00DD1E45"/>
    <w:rsid w:val="00DD38C3"/>
    <w:rsid w:val="00DD3AAF"/>
    <w:rsid w:val="00DE0756"/>
    <w:rsid w:val="00DE3D5E"/>
    <w:rsid w:val="00DE5055"/>
    <w:rsid w:val="00DE748D"/>
    <w:rsid w:val="00DF238A"/>
    <w:rsid w:val="00DF2848"/>
    <w:rsid w:val="00DF45EC"/>
    <w:rsid w:val="00DF567F"/>
    <w:rsid w:val="00DF7A74"/>
    <w:rsid w:val="00E031BD"/>
    <w:rsid w:val="00E03632"/>
    <w:rsid w:val="00E0379A"/>
    <w:rsid w:val="00E061AE"/>
    <w:rsid w:val="00E10E0E"/>
    <w:rsid w:val="00E1251F"/>
    <w:rsid w:val="00E12E22"/>
    <w:rsid w:val="00E1315E"/>
    <w:rsid w:val="00E14352"/>
    <w:rsid w:val="00E221DF"/>
    <w:rsid w:val="00E235EF"/>
    <w:rsid w:val="00E23BF4"/>
    <w:rsid w:val="00E252C9"/>
    <w:rsid w:val="00E3477F"/>
    <w:rsid w:val="00E35675"/>
    <w:rsid w:val="00E3620D"/>
    <w:rsid w:val="00E37F35"/>
    <w:rsid w:val="00E37FDB"/>
    <w:rsid w:val="00E41124"/>
    <w:rsid w:val="00E4267D"/>
    <w:rsid w:val="00E430A3"/>
    <w:rsid w:val="00E43410"/>
    <w:rsid w:val="00E444D8"/>
    <w:rsid w:val="00E44DF2"/>
    <w:rsid w:val="00E5048C"/>
    <w:rsid w:val="00E5082E"/>
    <w:rsid w:val="00E51EF0"/>
    <w:rsid w:val="00E52747"/>
    <w:rsid w:val="00E527F6"/>
    <w:rsid w:val="00E52C99"/>
    <w:rsid w:val="00E55CCF"/>
    <w:rsid w:val="00E56055"/>
    <w:rsid w:val="00E60019"/>
    <w:rsid w:val="00E62848"/>
    <w:rsid w:val="00E62D26"/>
    <w:rsid w:val="00E66255"/>
    <w:rsid w:val="00E7174A"/>
    <w:rsid w:val="00E71E15"/>
    <w:rsid w:val="00E7299E"/>
    <w:rsid w:val="00E735C7"/>
    <w:rsid w:val="00E7419F"/>
    <w:rsid w:val="00E74992"/>
    <w:rsid w:val="00E75C31"/>
    <w:rsid w:val="00E77420"/>
    <w:rsid w:val="00E856F0"/>
    <w:rsid w:val="00E91655"/>
    <w:rsid w:val="00E91BF3"/>
    <w:rsid w:val="00E95C02"/>
    <w:rsid w:val="00E977F5"/>
    <w:rsid w:val="00EA1374"/>
    <w:rsid w:val="00EB1F39"/>
    <w:rsid w:val="00EB3EF3"/>
    <w:rsid w:val="00EB3FC6"/>
    <w:rsid w:val="00EB6865"/>
    <w:rsid w:val="00EB75D4"/>
    <w:rsid w:val="00EB7BB6"/>
    <w:rsid w:val="00EC09DD"/>
    <w:rsid w:val="00EC4206"/>
    <w:rsid w:val="00EC7471"/>
    <w:rsid w:val="00EC7C3F"/>
    <w:rsid w:val="00ED0EE2"/>
    <w:rsid w:val="00ED27E0"/>
    <w:rsid w:val="00ED40BE"/>
    <w:rsid w:val="00ED59A3"/>
    <w:rsid w:val="00ED7FBA"/>
    <w:rsid w:val="00EE379A"/>
    <w:rsid w:val="00EE3F27"/>
    <w:rsid w:val="00EE4C2C"/>
    <w:rsid w:val="00EE4F8A"/>
    <w:rsid w:val="00EE6F11"/>
    <w:rsid w:val="00EF0BEA"/>
    <w:rsid w:val="00EF119D"/>
    <w:rsid w:val="00EF2FB4"/>
    <w:rsid w:val="00EF370E"/>
    <w:rsid w:val="00F00862"/>
    <w:rsid w:val="00F014BC"/>
    <w:rsid w:val="00F035A0"/>
    <w:rsid w:val="00F0496A"/>
    <w:rsid w:val="00F11CDA"/>
    <w:rsid w:val="00F13280"/>
    <w:rsid w:val="00F14B59"/>
    <w:rsid w:val="00F15816"/>
    <w:rsid w:val="00F21C4B"/>
    <w:rsid w:val="00F238A0"/>
    <w:rsid w:val="00F27D59"/>
    <w:rsid w:val="00F307A5"/>
    <w:rsid w:val="00F317F7"/>
    <w:rsid w:val="00F31FC7"/>
    <w:rsid w:val="00F32BD9"/>
    <w:rsid w:val="00F36138"/>
    <w:rsid w:val="00F367F5"/>
    <w:rsid w:val="00F36CB1"/>
    <w:rsid w:val="00F45DC7"/>
    <w:rsid w:val="00F46063"/>
    <w:rsid w:val="00F47653"/>
    <w:rsid w:val="00F551CA"/>
    <w:rsid w:val="00F56834"/>
    <w:rsid w:val="00F61869"/>
    <w:rsid w:val="00F62047"/>
    <w:rsid w:val="00F62F72"/>
    <w:rsid w:val="00F64C72"/>
    <w:rsid w:val="00F70E3C"/>
    <w:rsid w:val="00F72852"/>
    <w:rsid w:val="00F73C61"/>
    <w:rsid w:val="00F75CD4"/>
    <w:rsid w:val="00F76CB0"/>
    <w:rsid w:val="00F8161B"/>
    <w:rsid w:val="00F84A8D"/>
    <w:rsid w:val="00F865FD"/>
    <w:rsid w:val="00F86AB9"/>
    <w:rsid w:val="00F8722E"/>
    <w:rsid w:val="00F872F0"/>
    <w:rsid w:val="00F8793B"/>
    <w:rsid w:val="00F87A34"/>
    <w:rsid w:val="00F87AF4"/>
    <w:rsid w:val="00F90188"/>
    <w:rsid w:val="00F970F9"/>
    <w:rsid w:val="00F97722"/>
    <w:rsid w:val="00FA245F"/>
    <w:rsid w:val="00FA3798"/>
    <w:rsid w:val="00FB0F9F"/>
    <w:rsid w:val="00FB1CB7"/>
    <w:rsid w:val="00FB2861"/>
    <w:rsid w:val="00FB2946"/>
    <w:rsid w:val="00FB2C9F"/>
    <w:rsid w:val="00FC0308"/>
    <w:rsid w:val="00FC1202"/>
    <w:rsid w:val="00FC1CCB"/>
    <w:rsid w:val="00FC4CE2"/>
    <w:rsid w:val="00FC58C8"/>
    <w:rsid w:val="00FD08D8"/>
    <w:rsid w:val="00FD47E5"/>
    <w:rsid w:val="00FD685C"/>
    <w:rsid w:val="00FD7BFE"/>
    <w:rsid w:val="00FF3E9F"/>
    <w:rsid w:val="00FF4137"/>
    <w:rsid w:val="00FF417F"/>
    <w:rsid w:val="00FF7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6B553DFC"/>
  <w15:chartTrackingRefBased/>
  <w15:docId w15:val="{77362C3F-4E5A-44B0-85CB-8DF43922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3" w:qFormat="1"/>
    <w:lsdException w:name="heading 3" w:uiPriority="4" w:qFormat="1"/>
    <w:lsdException w:name="heading 4" w:uiPriority="5"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12"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CD4"/>
    <w:pPr>
      <w:tabs>
        <w:tab w:val="left" w:pos="567"/>
      </w:tabs>
      <w:spacing w:before="120" w:after="120"/>
    </w:pPr>
    <w:rPr>
      <w:rFonts w:asciiTheme="minorHAnsi" w:hAnsiTheme="minorHAnsi"/>
      <w:sz w:val="24"/>
      <w:szCs w:val="22"/>
      <w:lang w:eastAsia="en-US"/>
    </w:rPr>
  </w:style>
  <w:style w:type="paragraph" w:styleId="Heading1">
    <w:name w:val="heading 1"/>
    <w:basedOn w:val="Normal"/>
    <w:next w:val="Normal"/>
    <w:link w:val="Heading1Char"/>
    <w:uiPriority w:val="1"/>
    <w:qFormat/>
    <w:rsid w:val="00A5158F"/>
    <w:pPr>
      <w:spacing w:before="600" w:after="0"/>
      <w:outlineLvl w:val="0"/>
    </w:pPr>
    <w:rPr>
      <w:b/>
      <w:sz w:val="48"/>
      <w:szCs w:val="48"/>
    </w:rPr>
  </w:style>
  <w:style w:type="paragraph" w:styleId="Heading2">
    <w:name w:val="heading 2"/>
    <w:next w:val="Normal"/>
    <w:link w:val="Heading2Char"/>
    <w:uiPriority w:val="3"/>
    <w:qFormat/>
    <w:rsid w:val="007D7556"/>
    <w:pPr>
      <w:keepNext/>
      <w:numPr>
        <w:numId w:val="55"/>
      </w:numPr>
      <w:spacing w:before="240"/>
      <w:outlineLvl w:val="1"/>
    </w:pPr>
    <w:rPr>
      <w:rFonts w:asciiTheme="minorHAnsi" w:eastAsia="Times New Roman" w:hAnsiTheme="minorHAnsi"/>
      <w:b/>
      <w:bCs/>
      <w:color w:val="000000"/>
      <w:sz w:val="28"/>
      <w:szCs w:val="28"/>
    </w:rPr>
  </w:style>
  <w:style w:type="paragraph" w:styleId="Heading3">
    <w:name w:val="heading 3"/>
    <w:next w:val="Normal"/>
    <w:link w:val="Heading3Char"/>
    <w:uiPriority w:val="4"/>
    <w:qFormat/>
    <w:rsid w:val="007C529C"/>
    <w:pPr>
      <w:keepNext/>
      <w:keepLines/>
      <w:numPr>
        <w:ilvl w:val="1"/>
        <w:numId w:val="55"/>
      </w:numPr>
      <w:spacing w:before="240"/>
      <w:outlineLvl w:val="2"/>
    </w:pPr>
    <w:rPr>
      <w:rFonts w:asciiTheme="minorHAnsi" w:eastAsia="Times New Roman" w:hAnsiTheme="minorHAnsi"/>
      <w:b/>
      <w:bCs/>
      <w:color w:val="000000"/>
      <w:sz w:val="24"/>
      <w:szCs w:val="28"/>
    </w:rPr>
  </w:style>
  <w:style w:type="paragraph" w:styleId="Heading4">
    <w:name w:val="heading 4"/>
    <w:basedOn w:val="Heading3"/>
    <w:next w:val="Normal"/>
    <w:link w:val="Heading4Char"/>
    <w:uiPriority w:val="5"/>
    <w:qFormat/>
    <w:rsid w:val="004901C8"/>
    <w:pPr>
      <w:outlineLvl w:val="3"/>
    </w:pPr>
    <w:rPr>
      <w:rFonts w:cs="Mangal"/>
      <w:color w:val="auto"/>
      <w:szCs w:val="22"/>
      <w:lang w:val="x-none" w:eastAsia="x-none" w:bidi="hi-IN"/>
    </w:rPr>
  </w:style>
  <w:style w:type="paragraph" w:styleId="Heading5">
    <w:name w:val="heading 5"/>
    <w:basedOn w:val="Heading3"/>
    <w:next w:val="Normal"/>
    <w:link w:val="Heading5Char"/>
    <w:uiPriority w:val="9"/>
    <w:qFormat/>
    <w:pPr>
      <w:spacing w:before="120" w:line="276" w:lineRule="auto"/>
      <w:outlineLvl w:val="4"/>
    </w:pPr>
    <w:rPr>
      <w:rFonts w:cs="Mangal"/>
      <w:iCs/>
      <w:color w:val="auto"/>
      <w:sz w:val="22"/>
      <w:szCs w:val="22"/>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rFonts w:eastAsia="Times New Roman" w:cs="Mangal"/>
      <w:sz w:val="20"/>
      <w:szCs w:val="20"/>
      <w:lang w:val="x-none" w:eastAsia="x-none" w:bidi="hi-IN"/>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pPr>
      <w:tabs>
        <w:tab w:val="center" w:pos="4820"/>
      </w:tabs>
      <w:jc w:val="center"/>
    </w:pPr>
    <w:rPr>
      <w:rFonts w:eastAsia="Times New Roman" w:cs="Mangal"/>
      <w:sz w:val="20"/>
      <w:szCs w:val="20"/>
      <w:lang w:val="x-none" w:eastAsia="x-none" w:bidi="hi-IN"/>
    </w:rPr>
  </w:style>
  <w:style w:type="character" w:customStyle="1" w:styleId="HeaderChar">
    <w:name w:val="Header Char"/>
    <w:link w:val="Header"/>
    <w:rPr>
      <w:rFonts w:ascii="Calibri" w:eastAsia="Times New Roman" w:hAnsi="Calibri"/>
      <w:sz w:val="20"/>
    </w:rPr>
  </w:style>
  <w:style w:type="paragraph" w:styleId="Footer">
    <w:name w:val="footer"/>
    <w:basedOn w:val="Normal"/>
    <w:link w:val="FooterChar"/>
    <w:uiPriority w:val="99"/>
    <w:pPr>
      <w:pBdr>
        <w:top w:val="single" w:sz="4" w:space="10" w:color="auto"/>
      </w:pBdr>
      <w:tabs>
        <w:tab w:val="center" w:pos="4536"/>
      </w:tabs>
      <w:spacing w:before="0"/>
      <w:jc w:val="right"/>
    </w:pPr>
    <w:rPr>
      <w:rFonts w:cs="Mangal"/>
      <w:sz w:val="20"/>
      <w:lang w:val="x-none" w:eastAsia="x-none" w:bidi="hi-IN"/>
    </w:rPr>
  </w:style>
  <w:style w:type="character" w:customStyle="1" w:styleId="FooterChar">
    <w:name w:val="Footer Char"/>
    <w:link w:val="Footer"/>
    <w:uiPriority w:val="99"/>
    <w:rPr>
      <w:rFonts w:ascii="Calibri" w:eastAsia="Calibri" w:hAnsi="Calibri" w:cs="Times New Roman"/>
      <w:sz w:val="20"/>
      <w:szCs w:val="22"/>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Lucida Grande" w:eastAsia="Times New Roman" w:hAnsi="Lucida Grande" w:cs="Mangal"/>
      <w:sz w:val="18"/>
      <w:szCs w:val="18"/>
      <w:lang w:val="x-none" w:eastAsia="x-none" w:bidi="hi-IN"/>
    </w:rPr>
  </w:style>
  <w:style w:type="character" w:customStyle="1" w:styleId="BalloonTextChar">
    <w:name w:val="Balloon Text Char"/>
    <w:link w:val="BalloonText"/>
    <w:uiPriority w:val="99"/>
    <w:semiHidden/>
    <w:rPr>
      <w:rFonts w:ascii="Lucida Grande" w:eastAsia="Times New Roman" w:hAnsi="Lucida Grande"/>
      <w:sz w:val="18"/>
      <w:szCs w:val="18"/>
    </w:rPr>
  </w:style>
  <w:style w:type="table" w:styleId="TableGrid">
    <w:name w:val="Table Grid"/>
    <w:basedOn w:val="TableNormal"/>
    <w:uiPriority w:val="59"/>
    <w:pPr>
      <w:spacing w:before="60" w:after="60"/>
    </w:pPr>
    <w:rPr>
      <w:rFonts w:ascii="Cambria" w:eastAsia="Times New Roman"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rFonts w:ascii="Cambria" w:hAnsi="Cambria"/>
      <w:sz w:val="16"/>
    </w:rPr>
  </w:style>
  <w:style w:type="table" w:customStyle="1" w:styleId="TableGrid5">
    <w:name w:val="Table Grid5"/>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A5158F"/>
    <w:rPr>
      <w:rFonts w:asciiTheme="minorHAnsi" w:hAnsiTheme="minorHAnsi"/>
      <w:b/>
      <w:sz w:val="48"/>
      <w:szCs w:val="48"/>
      <w:lang w:eastAsia="en-US"/>
    </w:rPr>
  </w:style>
  <w:style w:type="table" w:customStyle="1" w:styleId="TableGrid6">
    <w:name w:val="Table Grid6"/>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3"/>
    <w:rsid w:val="007D7556"/>
    <w:rPr>
      <w:rFonts w:asciiTheme="minorHAnsi" w:eastAsia="Times New Roman" w:hAnsiTheme="minorHAnsi"/>
      <w:b/>
      <w:bCs/>
      <w:color w:val="000000"/>
      <w:sz w:val="28"/>
      <w:szCs w:val="28"/>
    </w:rPr>
  </w:style>
  <w:style w:type="character" w:customStyle="1" w:styleId="Heading3Char">
    <w:name w:val="Heading 3 Char"/>
    <w:link w:val="Heading3"/>
    <w:uiPriority w:val="4"/>
    <w:rsid w:val="007C529C"/>
    <w:rPr>
      <w:rFonts w:asciiTheme="minorHAnsi" w:eastAsia="Times New Roman" w:hAnsiTheme="minorHAnsi"/>
      <w:b/>
      <w:bCs/>
      <w:color w:val="000000"/>
      <w:sz w:val="24"/>
      <w:szCs w:val="28"/>
    </w:rPr>
  </w:style>
  <w:style w:type="character" w:customStyle="1" w:styleId="Heading4Char">
    <w:name w:val="Heading 4 Char"/>
    <w:link w:val="Heading4"/>
    <w:uiPriority w:val="5"/>
    <w:rsid w:val="004901C8"/>
    <w:rPr>
      <w:rFonts w:asciiTheme="minorHAnsi" w:eastAsia="Times New Roman" w:hAnsiTheme="minorHAnsi" w:cs="Mangal"/>
      <w:b/>
      <w:bCs/>
      <w:sz w:val="24"/>
      <w:szCs w:val="22"/>
      <w:lang w:val="x-none" w:eastAsia="x-none" w:bidi="hi-IN"/>
    </w:rPr>
  </w:style>
  <w:style w:type="character" w:customStyle="1" w:styleId="Heading5Char">
    <w:name w:val="Heading 5 Char"/>
    <w:link w:val="Heading5"/>
    <w:uiPriority w:val="9"/>
    <w:rPr>
      <w:rFonts w:asciiTheme="minorHAnsi" w:eastAsia="Times New Roman" w:hAnsiTheme="minorHAnsi" w:cs="Mangal"/>
      <w:b/>
      <w:bCs/>
      <w:iCs/>
      <w:sz w:val="22"/>
      <w:szCs w:val="22"/>
      <w:lang w:val="x-none" w:eastAsia="x-none" w:bidi="hi-IN"/>
    </w:rPr>
  </w:style>
  <w:style w:type="paragraph" w:styleId="Caption">
    <w:name w:val="caption"/>
    <w:basedOn w:val="Normal"/>
    <w:next w:val="Normal"/>
    <w:uiPriority w:val="12"/>
    <w:qFormat/>
    <w:pPr>
      <w:keepNext/>
      <w:spacing w:before="360" w:after="100"/>
    </w:pPr>
    <w:rPr>
      <w:b/>
      <w:bCs/>
      <w:color w:val="404040"/>
      <w:szCs w:val="18"/>
    </w:rPr>
  </w:style>
  <w:style w:type="paragraph" w:customStyle="1" w:styleId="Figuretablenotesource">
    <w:name w:val="Figure/table note/source"/>
    <w:basedOn w:val="FigureTableNoteSource0"/>
    <w:next w:val="Normal"/>
    <w:qFormat/>
  </w:style>
  <w:style w:type="paragraph" w:customStyle="1" w:styleId="TOCHeading1">
    <w:name w:val="TOC Heading1"/>
    <w:basedOn w:val="Heading1"/>
    <w:next w:val="Normal"/>
    <w:uiPriority w:val="39"/>
    <w:qFormat/>
    <w:pPr>
      <w:spacing w:before="480" w:line="276" w:lineRule="auto"/>
      <w:outlineLvl w:val="9"/>
    </w:pPr>
    <w:rPr>
      <w:lang w:val="en-US"/>
    </w:rPr>
  </w:style>
  <w:style w:type="paragraph" w:styleId="TOC1">
    <w:name w:val="toc 1"/>
    <w:basedOn w:val="Normal"/>
    <w:next w:val="Normal"/>
    <w:uiPriority w:val="39"/>
    <w:qFormat/>
    <w:rsid w:val="006B7888"/>
    <w:pPr>
      <w:tabs>
        <w:tab w:val="clear" w:pos="567"/>
      </w:tabs>
      <w:spacing w:before="240"/>
    </w:pPr>
    <w:rPr>
      <w:b/>
      <w:bCs/>
      <w:szCs w:val="20"/>
    </w:rPr>
  </w:style>
  <w:style w:type="paragraph" w:styleId="TOC2">
    <w:name w:val="toc 2"/>
    <w:basedOn w:val="Normal"/>
    <w:next w:val="Normal"/>
    <w:autoRedefine/>
    <w:uiPriority w:val="39"/>
    <w:qFormat/>
    <w:pPr>
      <w:tabs>
        <w:tab w:val="clear" w:pos="567"/>
        <w:tab w:val="right" w:pos="9402"/>
      </w:tabs>
      <w:spacing w:after="0"/>
    </w:pPr>
    <w:rPr>
      <w:iCs/>
      <w:noProof/>
      <w:sz w:val="20"/>
      <w:szCs w:val="20"/>
    </w:rPr>
  </w:style>
  <w:style w:type="paragraph" w:styleId="TOC3">
    <w:name w:val="toc 3"/>
    <w:basedOn w:val="Normal"/>
    <w:next w:val="Normal"/>
    <w:autoRedefine/>
    <w:uiPriority w:val="39"/>
    <w:qFormat/>
    <w:pPr>
      <w:tabs>
        <w:tab w:val="clear" w:pos="567"/>
        <w:tab w:val="left" w:pos="1100"/>
        <w:tab w:val="right" w:pos="9402"/>
      </w:tabs>
      <w:spacing w:before="0" w:after="0"/>
      <w:ind w:left="480"/>
    </w:pPr>
    <w:rPr>
      <w:sz w:val="20"/>
      <w:szCs w:val="20"/>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48"/>
      </w:numPr>
      <w:tabs>
        <w:tab w:val="clear" w:pos="567"/>
      </w:tabs>
    </w:pPr>
    <w:rPr>
      <w:rFonts w:eastAsiaTheme="minorHAnsi" w:cstheme="minorBidi"/>
    </w:rPr>
  </w:style>
  <w:style w:type="paragraph" w:styleId="TableofFigures">
    <w:name w:val="table of figures"/>
    <w:basedOn w:val="Normal"/>
    <w:next w:val="Normal"/>
    <w:uiPriority w:val="99"/>
    <w:pPr>
      <w:tabs>
        <w:tab w:val="clear" w:pos="567"/>
      </w:tabs>
      <w:spacing w:before="0" w:after="0"/>
      <w:ind w:left="480" w:hanging="480"/>
    </w:pPr>
    <w:rPr>
      <w:b/>
      <w:bCs/>
      <w:sz w:val="20"/>
      <w:szCs w:val="20"/>
    </w:rPr>
  </w:style>
  <w:style w:type="paragraph" w:styleId="ListBullet2">
    <w:name w:val="List Bullet 2"/>
    <w:basedOn w:val="Normal"/>
    <w:uiPriority w:val="8"/>
    <w:qFormat/>
    <w:pPr>
      <w:numPr>
        <w:ilvl w:val="1"/>
        <w:numId w:val="48"/>
      </w:numPr>
      <w:tabs>
        <w:tab w:val="clear" w:pos="567"/>
      </w:tabs>
    </w:pPr>
  </w:style>
  <w:style w:type="paragraph" w:styleId="ListNumber">
    <w:name w:val="List Number"/>
    <w:uiPriority w:val="9"/>
    <w:qFormat/>
    <w:pPr>
      <w:numPr>
        <w:numId w:val="3"/>
      </w:numPr>
      <w:tabs>
        <w:tab w:val="left" w:pos="567"/>
      </w:tabs>
      <w:spacing w:before="240"/>
    </w:pPr>
    <w:rPr>
      <w:sz w:val="24"/>
      <w:szCs w:val="22"/>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Grid1"/>
    <w:uiPriority w:val="60"/>
    <w:rPr>
      <w:color w:val="E36C0A"/>
      <w:lang w:eastAsia="en-GB" w:bidi="hi-I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27"/>
    <w:qFormat/>
    <w:pPr>
      <w:spacing w:before="60" w:after="60"/>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qFormat/>
    <w:pPr>
      <w:keepNext/>
    </w:pPr>
    <w:rPr>
      <w:b/>
    </w:rPr>
  </w:style>
  <w:style w:type="character" w:customStyle="1" w:styleId="PlaceholderText1">
    <w:name w:val="Placeholder Text1"/>
    <w:uiPriority w:val="99"/>
    <w:semiHidden/>
    <w:rPr>
      <w:color w:val="808080"/>
    </w:rPr>
  </w:style>
  <w:style w:type="character" w:styleId="Strong">
    <w:name w:val="Strong"/>
    <w:uiPriority w:val="99"/>
    <w:qFormat/>
    <w:rPr>
      <w:b/>
      <w:bCs/>
    </w:rPr>
  </w:style>
  <w:style w:type="paragraph" w:customStyle="1" w:styleId="Glossary">
    <w:name w:val="Glossary"/>
    <w:basedOn w:val="Normal"/>
    <w:link w:val="GlossaryChar"/>
    <w:qFormat/>
    <w:pPr>
      <w:tabs>
        <w:tab w:val="left" w:pos="1701"/>
      </w:tabs>
      <w:ind w:left="3686" w:hanging="3686"/>
    </w:pPr>
    <w:rPr>
      <w:rFonts w:cs="Mangal"/>
      <w:color w:val="000000"/>
      <w:sz w:val="20"/>
      <w:lang w:val="x-none" w:eastAsia="x-none" w:bidi="hi-IN"/>
    </w:rPr>
  </w:style>
  <w:style w:type="character" w:customStyle="1" w:styleId="GlossaryChar">
    <w:name w:val="Glossary Char"/>
    <w:link w:val="Glossary"/>
    <w:rPr>
      <w:rFonts w:eastAsia="Calibri" w:cs="Times New Roman"/>
      <w:color w:val="000000"/>
      <w:szCs w:val="22"/>
    </w:rPr>
  </w:style>
  <w:style w:type="character" w:styleId="Emphasis">
    <w:name w:val="Emphasis"/>
    <w:uiPriority w:val="20"/>
    <w:qFormat/>
    <w:rPr>
      <w:i/>
      <w:iCs/>
    </w:rPr>
  </w:style>
  <w:style w:type="paragraph" w:styleId="TOAHeading">
    <w:name w:val="toa heading"/>
    <w:basedOn w:val="Heading1"/>
    <w:next w:val="Normal"/>
    <w:uiPriority w:val="99"/>
    <w:semiHidden/>
    <w:unhideWhenUsed/>
    <w:rPr>
      <w:bCs/>
      <w:sz w:val="24"/>
    </w:rPr>
  </w:style>
  <w:style w:type="paragraph" w:customStyle="1" w:styleId="Tabletextbullet">
    <w:name w:val="Table text bullet"/>
    <w:basedOn w:val="Tabletext"/>
    <w:qFormat/>
    <w:pPr>
      <w:numPr>
        <w:numId w:val="1"/>
      </w:numPr>
      <w:ind w:left="284" w:hanging="284"/>
    </w:pPr>
  </w:style>
  <w:style w:type="paragraph" w:styleId="DocumentMap">
    <w:name w:val="Document Map"/>
    <w:basedOn w:val="Normal"/>
    <w:link w:val="DocumentMapChar"/>
    <w:uiPriority w:val="99"/>
    <w:semiHidden/>
    <w:unhideWhenUsed/>
    <w:pPr>
      <w:spacing w:before="0" w:after="0"/>
    </w:pPr>
    <w:rPr>
      <w:rFonts w:ascii="Tahoma" w:eastAsia="Times New Roman" w:hAnsi="Tahoma" w:cs="Mangal"/>
      <w:sz w:val="16"/>
      <w:szCs w:val="16"/>
      <w:lang w:val="x-none" w:eastAsia="x-none" w:bidi="hi-IN"/>
    </w:rPr>
  </w:style>
  <w:style w:type="character" w:customStyle="1" w:styleId="DocumentMapChar">
    <w:name w:val="Document Map Char"/>
    <w:link w:val="DocumentMap"/>
    <w:uiPriority w:val="99"/>
    <w:semiHidden/>
    <w:rPr>
      <w:rFonts w:ascii="Tahoma" w:eastAsia="Times New Roman" w:hAnsi="Tahoma" w:cs="Tahoma"/>
      <w:sz w:val="16"/>
      <w:szCs w:val="16"/>
    </w:rPr>
  </w:style>
  <w:style w:type="numbering" w:customStyle="1" w:styleId="AppendixC3List">
    <w:name w:val="Appendix C 3 List"/>
    <w:pPr>
      <w:numPr>
        <w:numId w:val="4"/>
      </w:numPr>
    </w:pPr>
  </w:style>
  <w:style w:type="numbering" w:customStyle="1" w:styleId="Part1">
    <w:name w:val="Part 1"/>
    <w:uiPriority w:val="99"/>
    <w:pPr>
      <w:numPr>
        <w:numId w:val="2"/>
      </w:numPr>
    </w:pPr>
  </w:style>
  <w:style w:type="paragraph" w:customStyle="1" w:styleId="Recommendation">
    <w:name w:val="Recommendation"/>
    <w:basedOn w:val="Normal"/>
    <w:qFormat/>
    <w:pPr>
      <w:keepNext/>
      <w:keepLines/>
      <w:pBdr>
        <w:top w:val="single" w:sz="4" w:space="1" w:color="auto"/>
        <w:left w:val="single" w:sz="4" w:space="4" w:color="auto"/>
        <w:bottom w:val="single" w:sz="4" w:space="1" w:color="auto"/>
        <w:right w:val="single" w:sz="4" w:space="4" w:color="auto"/>
      </w:pBdr>
      <w:spacing w:before="360"/>
    </w:pPr>
    <w:rPr>
      <w:rFonts w:cs="Arial"/>
      <w:b/>
      <w:szCs w:val="24"/>
      <w:shd w:val="clear" w:color="auto" w:fill="FFFFFF"/>
    </w:rPr>
  </w:style>
  <w:style w:type="table" w:customStyle="1" w:styleId="TableGrid10">
    <w:name w:val="Table Grid1"/>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pPr>
      <w:spacing w:before="0" w:after="0"/>
    </w:pPr>
    <w:rPr>
      <w:rFonts w:cs="Mangal"/>
      <w:sz w:val="20"/>
      <w:szCs w:val="20"/>
      <w:lang w:val="x-none" w:eastAsia="x-none" w:bidi="hi-IN"/>
    </w:rPr>
  </w:style>
  <w:style w:type="character" w:customStyle="1" w:styleId="FootnoteTextChar">
    <w:name w:val="Footnote Text Char"/>
    <w:link w:val="FootnoteText"/>
    <w:uiPriority w:val="99"/>
    <w:rPr>
      <w:rFonts w:eastAsia="Calibri" w:cs="Times New Roman"/>
      <w:sz w:val="20"/>
      <w:szCs w:val="20"/>
    </w:rPr>
  </w:style>
  <w:style w:type="character" w:styleId="FootnoteReference">
    <w:name w:val="footnote reference"/>
    <w:uiPriority w:val="99"/>
    <w:unhideWhenUsed/>
    <w:rPr>
      <w:vertAlign w:val="superscript"/>
    </w:rPr>
  </w:style>
  <w:style w:type="table" w:customStyle="1" w:styleId="TableGrid4">
    <w:name w:val="Table Grid4"/>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Pr>
      <w:sz w:val="24"/>
      <w:szCs w:val="22"/>
      <w:lang w:eastAsia="en-US"/>
    </w:rPr>
  </w:style>
  <w:style w:type="character" w:styleId="FollowedHyperlink">
    <w:name w:val="FollowedHyperlink"/>
    <w:uiPriority w:val="99"/>
    <w:semiHidden/>
    <w:unhideWhenUsed/>
    <w:rPr>
      <w:color w:val="800080"/>
      <w:u w:val="single"/>
    </w:rPr>
  </w:style>
  <w:style w:type="paragraph" w:styleId="TOCHeading">
    <w:name w:val="TOC Heading"/>
    <w:basedOn w:val="Heading1"/>
    <w:next w:val="Normal"/>
    <w:uiPriority w:val="39"/>
    <w:unhideWhenUsed/>
    <w:qFormat/>
    <w:pPr>
      <w:spacing w:before="480" w:line="276" w:lineRule="auto"/>
      <w:outlineLvl w:val="9"/>
    </w:pPr>
    <w:rPr>
      <w:color w:val="365F91"/>
      <w:sz w:val="28"/>
      <w:lang w:val="en-US"/>
    </w:rPr>
  </w:style>
  <w:style w:type="paragraph" w:customStyle="1" w:styleId="Default">
    <w:name w:val="Default"/>
    <w:pPr>
      <w:autoSpaceDE w:val="0"/>
      <w:autoSpaceDN w:val="0"/>
      <w:adjustRightInd w:val="0"/>
    </w:pPr>
    <w:rPr>
      <w:rFonts w:cs="Calibri"/>
      <w:color w:val="000000"/>
      <w:sz w:val="24"/>
      <w:szCs w:val="24"/>
      <w:lang w:eastAsia="en-US"/>
    </w:rPr>
  </w:style>
  <w:style w:type="paragraph" w:customStyle="1" w:styleId="BodyText1">
    <w:name w:val="Body Text1"/>
    <w:uiPriority w:val="9"/>
    <w:qFormat/>
    <w:pPr>
      <w:spacing w:after="200" w:line="280" w:lineRule="atLeast"/>
    </w:pPr>
    <w:rPr>
      <w:rFonts w:ascii="Cambria" w:hAnsi="Cambria"/>
      <w:color w:val="000000"/>
      <w:sz w:val="22"/>
      <w:szCs w:val="22"/>
      <w:lang w:eastAsia="en-US"/>
    </w:rPr>
  </w:style>
  <w:style w:type="character" w:customStyle="1" w:styleId="Bold">
    <w:name w:val="Bold"/>
    <w:qFormat/>
    <w:rPr>
      <w:b/>
    </w:rPr>
  </w:style>
  <w:style w:type="paragraph" w:customStyle="1" w:styleId="Copyrightpageheading">
    <w:name w:val="Copyright page heading"/>
    <w:next w:val="BodyText"/>
    <w:link w:val="CopyrightpageheadingChar"/>
    <w:uiPriority w:val="99"/>
    <w:qFormat/>
    <w:pPr>
      <w:spacing w:after="60"/>
    </w:pPr>
    <w:rPr>
      <w:b/>
      <w:sz w:val="18"/>
      <w:szCs w:val="22"/>
      <w:lang w:eastAsia="en-US"/>
    </w:rPr>
  </w:style>
  <w:style w:type="character" w:customStyle="1" w:styleId="TabletextChar">
    <w:name w:val="Table text Char"/>
    <w:link w:val="Tabletext"/>
    <w:uiPriority w:val="27"/>
    <w:rPr>
      <w:sz w:val="18"/>
      <w:szCs w:val="22"/>
      <w:lang w:eastAsia="en-US"/>
    </w:rPr>
  </w:style>
  <w:style w:type="character" w:customStyle="1" w:styleId="CopyrightpageheadingChar">
    <w:name w:val="Copyright page heading Char"/>
    <w:link w:val="Copyrightpageheading"/>
    <w:uiPriority w:val="99"/>
    <w:rPr>
      <w:b/>
      <w:sz w:val="18"/>
      <w:szCs w:val="22"/>
      <w:lang w:val="en-AU" w:eastAsia="en-US" w:bidi="ar-SA"/>
    </w:rPr>
  </w:style>
  <w:style w:type="paragraph" w:styleId="Quote">
    <w:name w:val="Quote"/>
    <w:next w:val="Normal"/>
    <w:link w:val="QuoteChar"/>
    <w:uiPriority w:val="18"/>
    <w:qFormat/>
    <w:pPr>
      <w:spacing w:before="240" w:after="120"/>
      <w:ind w:left="851" w:right="851"/>
      <w:contextualSpacing/>
    </w:pPr>
    <w:rPr>
      <w:sz w:val="22"/>
      <w:szCs w:val="22"/>
      <w:lang w:eastAsia="en-US"/>
    </w:rPr>
  </w:style>
  <w:style w:type="character" w:customStyle="1" w:styleId="QuoteChar">
    <w:name w:val="Quote Char"/>
    <w:link w:val="Quote"/>
    <w:uiPriority w:val="18"/>
    <w:rPr>
      <w:sz w:val="22"/>
      <w:szCs w:val="22"/>
      <w:lang w:eastAsia="en-US"/>
    </w:rPr>
  </w:style>
  <w:style w:type="paragraph" w:styleId="BodyText">
    <w:name w:val="Body Text"/>
    <w:basedOn w:val="Normal"/>
    <w:link w:val="BodyTextChar"/>
    <w:uiPriority w:val="99"/>
    <w:unhideWhenUsed/>
  </w:style>
  <w:style w:type="character" w:customStyle="1" w:styleId="BodyTextChar">
    <w:name w:val="Body Text Char"/>
    <w:link w:val="BodyText"/>
    <w:uiPriority w:val="99"/>
    <w:rPr>
      <w:sz w:val="24"/>
      <w:szCs w:val="22"/>
      <w:lang w:eastAsia="en-US"/>
    </w:rPr>
  </w:style>
  <w:style w:type="paragraph" w:styleId="Revision">
    <w:name w:val="Revision"/>
    <w:hidden/>
    <w:uiPriority w:val="99"/>
    <w:semiHidden/>
    <w:rPr>
      <w:sz w:val="24"/>
      <w:szCs w:val="22"/>
      <w:lang w:eastAsia="en-US"/>
    </w:rPr>
  </w:style>
  <w:style w:type="numbering" w:customStyle="1" w:styleId="Part2">
    <w:name w:val="Part 2"/>
    <w:uiPriority w:val="99"/>
    <w:pPr>
      <w:numPr>
        <w:numId w:val="10"/>
      </w:numPr>
    </w:pPr>
  </w:style>
  <w:style w:type="numbering" w:customStyle="1" w:styleId="LFO8">
    <w:name w:val="LFO8"/>
    <w:basedOn w:val="NoList"/>
    <w:pPr>
      <w:numPr>
        <w:numId w:val="6"/>
      </w:numPr>
    </w:pPr>
  </w:style>
  <w:style w:type="paragraph" w:styleId="ListNumber2">
    <w:name w:val="List Number 2"/>
    <w:uiPriority w:val="10"/>
    <w:unhideWhenUsed/>
    <w:qFormat/>
    <w:pPr>
      <w:keepNext/>
      <w:numPr>
        <w:ilvl w:val="1"/>
        <w:numId w:val="8"/>
      </w:numPr>
      <w:spacing w:before="120"/>
    </w:pPr>
    <w:rPr>
      <w:sz w:val="24"/>
      <w:szCs w:val="22"/>
      <w:lang w:eastAsia="en-US"/>
    </w:rPr>
  </w:style>
  <w:style w:type="character" w:customStyle="1" w:styleId="apple-converted-space">
    <w:name w:val="apple-converted-space"/>
  </w:style>
  <w:style w:type="paragraph" w:customStyle="1" w:styleId="TableHeading0">
    <w:name w:val="Table Heading"/>
    <w:basedOn w:val="Tabletext"/>
    <w:uiPriority w:val="14"/>
    <w:qFormat/>
    <w:pPr>
      <w:keepNext/>
      <w:tabs>
        <w:tab w:val="clear" w:pos="567"/>
      </w:tabs>
    </w:pPr>
    <w:rPr>
      <w:rFonts w:ascii="Cambria" w:hAnsi="Cambria"/>
      <w:b/>
    </w:rPr>
  </w:style>
  <w:style w:type="table" w:styleId="GridTable1Light-Accent3">
    <w:name w:val="Grid Table 1 Light Accent 3"/>
    <w:basedOn w:val="TableNormal"/>
    <w:uiPriority w:val="46"/>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1">
    <w:name w:val="List1"/>
    <w:basedOn w:val="NoList"/>
    <w:uiPriority w:val="99"/>
    <w:pPr>
      <w:numPr>
        <w:numId w:val="24"/>
      </w:numPr>
    </w:pPr>
  </w:style>
  <w:style w:type="paragraph" w:styleId="ListNumber3">
    <w:name w:val="List Number 3"/>
    <w:uiPriority w:val="11"/>
    <w:qFormat/>
    <w:pPr>
      <w:spacing w:before="120" w:after="120" w:line="264" w:lineRule="auto"/>
      <w:ind w:left="1077" w:hanging="170"/>
    </w:pPr>
    <w:rPr>
      <w:rFonts w:ascii="Cambria" w:eastAsia="Times New Roman" w:hAnsi="Cambria"/>
      <w:sz w:val="22"/>
      <w:szCs w:val="24"/>
      <w:lang w:eastAsia="en-US"/>
    </w:rPr>
  </w:style>
  <w:style w:type="paragraph" w:customStyle="1" w:styleId="DisseminationLimitingMarker">
    <w:name w:val="Dissemination Limiting Marker"/>
    <w:next w:val="Normal"/>
    <w:uiPriority w:val="27"/>
    <w:pPr>
      <w:tabs>
        <w:tab w:val="center" w:pos="4820"/>
      </w:tabs>
      <w:jc w:val="center"/>
    </w:pPr>
    <w:rPr>
      <w:b/>
      <w:color w:val="FF0000"/>
      <w:sz w:val="36"/>
      <w:szCs w:val="36"/>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tabs>
        <w:tab w:val="clear" w:pos="567"/>
      </w:tabs>
    </w:pPr>
    <w:rPr>
      <w:rFonts w:ascii="Cambria" w:hAnsi="Cambria"/>
      <w:sz w:val="20"/>
    </w:rPr>
  </w:style>
  <w:style w:type="paragraph" w:customStyle="1" w:styleId="FigureTableNoteSource0">
    <w:name w:val="Figure/Table Note/Source"/>
    <w:basedOn w:val="Normal"/>
    <w:next w:val="Normal"/>
    <w:uiPriority w:val="16"/>
    <w:qFormat/>
    <w:pPr>
      <w:tabs>
        <w:tab w:val="clear" w:pos="567"/>
      </w:tabs>
      <w:spacing w:after="0" w:line="264" w:lineRule="auto"/>
      <w:contextualSpacing/>
    </w:pPr>
    <w:rPr>
      <w:rFonts w:ascii="Cambria" w:hAnsi="Cambria"/>
      <w:sz w:val="18"/>
    </w:rPr>
  </w:style>
  <w:style w:type="paragraph" w:customStyle="1" w:styleId="BasicParagraph">
    <w:name w:val="[Basic Paragraph]"/>
    <w:basedOn w:val="Normal"/>
    <w:uiPriority w:val="99"/>
    <w:pPr>
      <w:widowControl w:val="0"/>
      <w:tabs>
        <w:tab w:val="clear" w:pos="567"/>
      </w:tabs>
      <w:autoSpaceDE w:val="0"/>
      <w:autoSpaceDN w:val="0"/>
      <w:adjustRightInd w:val="0"/>
      <w:spacing w:before="0" w:after="0" w:line="288" w:lineRule="auto"/>
      <w:textAlignment w:val="center"/>
    </w:pPr>
    <w:rPr>
      <w:rFonts w:ascii="MinionPro-Regular" w:eastAsiaTheme="minorEastAsia" w:hAnsi="MinionPro-Regular" w:cs="MinionPro-Regular"/>
      <w:color w:val="000000"/>
      <w:szCs w:val="24"/>
      <w:lang w:val="en-US"/>
    </w:rPr>
  </w:style>
  <w:style w:type="paragraph" w:customStyle="1" w:styleId="TableText0">
    <w:name w:val="Table Text"/>
    <w:basedOn w:val="Normal"/>
    <w:uiPriority w:val="13"/>
    <w:qFormat/>
    <w:pPr>
      <w:tabs>
        <w:tab w:val="clear" w:pos="567"/>
      </w:tabs>
      <w:spacing w:before="60" w:after="60"/>
    </w:pPr>
    <w:rPr>
      <w:rFonts w:ascii="Cambria" w:hAnsi="Cambria"/>
      <w:sz w:val="18"/>
    </w:rPr>
  </w:style>
  <w:style w:type="numbering" w:customStyle="1" w:styleId="Headings">
    <w:name w:val="Headings"/>
    <w:uiPriority w:val="99"/>
    <w:rsid w:val="007C529C"/>
    <w:pPr>
      <w:numPr>
        <w:numId w:val="29"/>
      </w:numPr>
    </w:pPr>
  </w:style>
  <w:style w:type="paragraph" w:customStyle="1" w:styleId="Preliminarycontentheading">
    <w:name w:val="Preliminary content heading"/>
    <w:link w:val="PreliminarycontentheadingChar"/>
    <w:uiPriority w:val="28"/>
    <w:qFormat/>
    <w:pPr>
      <w:pageBreakBefore/>
    </w:pPr>
    <w:rPr>
      <w:rFonts w:eastAsia="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eastAsia="Times New Roman"/>
      <w:bCs/>
      <w:color w:val="000000"/>
      <w:sz w:val="56"/>
      <w:szCs w:val="28"/>
      <w:lang w:eastAsia="ja-JP"/>
    </w:rPr>
  </w:style>
  <w:style w:type="paragraph" w:customStyle="1" w:styleId="BoxTextBullet">
    <w:name w:val="Box Text Bullet"/>
    <w:basedOn w:val="BoxText"/>
    <w:uiPriority w:val="21"/>
    <w:qFormat/>
    <w:pPr>
      <w:numPr>
        <w:numId w:val="25"/>
      </w:numPr>
      <w:tabs>
        <w:tab w:val="left" w:pos="227"/>
      </w:tabs>
      <w:ind w:left="0" w:firstLine="0"/>
    </w:pPr>
  </w:style>
  <w:style w:type="paragraph" w:customStyle="1" w:styleId="TableBullet">
    <w:name w:val="Table Bullet"/>
    <w:basedOn w:val="TableText0"/>
    <w:uiPriority w:val="15"/>
    <w:qFormat/>
    <w:pPr>
      <w:ind w:left="720" w:hanging="360"/>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lear" w:pos="567"/>
        <w:tab w:val="center" w:pos="4820"/>
      </w:tabs>
      <w:spacing w:after="0"/>
      <w:jc w:val="center"/>
    </w:pPr>
    <w:rPr>
      <w:rFonts w:ascii="Cambria" w:hAnsi="Cambria"/>
      <w:b/>
      <w:caps/>
      <w:color w:val="FF0000"/>
      <w:sz w:val="36"/>
      <w:szCs w:val="36"/>
    </w:rPr>
  </w:style>
  <w:style w:type="paragraph" w:customStyle="1" w:styleId="BoxSource">
    <w:name w:val="Box Source"/>
    <w:basedOn w:val="FigureTableNoteSource0"/>
    <w:uiPriority w:val="22"/>
    <w:qFormat/>
    <w:pPr>
      <w:pBdr>
        <w:top w:val="single" w:sz="4" w:space="10" w:color="auto"/>
        <w:left w:val="single" w:sz="4" w:space="10" w:color="auto"/>
        <w:bottom w:val="single" w:sz="4" w:space="10" w:color="auto"/>
        <w:right w:val="single" w:sz="4" w:space="10" w:color="auto"/>
      </w:pBdr>
    </w:pPr>
  </w:style>
  <w:style w:type="numbering" w:customStyle="1" w:styleId="Appendix">
    <w:name w:val="Appendix"/>
    <w:uiPriority w:val="99"/>
    <w:pPr>
      <w:numPr>
        <w:numId w:val="30"/>
      </w:numPr>
    </w:pPr>
  </w:style>
  <w:style w:type="numbering" w:customStyle="1" w:styleId="ListBullets">
    <w:name w:val="ListBullets"/>
    <w:uiPriority w:val="99"/>
    <w:pPr>
      <w:numPr>
        <w:numId w:val="26"/>
      </w:numPr>
    </w:pPr>
  </w:style>
  <w:style w:type="paragraph" w:styleId="ListBullet4">
    <w:name w:val="List Bullet 4"/>
    <w:basedOn w:val="Normal"/>
    <w:uiPriority w:val="99"/>
    <w:unhideWhenUsed/>
    <w:pPr>
      <w:numPr>
        <w:numId w:val="27"/>
      </w:numPr>
      <w:tabs>
        <w:tab w:val="clear" w:pos="567"/>
      </w:tabs>
      <w:spacing w:after="0"/>
      <w:contextualSpacing/>
    </w:pPr>
    <w:rPr>
      <w:rFonts w:ascii="Cambria" w:hAnsi="Cambria"/>
      <w:sz w:val="22"/>
    </w:rPr>
  </w:style>
  <w:style w:type="paragraph" w:styleId="ListBullet3">
    <w:name w:val="List Bullet 3"/>
    <w:basedOn w:val="Normal"/>
    <w:uiPriority w:val="99"/>
    <w:unhideWhenUsed/>
    <w:pPr>
      <w:numPr>
        <w:ilvl w:val="2"/>
        <w:numId w:val="48"/>
      </w:numPr>
      <w:tabs>
        <w:tab w:val="clear" w:pos="567"/>
        <w:tab w:val="num" w:pos="794"/>
      </w:tabs>
      <w:spacing w:after="0"/>
      <w:contextualSpacing/>
    </w:pPr>
    <w:rPr>
      <w:rFonts w:ascii="Cambria" w:hAnsi="Cambria"/>
      <w:sz w:val="22"/>
    </w:rPr>
  </w:style>
  <w:style w:type="numbering" w:customStyle="1" w:styleId="ListNumbers">
    <w:name w:val="ListNumbers"/>
    <w:uiPriority w:val="99"/>
    <w:pPr>
      <w:numPr>
        <w:numId w:val="28"/>
      </w:numPr>
    </w:pPr>
  </w:style>
  <w:style w:type="paragraph" w:customStyle="1" w:styleId="Picture">
    <w:name w:val="Picture"/>
    <w:qFormat/>
    <w:rPr>
      <w:rFonts w:eastAsiaTheme="minorEastAsia" w:cstheme="minorBidi"/>
      <w:bCs/>
      <w:color w:val="000000"/>
      <w:sz w:val="22"/>
      <w:szCs w:val="28"/>
      <w:lang w:eastAsia="ja-JP"/>
    </w:rPr>
  </w:style>
  <w:style w:type="paragraph" w:styleId="Subtitle">
    <w:name w:val="Subtitle"/>
    <w:basedOn w:val="Normal"/>
    <w:next w:val="Normal"/>
    <w:link w:val="SubtitleChar"/>
    <w:uiPriority w:val="23"/>
    <w:qFormat/>
    <w:pPr>
      <w:tabs>
        <w:tab w:val="clear" w:pos="567"/>
      </w:tabs>
      <w:spacing w:after="0"/>
      <w:ind w:left="1701"/>
    </w:pPr>
    <w:rPr>
      <w:rFonts w:ascii="Cambria" w:hAnsi="Cambria"/>
      <w:sz w:val="40"/>
      <w:szCs w:val="40"/>
      <w:lang w:eastAsia="ja-JP"/>
    </w:rPr>
  </w:style>
  <w:style w:type="character" w:customStyle="1" w:styleId="SubtitleChar">
    <w:name w:val="Subtitle Char"/>
    <w:basedOn w:val="DefaultParagraphFont"/>
    <w:link w:val="Subtitle"/>
    <w:uiPriority w:val="23"/>
    <w:rPr>
      <w:rFonts w:ascii="Cambria" w:hAnsi="Cambria"/>
      <w:sz w:val="40"/>
      <w:szCs w:val="40"/>
      <w:lang w:eastAsia="ja-JP"/>
    </w:rPr>
  </w:style>
  <w:style w:type="paragraph" w:styleId="Date">
    <w:name w:val="Date"/>
    <w:basedOn w:val="Normal"/>
    <w:next w:val="Normal"/>
    <w:link w:val="DateChar"/>
    <w:uiPriority w:val="99"/>
    <w:unhideWhenUsed/>
    <w:pPr>
      <w:pBdr>
        <w:top w:val="single" w:sz="4" w:space="1" w:color="auto"/>
      </w:pBdr>
      <w:tabs>
        <w:tab w:val="clear" w:pos="567"/>
      </w:tabs>
      <w:spacing w:after="0"/>
      <w:ind w:left="1701"/>
      <w:jc w:val="right"/>
    </w:pPr>
    <w:rPr>
      <w:rFonts w:ascii="Cambria" w:hAnsi="Cambria"/>
      <w:sz w:val="28"/>
      <w:szCs w:val="28"/>
    </w:rPr>
  </w:style>
  <w:style w:type="character" w:customStyle="1" w:styleId="DateChar">
    <w:name w:val="Date Char"/>
    <w:basedOn w:val="DefaultParagraphFont"/>
    <w:link w:val="Date"/>
    <w:uiPriority w:val="99"/>
    <w:rPr>
      <w:rFonts w:ascii="Cambria" w:hAnsi="Cambria"/>
      <w:sz w:val="28"/>
      <w:szCs w:val="28"/>
      <w:lang w:eastAsia="en-US"/>
    </w:rPr>
  </w:style>
  <w:style w:type="table" w:customStyle="1" w:styleId="TableGrid8">
    <w:name w:val="Table Grid8"/>
    <w:basedOn w:val="TableNormal"/>
    <w:next w:val="TableGrid"/>
    <w:uiPriority w:val="59"/>
    <w:rPr>
      <w:rFonts w:asciiTheme="minorHAnsi" w:eastAsiaTheme="minorHAnsi" w:hAnsiTheme="minorHAnsi" w:cstheme="minorBid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EndnoteText">
    <w:name w:val="endnote text"/>
    <w:basedOn w:val="Normal"/>
    <w:link w:val="EndnoteTextChar"/>
    <w:uiPriority w:val="99"/>
    <w:unhideWhenUsed/>
    <w:pPr>
      <w:spacing w:before="0" w:after="0"/>
    </w:pPr>
    <w:rPr>
      <w:sz w:val="20"/>
      <w:szCs w:val="20"/>
    </w:rPr>
  </w:style>
  <w:style w:type="character" w:customStyle="1" w:styleId="EndnoteTextChar">
    <w:name w:val="Endnote Text Char"/>
    <w:basedOn w:val="DefaultParagraphFont"/>
    <w:link w:val="EndnoteText"/>
    <w:uiPriority w:val="99"/>
    <w:rPr>
      <w:lang w:eastAsia="en-US"/>
    </w:rPr>
  </w:style>
  <w:style w:type="character" w:styleId="EndnoteReference">
    <w:name w:val="endnote reference"/>
    <w:basedOn w:val="DefaultParagraphFont"/>
    <w:uiPriority w:val="99"/>
    <w:semiHidden/>
    <w:unhideWhenUsed/>
    <w:rPr>
      <w:vertAlign w:val="superscript"/>
    </w:rPr>
  </w:style>
  <w:style w:type="paragraph" w:customStyle="1" w:styleId="AuthorOrganisationAffiliation">
    <w:name w:val="Author Organisation/Affiliation"/>
    <w:basedOn w:val="Normal"/>
    <w:next w:val="Normal"/>
    <w:uiPriority w:val="25"/>
    <w:qFormat/>
    <w:pPr>
      <w:tabs>
        <w:tab w:val="clear" w:pos="567"/>
      </w:tabs>
      <w:spacing w:after="200"/>
    </w:pPr>
    <w:rPr>
      <w:rFonts w:eastAsiaTheme="minorHAnsi" w:cstheme="minorBidi"/>
      <w:sz w:val="22"/>
    </w:rPr>
  </w:style>
  <w:style w:type="paragraph" w:customStyle="1" w:styleId="Author">
    <w:name w:val="Author"/>
    <w:basedOn w:val="Normal"/>
    <w:next w:val="Normal"/>
    <w:uiPriority w:val="24"/>
    <w:qFormat/>
    <w:pPr>
      <w:tabs>
        <w:tab w:val="clear" w:pos="567"/>
      </w:tabs>
      <w:spacing w:before="0" w:after="60"/>
    </w:pPr>
    <w:rPr>
      <w:rFonts w:eastAsiaTheme="minorHAnsi" w:cstheme="min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940">
      <w:bodyDiv w:val="1"/>
      <w:marLeft w:val="0"/>
      <w:marRight w:val="0"/>
      <w:marTop w:val="0"/>
      <w:marBottom w:val="0"/>
      <w:divBdr>
        <w:top w:val="none" w:sz="0" w:space="0" w:color="auto"/>
        <w:left w:val="none" w:sz="0" w:space="0" w:color="auto"/>
        <w:bottom w:val="none" w:sz="0" w:space="0" w:color="auto"/>
        <w:right w:val="none" w:sz="0" w:space="0" w:color="auto"/>
      </w:divBdr>
    </w:div>
    <w:div w:id="55249229">
      <w:bodyDiv w:val="1"/>
      <w:marLeft w:val="0"/>
      <w:marRight w:val="0"/>
      <w:marTop w:val="0"/>
      <w:marBottom w:val="0"/>
      <w:divBdr>
        <w:top w:val="none" w:sz="0" w:space="0" w:color="auto"/>
        <w:left w:val="none" w:sz="0" w:space="0" w:color="auto"/>
        <w:bottom w:val="none" w:sz="0" w:space="0" w:color="auto"/>
        <w:right w:val="none" w:sz="0" w:space="0" w:color="auto"/>
      </w:divBdr>
    </w:div>
    <w:div w:id="270434187">
      <w:bodyDiv w:val="1"/>
      <w:marLeft w:val="0"/>
      <w:marRight w:val="0"/>
      <w:marTop w:val="0"/>
      <w:marBottom w:val="0"/>
      <w:divBdr>
        <w:top w:val="none" w:sz="0" w:space="0" w:color="auto"/>
        <w:left w:val="none" w:sz="0" w:space="0" w:color="auto"/>
        <w:bottom w:val="none" w:sz="0" w:space="0" w:color="auto"/>
        <w:right w:val="none" w:sz="0" w:space="0" w:color="auto"/>
      </w:divBdr>
    </w:div>
    <w:div w:id="330912246">
      <w:bodyDiv w:val="1"/>
      <w:marLeft w:val="0"/>
      <w:marRight w:val="0"/>
      <w:marTop w:val="0"/>
      <w:marBottom w:val="0"/>
      <w:divBdr>
        <w:top w:val="none" w:sz="0" w:space="0" w:color="auto"/>
        <w:left w:val="none" w:sz="0" w:space="0" w:color="auto"/>
        <w:bottom w:val="none" w:sz="0" w:space="0" w:color="auto"/>
        <w:right w:val="none" w:sz="0" w:space="0" w:color="auto"/>
      </w:divBdr>
      <w:divsChild>
        <w:div w:id="355615439">
          <w:marLeft w:val="0"/>
          <w:marRight w:val="0"/>
          <w:marTop w:val="0"/>
          <w:marBottom w:val="0"/>
          <w:divBdr>
            <w:top w:val="single" w:sz="6" w:space="0" w:color="EBEBEB"/>
            <w:left w:val="none" w:sz="0" w:space="0" w:color="auto"/>
            <w:bottom w:val="none" w:sz="0" w:space="0" w:color="auto"/>
            <w:right w:val="none" w:sz="0" w:space="0" w:color="auto"/>
          </w:divBdr>
          <w:divsChild>
            <w:div w:id="1729959885">
              <w:marLeft w:val="0"/>
              <w:marRight w:val="0"/>
              <w:marTop w:val="0"/>
              <w:marBottom w:val="0"/>
              <w:divBdr>
                <w:top w:val="none" w:sz="0" w:space="0" w:color="auto"/>
                <w:left w:val="none" w:sz="0" w:space="0" w:color="auto"/>
                <w:bottom w:val="none" w:sz="0" w:space="0" w:color="auto"/>
                <w:right w:val="none" w:sz="0" w:space="0" w:color="auto"/>
              </w:divBdr>
              <w:divsChild>
                <w:div w:id="1620452150">
                  <w:marLeft w:val="0"/>
                  <w:marRight w:val="0"/>
                  <w:marTop w:val="0"/>
                  <w:marBottom w:val="0"/>
                  <w:divBdr>
                    <w:top w:val="none" w:sz="0" w:space="0" w:color="auto"/>
                    <w:left w:val="none" w:sz="0" w:space="0" w:color="auto"/>
                    <w:bottom w:val="none" w:sz="0" w:space="0" w:color="auto"/>
                    <w:right w:val="none" w:sz="0" w:space="0" w:color="auto"/>
                  </w:divBdr>
                  <w:divsChild>
                    <w:div w:id="485433549">
                      <w:marLeft w:val="0"/>
                      <w:marRight w:val="0"/>
                      <w:marTop w:val="630"/>
                      <w:marBottom w:val="0"/>
                      <w:divBdr>
                        <w:top w:val="none" w:sz="0" w:space="0" w:color="auto"/>
                        <w:left w:val="none" w:sz="0" w:space="0" w:color="auto"/>
                        <w:bottom w:val="none" w:sz="0" w:space="0" w:color="auto"/>
                        <w:right w:val="none" w:sz="0" w:space="0" w:color="auto"/>
                      </w:divBdr>
                      <w:divsChild>
                        <w:div w:id="1839684718">
                          <w:marLeft w:val="0"/>
                          <w:marRight w:val="0"/>
                          <w:marTop w:val="0"/>
                          <w:marBottom w:val="0"/>
                          <w:divBdr>
                            <w:top w:val="none" w:sz="0" w:space="0" w:color="auto"/>
                            <w:left w:val="none" w:sz="0" w:space="0" w:color="auto"/>
                            <w:bottom w:val="none" w:sz="0" w:space="0" w:color="auto"/>
                            <w:right w:val="none" w:sz="0" w:space="0" w:color="auto"/>
                          </w:divBdr>
                          <w:divsChild>
                            <w:div w:id="1850097695">
                              <w:marLeft w:val="0"/>
                              <w:marRight w:val="150"/>
                              <w:marTop w:val="0"/>
                              <w:marBottom w:val="90"/>
                              <w:divBdr>
                                <w:top w:val="none" w:sz="0" w:space="0" w:color="auto"/>
                                <w:left w:val="none" w:sz="0" w:space="0" w:color="auto"/>
                                <w:bottom w:val="none" w:sz="0" w:space="0" w:color="auto"/>
                                <w:right w:val="none" w:sz="0" w:space="0" w:color="auto"/>
                              </w:divBdr>
                              <w:divsChild>
                                <w:div w:id="16169086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83144">
      <w:bodyDiv w:val="1"/>
      <w:marLeft w:val="0"/>
      <w:marRight w:val="0"/>
      <w:marTop w:val="0"/>
      <w:marBottom w:val="0"/>
      <w:divBdr>
        <w:top w:val="none" w:sz="0" w:space="0" w:color="auto"/>
        <w:left w:val="none" w:sz="0" w:space="0" w:color="auto"/>
        <w:bottom w:val="none" w:sz="0" w:space="0" w:color="auto"/>
        <w:right w:val="none" w:sz="0" w:space="0" w:color="auto"/>
      </w:divBdr>
      <w:divsChild>
        <w:div w:id="1502744644">
          <w:marLeft w:val="0"/>
          <w:marRight w:val="0"/>
          <w:marTop w:val="0"/>
          <w:marBottom w:val="0"/>
          <w:divBdr>
            <w:top w:val="none" w:sz="0" w:space="0" w:color="auto"/>
            <w:left w:val="none" w:sz="0" w:space="0" w:color="auto"/>
            <w:bottom w:val="none" w:sz="0" w:space="0" w:color="auto"/>
            <w:right w:val="none" w:sz="0" w:space="0" w:color="auto"/>
          </w:divBdr>
          <w:divsChild>
            <w:div w:id="1228300030">
              <w:marLeft w:val="0"/>
              <w:marRight w:val="0"/>
              <w:marTop w:val="100"/>
              <w:marBottom w:val="100"/>
              <w:divBdr>
                <w:top w:val="none" w:sz="0" w:space="0" w:color="auto"/>
                <w:left w:val="none" w:sz="0" w:space="0" w:color="auto"/>
                <w:bottom w:val="none" w:sz="0" w:space="0" w:color="auto"/>
                <w:right w:val="none" w:sz="0" w:space="0" w:color="auto"/>
              </w:divBdr>
              <w:divsChild>
                <w:div w:id="1108741546">
                  <w:marLeft w:val="0"/>
                  <w:marRight w:val="0"/>
                  <w:marTop w:val="0"/>
                  <w:marBottom w:val="0"/>
                  <w:divBdr>
                    <w:top w:val="none" w:sz="0" w:space="0" w:color="auto"/>
                    <w:left w:val="none" w:sz="0" w:space="0" w:color="auto"/>
                    <w:bottom w:val="none" w:sz="0" w:space="0" w:color="auto"/>
                    <w:right w:val="none" w:sz="0" w:space="0" w:color="auto"/>
                  </w:divBdr>
                  <w:divsChild>
                    <w:div w:id="1485705299">
                      <w:marLeft w:val="0"/>
                      <w:marRight w:val="0"/>
                      <w:marTop w:val="0"/>
                      <w:marBottom w:val="0"/>
                      <w:divBdr>
                        <w:top w:val="none" w:sz="0" w:space="0" w:color="auto"/>
                        <w:left w:val="none" w:sz="0" w:space="0" w:color="auto"/>
                        <w:bottom w:val="none" w:sz="0" w:space="0" w:color="auto"/>
                        <w:right w:val="none" w:sz="0" w:space="0" w:color="auto"/>
                      </w:divBdr>
                      <w:divsChild>
                        <w:div w:id="1101953432">
                          <w:marLeft w:val="0"/>
                          <w:marRight w:val="0"/>
                          <w:marTop w:val="0"/>
                          <w:marBottom w:val="0"/>
                          <w:divBdr>
                            <w:top w:val="none" w:sz="0" w:space="0" w:color="auto"/>
                            <w:left w:val="none" w:sz="0" w:space="0" w:color="auto"/>
                            <w:bottom w:val="none" w:sz="0" w:space="0" w:color="auto"/>
                            <w:right w:val="none" w:sz="0" w:space="0" w:color="auto"/>
                          </w:divBdr>
                          <w:divsChild>
                            <w:div w:id="314652257">
                              <w:marLeft w:val="0"/>
                              <w:marRight w:val="0"/>
                              <w:marTop w:val="0"/>
                              <w:marBottom w:val="0"/>
                              <w:divBdr>
                                <w:top w:val="none" w:sz="0" w:space="0" w:color="auto"/>
                                <w:left w:val="none" w:sz="0" w:space="0" w:color="auto"/>
                                <w:bottom w:val="none" w:sz="0" w:space="0" w:color="auto"/>
                                <w:right w:val="none" w:sz="0" w:space="0" w:color="auto"/>
                              </w:divBdr>
                              <w:divsChild>
                                <w:div w:id="90057004">
                                  <w:marLeft w:val="0"/>
                                  <w:marRight w:val="0"/>
                                  <w:marTop w:val="0"/>
                                  <w:marBottom w:val="0"/>
                                  <w:divBdr>
                                    <w:top w:val="none" w:sz="0" w:space="0" w:color="auto"/>
                                    <w:left w:val="none" w:sz="0" w:space="0" w:color="auto"/>
                                    <w:bottom w:val="none" w:sz="0" w:space="0" w:color="auto"/>
                                    <w:right w:val="none" w:sz="0" w:space="0" w:color="auto"/>
                                  </w:divBdr>
                                  <w:divsChild>
                                    <w:div w:id="452405244">
                                      <w:marLeft w:val="0"/>
                                      <w:marRight w:val="0"/>
                                      <w:marTop w:val="0"/>
                                      <w:marBottom w:val="0"/>
                                      <w:divBdr>
                                        <w:top w:val="none" w:sz="0" w:space="0" w:color="auto"/>
                                        <w:left w:val="none" w:sz="0" w:space="0" w:color="auto"/>
                                        <w:bottom w:val="none" w:sz="0" w:space="0" w:color="auto"/>
                                        <w:right w:val="none" w:sz="0" w:space="0" w:color="auto"/>
                                      </w:divBdr>
                                      <w:divsChild>
                                        <w:div w:id="1341735131">
                                          <w:marLeft w:val="0"/>
                                          <w:marRight w:val="0"/>
                                          <w:marTop w:val="0"/>
                                          <w:marBottom w:val="0"/>
                                          <w:divBdr>
                                            <w:top w:val="none" w:sz="0" w:space="0" w:color="auto"/>
                                            <w:left w:val="none" w:sz="0" w:space="0" w:color="auto"/>
                                            <w:bottom w:val="none" w:sz="0" w:space="0" w:color="auto"/>
                                            <w:right w:val="none" w:sz="0" w:space="0" w:color="auto"/>
                                          </w:divBdr>
                                          <w:divsChild>
                                            <w:div w:id="1112020041">
                                              <w:marLeft w:val="165"/>
                                              <w:marRight w:val="165"/>
                                              <w:marTop w:val="0"/>
                                              <w:marBottom w:val="0"/>
                                              <w:divBdr>
                                                <w:top w:val="none" w:sz="0" w:space="0" w:color="auto"/>
                                                <w:left w:val="none" w:sz="0" w:space="0" w:color="auto"/>
                                                <w:bottom w:val="none" w:sz="0" w:space="0" w:color="auto"/>
                                                <w:right w:val="none" w:sz="0" w:space="0" w:color="auto"/>
                                              </w:divBdr>
                                              <w:divsChild>
                                                <w:div w:id="828324350">
                                                  <w:marLeft w:val="0"/>
                                                  <w:marRight w:val="0"/>
                                                  <w:marTop w:val="0"/>
                                                  <w:marBottom w:val="0"/>
                                                  <w:divBdr>
                                                    <w:top w:val="none" w:sz="0" w:space="0" w:color="auto"/>
                                                    <w:left w:val="none" w:sz="0" w:space="0" w:color="auto"/>
                                                    <w:bottom w:val="none" w:sz="0" w:space="0" w:color="auto"/>
                                                    <w:right w:val="none" w:sz="0" w:space="0" w:color="auto"/>
                                                  </w:divBdr>
                                                </w:div>
                                                <w:div w:id="16642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817525">
      <w:bodyDiv w:val="1"/>
      <w:marLeft w:val="0"/>
      <w:marRight w:val="0"/>
      <w:marTop w:val="0"/>
      <w:marBottom w:val="0"/>
      <w:divBdr>
        <w:top w:val="none" w:sz="0" w:space="0" w:color="auto"/>
        <w:left w:val="none" w:sz="0" w:space="0" w:color="auto"/>
        <w:bottom w:val="none" w:sz="0" w:space="0" w:color="auto"/>
        <w:right w:val="none" w:sz="0" w:space="0" w:color="auto"/>
      </w:divBdr>
      <w:divsChild>
        <w:div w:id="826746423">
          <w:marLeft w:val="0"/>
          <w:marRight w:val="0"/>
          <w:marTop w:val="0"/>
          <w:marBottom w:val="0"/>
          <w:divBdr>
            <w:top w:val="none" w:sz="0" w:space="0" w:color="auto"/>
            <w:left w:val="none" w:sz="0" w:space="0" w:color="auto"/>
            <w:bottom w:val="none" w:sz="0" w:space="0" w:color="auto"/>
            <w:right w:val="none" w:sz="0" w:space="0" w:color="auto"/>
          </w:divBdr>
          <w:divsChild>
            <w:div w:id="2054109526">
              <w:marLeft w:val="0"/>
              <w:marRight w:val="0"/>
              <w:marTop w:val="0"/>
              <w:marBottom w:val="0"/>
              <w:divBdr>
                <w:top w:val="none" w:sz="0" w:space="0" w:color="auto"/>
                <w:left w:val="none" w:sz="0" w:space="0" w:color="auto"/>
                <w:bottom w:val="none" w:sz="0" w:space="0" w:color="auto"/>
                <w:right w:val="none" w:sz="0" w:space="0" w:color="auto"/>
              </w:divBdr>
              <w:divsChild>
                <w:div w:id="1968582923">
                  <w:marLeft w:val="0"/>
                  <w:marRight w:val="0"/>
                  <w:marTop w:val="0"/>
                  <w:marBottom w:val="0"/>
                  <w:divBdr>
                    <w:top w:val="none" w:sz="0" w:space="0" w:color="auto"/>
                    <w:left w:val="none" w:sz="0" w:space="0" w:color="auto"/>
                    <w:bottom w:val="none" w:sz="0" w:space="0" w:color="auto"/>
                    <w:right w:val="none" w:sz="0" w:space="0" w:color="auto"/>
                  </w:divBdr>
                  <w:divsChild>
                    <w:div w:id="1205101294">
                      <w:marLeft w:val="0"/>
                      <w:marRight w:val="0"/>
                      <w:marTop w:val="0"/>
                      <w:marBottom w:val="0"/>
                      <w:divBdr>
                        <w:top w:val="none" w:sz="0" w:space="0" w:color="auto"/>
                        <w:left w:val="none" w:sz="0" w:space="0" w:color="auto"/>
                        <w:bottom w:val="none" w:sz="0" w:space="0" w:color="auto"/>
                        <w:right w:val="none" w:sz="0" w:space="0" w:color="auto"/>
                      </w:divBdr>
                      <w:divsChild>
                        <w:div w:id="7955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9612">
      <w:bodyDiv w:val="1"/>
      <w:marLeft w:val="0"/>
      <w:marRight w:val="0"/>
      <w:marTop w:val="0"/>
      <w:marBottom w:val="0"/>
      <w:divBdr>
        <w:top w:val="none" w:sz="0" w:space="0" w:color="auto"/>
        <w:left w:val="none" w:sz="0" w:space="0" w:color="auto"/>
        <w:bottom w:val="none" w:sz="0" w:space="0" w:color="auto"/>
        <w:right w:val="none" w:sz="0" w:space="0" w:color="auto"/>
      </w:divBdr>
    </w:div>
    <w:div w:id="505946778">
      <w:bodyDiv w:val="1"/>
      <w:marLeft w:val="0"/>
      <w:marRight w:val="0"/>
      <w:marTop w:val="0"/>
      <w:marBottom w:val="0"/>
      <w:divBdr>
        <w:top w:val="none" w:sz="0" w:space="0" w:color="auto"/>
        <w:left w:val="none" w:sz="0" w:space="0" w:color="auto"/>
        <w:bottom w:val="none" w:sz="0" w:space="0" w:color="auto"/>
        <w:right w:val="none" w:sz="0" w:space="0" w:color="auto"/>
      </w:divBdr>
    </w:div>
    <w:div w:id="541022182">
      <w:bodyDiv w:val="1"/>
      <w:marLeft w:val="0"/>
      <w:marRight w:val="0"/>
      <w:marTop w:val="0"/>
      <w:marBottom w:val="0"/>
      <w:divBdr>
        <w:top w:val="none" w:sz="0" w:space="0" w:color="auto"/>
        <w:left w:val="none" w:sz="0" w:space="0" w:color="auto"/>
        <w:bottom w:val="none" w:sz="0" w:space="0" w:color="auto"/>
        <w:right w:val="none" w:sz="0" w:space="0" w:color="auto"/>
      </w:divBdr>
    </w:div>
    <w:div w:id="542670772">
      <w:bodyDiv w:val="1"/>
      <w:marLeft w:val="0"/>
      <w:marRight w:val="0"/>
      <w:marTop w:val="0"/>
      <w:marBottom w:val="0"/>
      <w:divBdr>
        <w:top w:val="none" w:sz="0" w:space="0" w:color="auto"/>
        <w:left w:val="none" w:sz="0" w:space="0" w:color="auto"/>
        <w:bottom w:val="none" w:sz="0" w:space="0" w:color="auto"/>
        <w:right w:val="none" w:sz="0" w:space="0" w:color="auto"/>
      </w:divBdr>
      <w:divsChild>
        <w:div w:id="967785544">
          <w:marLeft w:val="0"/>
          <w:marRight w:val="0"/>
          <w:marTop w:val="0"/>
          <w:marBottom w:val="0"/>
          <w:divBdr>
            <w:top w:val="single" w:sz="2" w:space="0" w:color="2E2E2E"/>
            <w:left w:val="single" w:sz="2" w:space="0" w:color="2E2E2E"/>
            <w:bottom w:val="single" w:sz="2" w:space="0" w:color="2E2E2E"/>
            <w:right w:val="single" w:sz="2" w:space="0" w:color="2E2E2E"/>
          </w:divBdr>
          <w:divsChild>
            <w:div w:id="27609922">
              <w:marLeft w:val="0"/>
              <w:marRight w:val="0"/>
              <w:marTop w:val="0"/>
              <w:marBottom w:val="0"/>
              <w:divBdr>
                <w:top w:val="single" w:sz="6" w:space="0" w:color="C9C9C9"/>
                <w:left w:val="none" w:sz="0" w:space="0" w:color="auto"/>
                <w:bottom w:val="none" w:sz="0" w:space="0" w:color="auto"/>
                <w:right w:val="none" w:sz="0" w:space="0" w:color="auto"/>
              </w:divBdr>
              <w:divsChild>
                <w:div w:id="1431777030">
                  <w:marLeft w:val="0"/>
                  <w:marRight w:val="0"/>
                  <w:marTop w:val="0"/>
                  <w:marBottom w:val="0"/>
                  <w:divBdr>
                    <w:top w:val="none" w:sz="0" w:space="0" w:color="auto"/>
                    <w:left w:val="none" w:sz="0" w:space="0" w:color="auto"/>
                    <w:bottom w:val="none" w:sz="0" w:space="0" w:color="auto"/>
                    <w:right w:val="none" w:sz="0" w:space="0" w:color="auto"/>
                  </w:divBdr>
                  <w:divsChild>
                    <w:div w:id="1175924791">
                      <w:marLeft w:val="0"/>
                      <w:marRight w:val="0"/>
                      <w:marTop w:val="0"/>
                      <w:marBottom w:val="0"/>
                      <w:divBdr>
                        <w:top w:val="none" w:sz="0" w:space="0" w:color="auto"/>
                        <w:left w:val="none" w:sz="0" w:space="0" w:color="auto"/>
                        <w:bottom w:val="none" w:sz="0" w:space="0" w:color="auto"/>
                        <w:right w:val="none" w:sz="0" w:space="0" w:color="auto"/>
                      </w:divBdr>
                      <w:divsChild>
                        <w:div w:id="12812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03121">
      <w:bodyDiv w:val="1"/>
      <w:marLeft w:val="0"/>
      <w:marRight w:val="0"/>
      <w:marTop w:val="0"/>
      <w:marBottom w:val="0"/>
      <w:divBdr>
        <w:top w:val="none" w:sz="0" w:space="0" w:color="auto"/>
        <w:left w:val="none" w:sz="0" w:space="0" w:color="auto"/>
        <w:bottom w:val="none" w:sz="0" w:space="0" w:color="auto"/>
        <w:right w:val="none" w:sz="0" w:space="0" w:color="auto"/>
      </w:divBdr>
      <w:divsChild>
        <w:div w:id="1632248445">
          <w:marLeft w:val="0"/>
          <w:marRight w:val="0"/>
          <w:marTop w:val="0"/>
          <w:marBottom w:val="0"/>
          <w:divBdr>
            <w:top w:val="none" w:sz="0" w:space="0" w:color="auto"/>
            <w:left w:val="none" w:sz="0" w:space="0" w:color="auto"/>
            <w:bottom w:val="none" w:sz="0" w:space="0" w:color="auto"/>
            <w:right w:val="none" w:sz="0" w:space="0" w:color="auto"/>
          </w:divBdr>
          <w:divsChild>
            <w:div w:id="1991864911">
              <w:marLeft w:val="300"/>
              <w:marRight w:val="300"/>
              <w:marTop w:val="300"/>
              <w:marBottom w:val="300"/>
              <w:divBdr>
                <w:top w:val="none" w:sz="0" w:space="0" w:color="auto"/>
                <w:left w:val="none" w:sz="0" w:space="0" w:color="auto"/>
                <w:bottom w:val="none" w:sz="0" w:space="0" w:color="auto"/>
                <w:right w:val="none" w:sz="0" w:space="0" w:color="auto"/>
              </w:divBdr>
              <w:divsChild>
                <w:div w:id="2071536992">
                  <w:marLeft w:val="0"/>
                  <w:marRight w:val="0"/>
                  <w:marTop w:val="0"/>
                  <w:marBottom w:val="0"/>
                  <w:divBdr>
                    <w:top w:val="none" w:sz="0" w:space="0" w:color="auto"/>
                    <w:left w:val="none" w:sz="0" w:space="0" w:color="auto"/>
                    <w:bottom w:val="none" w:sz="0" w:space="0" w:color="auto"/>
                    <w:right w:val="none" w:sz="0" w:space="0" w:color="auto"/>
                  </w:divBdr>
                  <w:divsChild>
                    <w:div w:id="11472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269225">
      <w:bodyDiv w:val="1"/>
      <w:marLeft w:val="0"/>
      <w:marRight w:val="0"/>
      <w:marTop w:val="0"/>
      <w:marBottom w:val="0"/>
      <w:divBdr>
        <w:top w:val="none" w:sz="0" w:space="0" w:color="auto"/>
        <w:left w:val="none" w:sz="0" w:space="0" w:color="auto"/>
        <w:bottom w:val="none" w:sz="0" w:space="0" w:color="auto"/>
        <w:right w:val="none" w:sz="0" w:space="0" w:color="auto"/>
      </w:divBdr>
    </w:div>
    <w:div w:id="717122494">
      <w:bodyDiv w:val="1"/>
      <w:marLeft w:val="0"/>
      <w:marRight w:val="0"/>
      <w:marTop w:val="0"/>
      <w:marBottom w:val="0"/>
      <w:divBdr>
        <w:top w:val="none" w:sz="0" w:space="0" w:color="auto"/>
        <w:left w:val="none" w:sz="0" w:space="0" w:color="auto"/>
        <w:bottom w:val="none" w:sz="0" w:space="0" w:color="auto"/>
        <w:right w:val="none" w:sz="0" w:space="0" w:color="auto"/>
      </w:divBdr>
    </w:div>
    <w:div w:id="801465031">
      <w:bodyDiv w:val="1"/>
      <w:marLeft w:val="0"/>
      <w:marRight w:val="0"/>
      <w:marTop w:val="0"/>
      <w:marBottom w:val="0"/>
      <w:divBdr>
        <w:top w:val="none" w:sz="0" w:space="0" w:color="auto"/>
        <w:left w:val="none" w:sz="0" w:space="0" w:color="auto"/>
        <w:bottom w:val="none" w:sz="0" w:space="0" w:color="auto"/>
        <w:right w:val="none" w:sz="0" w:space="0" w:color="auto"/>
      </w:divBdr>
    </w:div>
    <w:div w:id="920602986">
      <w:bodyDiv w:val="1"/>
      <w:marLeft w:val="0"/>
      <w:marRight w:val="0"/>
      <w:marTop w:val="0"/>
      <w:marBottom w:val="0"/>
      <w:divBdr>
        <w:top w:val="none" w:sz="0" w:space="0" w:color="auto"/>
        <w:left w:val="none" w:sz="0" w:space="0" w:color="auto"/>
        <w:bottom w:val="none" w:sz="0" w:space="0" w:color="auto"/>
        <w:right w:val="none" w:sz="0" w:space="0" w:color="auto"/>
      </w:divBdr>
      <w:divsChild>
        <w:div w:id="1668483654">
          <w:marLeft w:val="0"/>
          <w:marRight w:val="0"/>
          <w:marTop w:val="0"/>
          <w:marBottom w:val="0"/>
          <w:divBdr>
            <w:top w:val="none" w:sz="0" w:space="0" w:color="auto"/>
            <w:left w:val="none" w:sz="0" w:space="0" w:color="auto"/>
            <w:bottom w:val="none" w:sz="0" w:space="0" w:color="auto"/>
            <w:right w:val="none" w:sz="0" w:space="0" w:color="auto"/>
          </w:divBdr>
          <w:divsChild>
            <w:div w:id="627053348">
              <w:marLeft w:val="300"/>
              <w:marRight w:val="300"/>
              <w:marTop w:val="300"/>
              <w:marBottom w:val="300"/>
              <w:divBdr>
                <w:top w:val="none" w:sz="0" w:space="0" w:color="auto"/>
                <w:left w:val="none" w:sz="0" w:space="0" w:color="auto"/>
                <w:bottom w:val="none" w:sz="0" w:space="0" w:color="auto"/>
                <w:right w:val="none" w:sz="0" w:space="0" w:color="auto"/>
              </w:divBdr>
              <w:divsChild>
                <w:div w:id="1356230765">
                  <w:marLeft w:val="0"/>
                  <w:marRight w:val="0"/>
                  <w:marTop w:val="0"/>
                  <w:marBottom w:val="0"/>
                  <w:divBdr>
                    <w:top w:val="none" w:sz="0" w:space="0" w:color="auto"/>
                    <w:left w:val="none" w:sz="0" w:space="0" w:color="auto"/>
                    <w:bottom w:val="none" w:sz="0" w:space="0" w:color="auto"/>
                    <w:right w:val="none" w:sz="0" w:space="0" w:color="auto"/>
                  </w:divBdr>
                  <w:divsChild>
                    <w:div w:id="1038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19830">
      <w:bodyDiv w:val="1"/>
      <w:marLeft w:val="0"/>
      <w:marRight w:val="0"/>
      <w:marTop w:val="0"/>
      <w:marBottom w:val="0"/>
      <w:divBdr>
        <w:top w:val="none" w:sz="0" w:space="0" w:color="auto"/>
        <w:left w:val="none" w:sz="0" w:space="0" w:color="auto"/>
        <w:bottom w:val="none" w:sz="0" w:space="0" w:color="auto"/>
        <w:right w:val="none" w:sz="0" w:space="0" w:color="auto"/>
      </w:divBdr>
    </w:div>
    <w:div w:id="980500432">
      <w:bodyDiv w:val="1"/>
      <w:marLeft w:val="0"/>
      <w:marRight w:val="0"/>
      <w:marTop w:val="0"/>
      <w:marBottom w:val="0"/>
      <w:divBdr>
        <w:top w:val="none" w:sz="0" w:space="0" w:color="auto"/>
        <w:left w:val="none" w:sz="0" w:space="0" w:color="auto"/>
        <w:bottom w:val="none" w:sz="0" w:space="0" w:color="auto"/>
        <w:right w:val="none" w:sz="0" w:space="0" w:color="auto"/>
      </w:divBdr>
      <w:divsChild>
        <w:div w:id="422607108">
          <w:marLeft w:val="0"/>
          <w:marRight w:val="0"/>
          <w:marTop w:val="0"/>
          <w:marBottom w:val="0"/>
          <w:divBdr>
            <w:top w:val="none" w:sz="0" w:space="0" w:color="auto"/>
            <w:left w:val="none" w:sz="0" w:space="0" w:color="auto"/>
            <w:bottom w:val="none" w:sz="0" w:space="0" w:color="auto"/>
            <w:right w:val="none" w:sz="0" w:space="0" w:color="auto"/>
          </w:divBdr>
          <w:divsChild>
            <w:div w:id="916092003">
              <w:marLeft w:val="0"/>
              <w:marRight w:val="0"/>
              <w:marTop w:val="0"/>
              <w:marBottom w:val="0"/>
              <w:divBdr>
                <w:top w:val="none" w:sz="0" w:space="0" w:color="auto"/>
                <w:left w:val="none" w:sz="0" w:space="0" w:color="auto"/>
                <w:bottom w:val="none" w:sz="0" w:space="0" w:color="auto"/>
                <w:right w:val="none" w:sz="0" w:space="0" w:color="auto"/>
              </w:divBdr>
              <w:divsChild>
                <w:div w:id="2079672223">
                  <w:marLeft w:val="0"/>
                  <w:marRight w:val="0"/>
                  <w:marTop w:val="0"/>
                  <w:marBottom w:val="0"/>
                  <w:divBdr>
                    <w:top w:val="none" w:sz="0" w:space="0" w:color="auto"/>
                    <w:left w:val="none" w:sz="0" w:space="0" w:color="auto"/>
                    <w:bottom w:val="none" w:sz="0" w:space="0" w:color="auto"/>
                    <w:right w:val="none" w:sz="0" w:space="0" w:color="auto"/>
                  </w:divBdr>
                  <w:divsChild>
                    <w:div w:id="1315180031">
                      <w:marLeft w:val="0"/>
                      <w:marRight w:val="0"/>
                      <w:marTop w:val="0"/>
                      <w:marBottom w:val="0"/>
                      <w:divBdr>
                        <w:top w:val="none" w:sz="0" w:space="0" w:color="auto"/>
                        <w:left w:val="none" w:sz="0" w:space="0" w:color="auto"/>
                        <w:bottom w:val="none" w:sz="0" w:space="0" w:color="auto"/>
                        <w:right w:val="none" w:sz="0" w:space="0" w:color="auto"/>
                      </w:divBdr>
                      <w:divsChild>
                        <w:div w:id="18459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76478">
      <w:bodyDiv w:val="1"/>
      <w:marLeft w:val="0"/>
      <w:marRight w:val="0"/>
      <w:marTop w:val="0"/>
      <w:marBottom w:val="0"/>
      <w:divBdr>
        <w:top w:val="none" w:sz="0" w:space="0" w:color="auto"/>
        <w:left w:val="none" w:sz="0" w:space="0" w:color="auto"/>
        <w:bottom w:val="none" w:sz="0" w:space="0" w:color="auto"/>
        <w:right w:val="none" w:sz="0" w:space="0" w:color="auto"/>
      </w:divBdr>
      <w:divsChild>
        <w:div w:id="969895795">
          <w:marLeft w:val="0"/>
          <w:marRight w:val="0"/>
          <w:marTop w:val="0"/>
          <w:marBottom w:val="0"/>
          <w:divBdr>
            <w:top w:val="none" w:sz="0" w:space="0" w:color="auto"/>
            <w:left w:val="none" w:sz="0" w:space="0" w:color="auto"/>
            <w:bottom w:val="none" w:sz="0" w:space="0" w:color="auto"/>
            <w:right w:val="none" w:sz="0" w:space="0" w:color="auto"/>
          </w:divBdr>
          <w:divsChild>
            <w:div w:id="1253201587">
              <w:marLeft w:val="0"/>
              <w:marRight w:val="0"/>
              <w:marTop w:val="0"/>
              <w:marBottom w:val="0"/>
              <w:divBdr>
                <w:top w:val="none" w:sz="0" w:space="0" w:color="auto"/>
                <w:left w:val="none" w:sz="0" w:space="0" w:color="auto"/>
                <w:bottom w:val="none" w:sz="0" w:space="0" w:color="auto"/>
                <w:right w:val="none" w:sz="0" w:space="0" w:color="auto"/>
              </w:divBdr>
              <w:divsChild>
                <w:div w:id="1616711122">
                  <w:marLeft w:val="0"/>
                  <w:marRight w:val="0"/>
                  <w:marTop w:val="0"/>
                  <w:marBottom w:val="0"/>
                  <w:divBdr>
                    <w:top w:val="none" w:sz="0" w:space="0" w:color="auto"/>
                    <w:left w:val="none" w:sz="0" w:space="0" w:color="auto"/>
                    <w:bottom w:val="none" w:sz="0" w:space="0" w:color="auto"/>
                    <w:right w:val="none" w:sz="0" w:space="0" w:color="auto"/>
                  </w:divBdr>
                  <w:divsChild>
                    <w:div w:id="721711995">
                      <w:marLeft w:val="0"/>
                      <w:marRight w:val="0"/>
                      <w:marTop w:val="0"/>
                      <w:marBottom w:val="0"/>
                      <w:divBdr>
                        <w:top w:val="none" w:sz="0" w:space="0" w:color="auto"/>
                        <w:left w:val="none" w:sz="0" w:space="0" w:color="auto"/>
                        <w:bottom w:val="none" w:sz="0" w:space="0" w:color="auto"/>
                        <w:right w:val="none" w:sz="0" w:space="0" w:color="auto"/>
                      </w:divBdr>
                      <w:divsChild>
                        <w:div w:id="580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028713">
      <w:bodyDiv w:val="1"/>
      <w:marLeft w:val="0"/>
      <w:marRight w:val="0"/>
      <w:marTop w:val="0"/>
      <w:marBottom w:val="0"/>
      <w:divBdr>
        <w:top w:val="none" w:sz="0" w:space="0" w:color="auto"/>
        <w:left w:val="none" w:sz="0" w:space="0" w:color="auto"/>
        <w:bottom w:val="none" w:sz="0" w:space="0" w:color="auto"/>
        <w:right w:val="none" w:sz="0" w:space="0" w:color="auto"/>
      </w:divBdr>
      <w:divsChild>
        <w:div w:id="375861537">
          <w:marLeft w:val="0"/>
          <w:marRight w:val="0"/>
          <w:marTop w:val="0"/>
          <w:marBottom w:val="0"/>
          <w:divBdr>
            <w:top w:val="none" w:sz="0" w:space="0" w:color="auto"/>
            <w:left w:val="none" w:sz="0" w:space="0" w:color="auto"/>
            <w:bottom w:val="none" w:sz="0" w:space="0" w:color="auto"/>
            <w:right w:val="none" w:sz="0" w:space="0" w:color="auto"/>
          </w:divBdr>
          <w:divsChild>
            <w:div w:id="511727699">
              <w:marLeft w:val="0"/>
              <w:marRight w:val="0"/>
              <w:marTop w:val="0"/>
              <w:marBottom w:val="0"/>
              <w:divBdr>
                <w:top w:val="none" w:sz="0" w:space="0" w:color="auto"/>
                <w:left w:val="none" w:sz="0" w:space="0" w:color="auto"/>
                <w:bottom w:val="none" w:sz="0" w:space="0" w:color="auto"/>
                <w:right w:val="none" w:sz="0" w:space="0" w:color="auto"/>
              </w:divBdr>
              <w:divsChild>
                <w:div w:id="1377780918">
                  <w:marLeft w:val="0"/>
                  <w:marRight w:val="0"/>
                  <w:marTop w:val="0"/>
                  <w:marBottom w:val="0"/>
                  <w:divBdr>
                    <w:top w:val="none" w:sz="0" w:space="0" w:color="auto"/>
                    <w:left w:val="none" w:sz="0" w:space="0" w:color="auto"/>
                    <w:bottom w:val="none" w:sz="0" w:space="0" w:color="auto"/>
                    <w:right w:val="none" w:sz="0" w:space="0" w:color="auto"/>
                  </w:divBdr>
                  <w:divsChild>
                    <w:div w:id="1181625166">
                      <w:marLeft w:val="0"/>
                      <w:marRight w:val="0"/>
                      <w:marTop w:val="0"/>
                      <w:marBottom w:val="0"/>
                      <w:divBdr>
                        <w:top w:val="none" w:sz="0" w:space="0" w:color="auto"/>
                        <w:left w:val="none" w:sz="0" w:space="0" w:color="auto"/>
                        <w:bottom w:val="none" w:sz="0" w:space="0" w:color="auto"/>
                        <w:right w:val="none" w:sz="0" w:space="0" w:color="auto"/>
                      </w:divBdr>
                      <w:divsChild>
                        <w:div w:id="8565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46671">
      <w:bodyDiv w:val="1"/>
      <w:marLeft w:val="0"/>
      <w:marRight w:val="0"/>
      <w:marTop w:val="0"/>
      <w:marBottom w:val="0"/>
      <w:divBdr>
        <w:top w:val="none" w:sz="0" w:space="0" w:color="auto"/>
        <w:left w:val="none" w:sz="0" w:space="0" w:color="auto"/>
        <w:bottom w:val="none" w:sz="0" w:space="0" w:color="auto"/>
        <w:right w:val="none" w:sz="0" w:space="0" w:color="auto"/>
      </w:divBdr>
      <w:divsChild>
        <w:div w:id="28535360">
          <w:marLeft w:val="0"/>
          <w:marRight w:val="0"/>
          <w:marTop w:val="0"/>
          <w:marBottom w:val="0"/>
          <w:divBdr>
            <w:top w:val="none" w:sz="0" w:space="0" w:color="auto"/>
            <w:left w:val="none" w:sz="0" w:space="0" w:color="auto"/>
            <w:bottom w:val="none" w:sz="0" w:space="0" w:color="auto"/>
            <w:right w:val="none" w:sz="0" w:space="0" w:color="auto"/>
          </w:divBdr>
          <w:divsChild>
            <w:div w:id="636643422">
              <w:marLeft w:val="0"/>
              <w:marRight w:val="0"/>
              <w:marTop w:val="0"/>
              <w:marBottom w:val="0"/>
              <w:divBdr>
                <w:top w:val="none" w:sz="0" w:space="0" w:color="auto"/>
                <w:left w:val="none" w:sz="0" w:space="0" w:color="auto"/>
                <w:bottom w:val="none" w:sz="0" w:space="0" w:color="auto"/>
                <w:right w:val="none" w:sz="0" w:space="0" w:color="auto"/>
              </w:divBdr>
              <w:divsChild>
                <w:div w:id="34278892">
                  <w:marLeft w:val="0"/>
                  <w:marRight w:val="0"/>
                  <w:marTop w:val="0"/>
                  <w:marBottom w:val="0"/>
                  <w:divBdr>
                    <w:top w:val="none" w:sz="0" w:space="0" w:color="auto"/>
                    <w:left w:val="none" w:sz="0" w:space="0" w:color="auto"/>
                    <w:bottom w:val="none" w:sz="0" w:space="0" w:color="auto"/>
                    <w:right w:val="none" w:sz="0" w:space="0" w:color="auto"/>
                  </w:divBdr>
                  <w:divsChild>
                    <w:div w:id="94524252">
                      <w:marLeft w:val="0"/>
                      <w:marRight w:val="0"/>
                      <w:marTop w:val="0"/>
                      <w:marBottom w:val="0"/>
                      <w:divBdr>
                        <w:top w:val="none" w:sz="0" w:space="0" w:color="auto"/>
                        <w:left w:val="none" w:sz="0" w:space="0" w:color="auto"/>
                        <w:bottom w:val="none" w:sz="0" w:space="0" w:color="auto"/>
                        <w:right w:val="none" w:sz="0" w:space="0" w:color="auto"/>
                      </w:divBdr>
                      <w:divsChild>
                        <w:div w:id="17905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8080">
      <w:bodyDiv w:val="1"/>
      <w:marLeft w:val="0"/>
      <w:marRight w:val="0"/>
      <w:marTop w:val="0"/>
      <w:marBottom w:val="0"/>
      <w:divBdr>
        <w:top w:val="none" w:sz="0" w:space="0" w:color="auto"/>
        <w:left w:val="none" w:sz="0" w:space="0" w:color="auto"/>
        <w:bottom w:val="none" w:sz="0" w:space="0" w:color="auto"/>
        <w:right w:val="none" w:sz="0" w:space="0" w:color="auto"/>
      </w:divBdr>
    </w:div>
    <w:div w:id="1272279343">
      <w:bodyDiv w:val="1"/>
      <w:marLeft w:val="0"/>
      <w:marRight w:val="0"/>
      <w:marTop w:val="0"/>
      <w:marBottom w:val="0"/>
      <w:divBdr>
        <w:top w:val="none" w:sz="0" w:space="0" w:color="auto"/>
        <w:left w:val="none" w:sz="0" w:space="0" w:color="auto"/>
        <w:bottom w:val="none" w:sz="0" w:space="0" w:color="auto"/>
        <w:right w:val="none" w:sz="0" w:space="0" w:color="auto"/>
      </w:divBdr>
    </w:div>
    <w:div w:id="1275360887">
      <w:bodyDiv w:val="1"/>
      <w:marLeft w:val="0"/>
      <w:marRight w:val="0"/>
      <w:marTop w:val="0"/>
      <w:marBottom w:val="0"/>
      <w:divBdr>
        <w:top w:val="none" w:sz="0" w:space="0" w:color="auto"/>
        <w:left w:val="none" w:sz="0" w:space="0" w:color="auto"/>
        <w:bottom w:val="none" w:sz="0" w:space="0" w:color="auto"/>
        <w:right w:val="none" w:sz="0" w:space="0" w:color="auto"/>
      </w:divBdr>
    </w:div>
    <w:div w:id="1308632345">
      <w:bodyDiv w:val="1"/>
      <w:marLeft w:val="0"/>
      <w:marRight w:val="0"/>
      <w:marTop w:val="0"/>
      <w:marBottom w:val="0"/>
      <w:divBdr>
        <w:top w:val="none" w:sz="0" w:space="0" w:color="auto"/>
        <w:left w:val="none" w:sz="0" w:space="0" w:color="auto"/>
        <w:bottom w:val="none" w:sz="0" w:space="0" w:color="auto"/>
        <w:right w:val="none" w:sz="0" w:space="0" w:color="auto"/>
      </w:divBdr>
    </w:div>
    <w:div w:id="1380008553">
      <w:bodyDiv w:val="1"/>
      <w:marLeft w:val="0"/>
      <w:marRight w:val="0"/>
      <w:marTop w:val="0"/>
      <w:marBottom w:val="0"/>
      <w:divBdr>
        <w:top w:val="none" w:sz="0" w:space="0" w:color="auto"/>
        <w:left w:val="none" w:sz="0" w:space="0" w:color="auto"/>
        <w:bottom w:val="none" w:sz="0" w:space="0" w:color="auto"/>
        <w:right w:val="none" w:sz="0" w:space="0" w:color="auto"/>
      </w:divBdr>
    </w:div>
    <w:div w:id="1416897904">
      <w:bodyDiv w:val="1"/>
      <w:marLeft w:val="0"/>
      <w:marRight w:val="0"/>
      <w:marTop w:val="0"/>
      <w:marBottom w:val="0"/>
      <w:divBdr>
        <w:top w:val="none" w:sz="0" w:space="0" w:color="auto"/>
        <w:left w:val="none" w:sz="0" w:space="0" w:color="auto"/>
        <w:bottom w:val="none" w:sz="0" w:space="0" w:color="auto"/>
        <w:right w:val="none" w:sz="0" w:space="0" w:color="auto"/>
      </w:divBdr>
      <w:divsChild>
        <w:div w:id="358819381">
          <w:marLeft w:val="0"/>
          <w:marRight w:val="0"/>
          <w:marTop w:val="0"/>
          <w:marBottom w:val="0"/>
          <w:divBdr>
            <w:top w:val="none" w:sz="0" w:space="0" w:color="auto"/>
            <w:left w:val="none" w:sz="0" w:space="0" w:color="auto"/>
            <w:bottom w:val="none" w:sz="0" w:space="0" w:color="auto"/>
            <w:right w:val="none" w:sz="0" w:space="0" w:color="auto"/>
          </w:divBdr>
          <w:divsChild>
            <w:div w:id="1449742572">
              <w:marLeft w:val="0"/>
              <w:marRight w:val="0"/>
              <w:marTop w:val="0"/>
              <w:marBottom w:val="0"/>
              <w:divBdr>
                <w:top w:val="none" w:sz="0" w:space="0" w:color="auto"/>
                <w:left w:val="none" w:sz="0" w:space="0" w:color="auto"/>
                <w:bottom w:val="none" w:sz="0" w:space="0" w:color="auto"/>
                <w:right w:val="none" w:sz="0" w:space="0" w:color="auto"/>
              </w:divBdr>
              <w:divsChild>
                <w:div w:id="965937196">
                  <w:marLeft w:val="0"/>
                  <w:marRight w:val="0"/>
                  <w:marTop w:val="0"/>
                  <w:marBottom w:val="0"/>
                  <w:divBdr>
                    <w:top w:val="none" w:sz="0" w:space="0" w:color="auto"/>
                    <w:left w:val="none" w:sz="0" w:space="0" w:color="auto"/>
                    <w:bottom w:val="none" w:sz="0" w:space="0" w:color="auto"/>
                    <w:right w:val="none" w:sz="0" w:space="0" w:color="auto"/>
                  </w:divBdr>
                  <w:divsChild>
                    <w:div w:id="27224697">
                      <w:marLeft w:val="540"/>
                      <w:marRight w:val="0"/>
                      <w:marTop w:val="90"/>
                      <w:marBottom w:val="0"/>
                      <w:divBdr>
                        <w:top w:val="none" w:sz="0" w:space="0" w:color="auto"/>
                        <w:left w:val="none" w:sz="0" w:space="0" w:color="auto"/>
                        <w:bottom w:val="none" w:sz="0" w:space="0" w:color="auto"/>
                        <w:right w:val="none" w:sz="0" w:space="0" w:color="auto"/>
                      </w:divBdr>
                    </w:div>
                    <w:div w:id="1714765531">
                      <w:marLeft w:val="54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38548161">
          <w:marLeft w:val="0"/>
          <w:marRight w:val="0"/>
          <w:marTop w:val="0"/>
          <w:marBottom w:val="0"/>
          <w:divBdr>
            <w:top w:val="none" w:sz="0" w:space="0" w:color="auto"/>
            <w:left w:val="none" w:sz="0" w:space="0" w:color="auto"/>
            <w:bottom w:val="none" w:sz="0" w:space="0" w:color="auto"/>
            <w:right w:val="none" w:sz="0" w:space="0" w:color="auto"/>
          </w:divBdr>
          <w:divsChild>
            <w:div w:id="602691872">
              <w:marLeft w:val="540"/>
              <w:marRight w:val="0"/>
              <w:marTop w:val="90"/>
              <w:marBottom w:val="0"/>
              <w:divBdr>
                <w:top w:val="none" w:sz="0" w:space="0" w:color="auto"/>
                <w:left w:val="none" w:sz="0" w:space="0" w:color="auto"/>
                <w:bottom w:val="none" w:sz="0" w:space="0" w:color="auto"/>
                <w:right w:val="none" w:sz="0" w:space="0" w:color="auto"/>
              </w:divBdr>
            </w:div>
            <w:div w:id="1312978027">
              <w:marLeft w:val="540"/>
              <w:marRight w:val="0"/>
              <w:marTop w:val="90"/>
              <w:marBottom w:val="0"/>
              <w:divBdr>
                <w:top w:val="none" w:sz="0" w:space="0" w:color="auto"/>
                <w:left w:val="none" w:sz="0" w:space="0" w:color="auto"/>
                <w:bottom w:val="none" w:sz="0" w:space="0" w:color="auto"/>
                <w:right w:val="none" w:sz="0" w:space="0" w:color="auto"/>
              </w:divBdr>
            </w:div>
            <w:div w:id="1841461431">
              <w:marLeft w:val="540"/>
              <w:marRight w:val="0"/>
              <w:marTop w:val="90"/>
              <w:marBottom w:val="0"/>
              <w:divBdr>
                <w:top w:val="none" w:sz="0" w:space="0" w:color="auto"/>
                <w:left w:val="none" w:sz="0" w:space="0" w:color="auto"/>
                <w:bottom w:val="none" w:sz="0" w:space="0" w:color="auto"/>
                <w:right w:val="none" w:sz="0" w:space="0" w:color="auto"/>
              </w:divBdr>
              <w:divsChild>
                <w:div w:id="988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8042">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587810981">
      <w:bodyDiv w:val="1"/>
      <w:marLeft w:val="0"/>
      <w:marRight w:val="0"/>
      <w:marTop w:val="0"/>
      <w:marBottom w:val="0"/>
      <w:divBdr>
        <w:top w:val="none" w:sz="0" w:space="0" w:color="auto"/>
        <w:left w:val="none" w:sz="0" w:space="0" w:color="auto"/>
        <w:bottom w:val="none" w:sz="0" w:space="0" w:color="auto"/>
        <w:right w:val="none" w:sz="0" w:space="0" w:color="auto"/>
      </w:divBdr>
      <w:divsChild>
        <w:div w:id="2099252951">
          <w:marLeft w:val="0"/>
          <w:marRight w:val="0"/>
          <w:marTop w:val="0"/>
          <w:marBottom w:val="0"/>
          <w:divBdr>
            <w:top w:val="none" w:sz="0" w:space="0" w:color="auto"/>
            <w:left w:val="none" w:sz="0" w:space="0" w:color="auto"/>
            <w:bottom w:val="none" w:sz="0" w:space="0" w:color="auto"/>
            <w:right w:val="none" w:sz="0" w:space="0" w:color="auto"/>
          </w:divBdr>
          <w:divsChild>
            <w:div w:id="1981693272">
              <w:marLeft w:val="0"/>
              <w:marRight w:val="0"/>
              <w:marTop w:val="100"/>
              <w:marBottom w:val="100"/>
              <w:divBdr>
                <w:top w:val="none" w:sz="0" w:space="0" w:color="auto"/>
                <w:left w:val="none" w:sz="0" w:space="0" w:color="auto"/>
                <w:bottom w:val="none" w:sz="0" w:space="0" w:color="auto"/>
                <w:right w:val="none" w:sz="0" w:space="0" w:color="auto"/>
              </w:divBdr>
              <w:divsChild>
                <w:div w:id="1653175974">
                  <w:marLeft w:val="0"/>
                  <w:marRight w:val="0"/>
                  <w:marTop w:val="0"/>
                  <w:marBottom w:val="0"/>
                  <w:divBdr>
                    <w:top w:val="none" w:sz="0" w:space="0" w:color="auto"/>
                    <w:left w:val="none" w:sz="0" w:space="0" w:color="auto"/>
                    <w:bottom w:val="none" w:sz="0" w:space="0" w:color="auto"/>
                    <w:right w:val="none" w:sz="0" w:space="0" w:color="auto"/>
                  </w:divBdr>
                  <w:divsChild>
                    <w:div w:id="744182709">
                      <w:marLeft w:val="0"/>
                      <w:marRight w:val="0"/>
                      <w:marTop w:val="0"/>
                      <w:marBottom w:val="0"/>
                      <w:divBdr>
                        <w:top w:val="none" w:sz="0" w:space="0" w:color="auto"/>
                        <w:left w:val="none" w:sz="0" w:space="0" w:color="auto"/>
                        <w:bottom w:val="none" w:sz="0" w:space="0" w:color="auto"/>
                        <w:right w:val="none" w:sz="0" w:space="0" w:color="auto"/>
                      </w:divBdr>
                      <w:divsChild>
                        <w:div w:id="190922507">
                          <w:marLeft w:val="0"/>
                          <w:marRight w:val="0"/>
                          <w:marTop w:val="0"/>
                          <w:marBottom w:val="0"/>
                          <w:divBdr>
                            <w:top w:val="none" w:sz="0" w:space="0" w:color="auto"/>
                            <w:left w:val="none" w:sz="0" w:space="0" w:color="auto"/>
                            <w:bottom w:val="none" w:sz="0" w:space="0" w:color="auto"/>
                            <w:right w:val="none" w:sz="0" w:space="0" w:color="auto"/>
                          </w:divBdr>
                          <w:divsChild>
                            <w:div w:id="1837960346">
                              <w:marLeft w:val="0"/>
                              <w:marRight w:val="0"/>
                              <w:marTop w:val="0"/>
                              <w:marBottom w:val="0"/>
                              <w:divBdr>
                                <w:top w:val="none" w:sz="0" w:space="0" w:color="auto"/>
                                <w:left w:val="none" w:sz="0" w:space="0" w:color="auto"/>
                                <w:bottom w:val="none" w:sz="0" w:space="0" w:color="auto"/>
                                <w:right w:val="none" w:sz="0" w:space="0" w:color="auto"/>
                              </w:divBdr>
                              <w:divsChild>
                                <w:div w:id="2123838480">
                                  <w:marLeft w:val="0"/>
                                  <w:marRight w:val="0"/>
                                  <w:marTop w:val="0"/>
                                  <w:marBottom w:val="0"/>
                                  <w:divBdr>
                                    <w:top w:val="none" w:sz="0" w:space="0" w:color="auto"/>
                                    <w:left w:val="none" w:sz="0" w:space="0" w:color="auto"/>
                                    <w:bottom w:val="none" w:sz="0" w:space="0" w:color="auto"/>
                                    <w:right w:val="none" w:sz="0" w:space="0" w:color="auto"/>
                                  </w:divBdr>
                                  <w:divsChild>
                                    <w:div w:id="559512785">
                                      <w:marLeft w:val="0"/>
                                      <w:marRight w:val="0"/>
                                      <w:marTop w:val="0"/>
                                      <w:marBottom w:val="0"/>
                                      <w:divBdr>
                                        <w:top w:val="none" w:sz="0" w:space="0" w:color="auto"/>
                                        <w:left w:val="none" w:sz="0" w:space="0" w:color="auto"/>
                                        <w:bottom w:val="none" w:sz="0" w:space="0" w:color="auto"/>
                                        <w:right w:val="none" w:sz="0" w:space="0" w:color="auto"/>
                                      </w:divBdr>
                                      <w:divsChild>
                                        <w:div w:id="1603105541">
                                          <w:marLeft w:val="0"/>
                                          <w:marRight w:val="0"/>
                                          <w:marTop w:val="0"/>
                                          <w:marBottom w:val="0"/>
                                          <w:divBdr>
                                            <w:top w:val="none" w:sz="0" w:space="0" w:color="auto"/>
                                            <w:left w:val="none" w:sz="0" w:space="0" w:color="auto"/>
                                            <w:bottom w:val="none" w:sz="0" w:space="0" w:color="auto"/>
                                            <w:right w:val="none" w:sz="0" w:space="0" w:color="auto"/>
                                          </w:divBdr>
                                          <w:divsChild>
                                            <w:div w:id="1126779044">
                                              <w:marLeft w:val="165"/>
                                              <w:marRight w:val="165"/>
                                              <w:marTop w:val="0"/>
                                              <w:marBottom w:val="0"/>
                                              <w:divBdr>
                                                <w:top w:val="none" w:sz="0" w:space="0" w:color="auto"/>
                                                <w:left w:val="none" w:sz="0" w:space="0" w:color="auto"/>
                                                <w:bottom w:val="none" w:sz="0" w:space="0" w:color="auto"/>
                                                <w:right w:val="none" w:sz="0" w:space="0" w:color="auto"/>
                                              </w:divBdr>
                                              <w:divsChild>
                                                <w:div w:id="1072392121">
                                                  <w:marLeft w:val="0"/>
                                                  <w:marRight w:val="0"/>
                                                  <w:marTop w:val="0"/>
                                                  <w:marBottom w:val="0"/>
                                                  <w:divBdr>
                                                    <w:top w:val="none" w:sz="0" w:space="0" w:color="auto"/>
                                                    <w:left w:val="none" w:sz="0" w:space="0" w:color="auto"/>
                                                    <w:bottom w:val="none" w:sz="0" w:space="0" w:color="auto"/>
                                                    <w:right w:val="none" w:sz="0" w:space="0" w:color="auto"/>
                                                  </w:divBdr>
                                                </w:div>
                                                <w:div w:id="16894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84926">
      <w:bodyDiv w:val="1"/>
      <w:marLeft w:val="0"/>
      <w:marRight w:val="0"/>
      <w:marTop w:val="0"/>
      <w:marBottom w:val="0"/>
      <w:divBdr>
        <w:top w:val="none" w:sz="0" w:space="0" w:color="auto"/>
        <w:left w:val="none" w:sz="0" w:space="0" w:color="auto"/>
        <w:bottom w:val="none" w:sz="0" w:space="0" w:color="auto"/>
        <w:right w:val="none" w:sz="0" w:space="0" w:color="auto"/>
      </w:divBdr>
    </w:div>
    <w:div w:id="1636914717">
      <w:bodyDiv w:val="1"/>
      <w:marLeft w:val="0"/>
      <w:marRight w:val="0"/>
      <w:marTop w:val="0"/>
      <w:marBottom w:val="0"/>
      <w:divBdr>
        <w:top w:val="none" w:sz="0" w:space="0" w:color="auto"/>
        <w:left w:val="none" w:sz="0" w:space="0" w:color="auto"/>
        <w:bottom w:val="none" w:sz="0" w:space="0" w:color="auto"/>
        <w:right w:val="none" w:sz="0" w:space="0" w:color="auto"/>
      </w:divBdr>
    </w:div>
    <w:div w:id="1644777686">
      <w:bodyDiv w:val="1"/>
      <w:marLeft w:val="0"/>
      <w:marRight w:val="0"/>
      <w:marTop w:val="0"/>
      <w:marBottom w:val="0"/>
      <w:divBdr>
        <w:top w:val="none" w:sz="0" w:space="0" w:color="auto"/>
        <w:left w:val="none" w:sz="0" w:space="0" w:color="auto"/>
        <w:bottom w:val="none" w:sz="0" w:space="0" w:color="auto"/>
        <w:right w:val="none" w:sz="0" w:space="0" w:color="auto"/>
      </w:divBdr>
    </w:div>
    <w:div w:id="1670711242">
      <w:bodyDiv w:val="1"/>
      <w:marLeft w:val="0"/>
      <w:marRight w:val="0"/>
      <w:marTop w:val="0"/>
      <w:marBottom w:val="0"/>
      <w:divBdr>
        <w:top w:val="none" w:sz="0" w:space="0" w:color="auto"/>
        <w:left w:val="none" w:sz="0" w:space="0" w:color="auto"/>
        <w:bottom w:val="none" w:sz="0" w:space="0" w:color="auto"/>
        <w:right w:val="none" w:sz="0" w:space="0" w:color="auto"/>
      </w:divBdr>
      <w:divsChild>
        <w:div w:id="1870215815">
          <w:marLeft w:val="0"/>
          <w:marRight w:val="0"/>
          <w:marTop w:val="0"/>
          <w:marBottom w:val="0"/>
          <w:divBdr>
            <w:top w:val="none" w:sz="0" w:space="0" w:color="auto"/>
            <w:left w:val="none" w:sz="0" w:space="0" w:color="auto"/>
            <w:bottom w:val="none" w:sz="0" w:space="0" w:color="auto"/>
            <w:right w:val="none" w:sz="0" w:space="0" w:color="auto"/>
          </w:divBdr>
        </w:div>
      </w:divsChild>
    </w:div>
    <w:div w:id="1697658987">
      <w:bodyDiv w:val="1"/>
      <w:marLeft w:val="0"/>
      <w:marRight w:val="0"/>
      <w:marTop w:val="0"/>
      <w:marBottom w:val="0"/>
      <w:divBdr>
        <w:top w:val="none" w:sz="0" w:space="0" w:color="auto"/>
        <w:left w:val="none" w:sz="0" w:space="0" w:color="auto"/>
        <w:bottom w:val="none" w:sz="0" w:space="0" w:color="auto"/>
        <w:right w:val="none" w:sz="0" w:space="0" w:color="auto"/>
      </w:divBdr>
      <w:divsChild>
        <w:div w:id="868495376">
          <w:marLeft w:val="0"/>
          <w:marRight w:val="0"/>
          <w:marTop w:val="0"/>
          <w:marBottom w:val="0"/>
          <w:divBdr>
            <w:top w:val="none" w:sz="0" w:space="0" w:color="auto"/>
            <w:left w:val="none" w:sz="0" w:space="0" w:color="auto"/>
            <w:bottom w:val="none" w:sz="0" w:space="0" w:color="auto"/>
            <w:right w:val="none" w:sz="0" w:space="0" w:color="auto"/>
          </w:divBdr>
          <w:divsChild>
            <w:div w:id="1546218725">
              <w:marLeft w:val="0"/>
              <w:marRight w:val="0"/>
              <w:marTop w:val="0"/>
              <w:marBottom w:val="0"/>
              <w:divBdr>
                <w:top w:val="none" w:sz="0" w:space="0" w:color="auto"/>
                <w:left w:val="none" w:sz="0" w:space="0" w:color="auto"/>
                <w:bottom w:val="none" w:sz="0" w:space="0" w:color="auto"/>
                <w:right w:val="none" w:sz="0" w:space="0" w:color="auto"/>
              </w:divBdr>
              <w:divsChild>
                <w:div w:id="393548927">
                  <w:marLeft w:val="0"/>
                  <w:marRight w:val="0"/>
                  <w:marTop w:val="0"/>
                  <w:marBottom w:val="0"/>
                  <w:divBdr>
                    <w:top w:val="none" w:sz="0" w:space="0" w:color="auto"/>
                    <w:left w:val="none" w:sz="0" w:space="0" w:color="auto"/>
                    <w:bottom w:val="none" w:sz="0" w:space="0" w:color="auto"/>
                    <w:right w:val="none" w:sz="0" w:space="0" w:color="auto"/>
                  </w:divBdr>
                  <w:divsChild>
                    <w:div w:id="1578054627">
                      <w:marLeft w:val="0"/>
                      <w:marRight w:val="0"/>
                      <w:marTop w:val="0"/>
                      <w:marBottom w:val="0"/>
                      <w:divBdr>
                        <w:top w:val="none" w:sz="0" w:space="0" w:color="auto"/>
                        <w:left w:val="none" w:sz="0" w:space="0" w:color="auto"/>
                        <w:bottom w:val="none" w:sz="0" w:space="0" w:color="auto"/>
                        <w:right w:val="none" w:sz="0" w:space="0" w:color="auto"/>
                      </w:divBdr>
                      <w:divsChild>
                        <w:div w:id="1684088290">
                          <w:marLeft w:val="0"/>
                          <w:marRight w:val="0"/>
                          <w:marTop w:val="0"/>
                          <w:marBottom w:val="0"/>
                          <w:divBdr>
                            <w:top w:val="none" w:sz="0" w:space="0" w:color="auto"/>
                            <w:left w:val="none" w:sz="0" w:space="0" w:color="auto"/>
                            <w:bottom w:val="none" w:sz="0" w:space="0" w:color="auto"/>
                            <w:right w:val="none" w:sz="0" w:space="0" w:color="auto"/>
                          </w:divBdr>
                          <w:divsChild>
                            <w:div w:id="351959158">
                              <w:marLeft w:val="0"/>
                              <w:marRight w:val="0"/>
                              <w:marTop w:val="0"/>
                              <w:marBottom w:val="0"/>
                              <w:divBdr>
                                <w:top w:val="none" w:sz="0" w:space="0" w:color="auto"/>
                                <w:left w:val="none" w:sz="0" w:space="0" w:color="auto"/>
                                <w:bottom w:val="none" w:sz="0" w:space="0" w:color="auto"/>
                                <w:right w:val="none" w:sz="0" w:space="0" w:color="auto"/>
                              </w:divBdr>
                              <w:divsChild>
                                <w:div w:id="733547818">
                                  <w:marLeft w:val="0"/>
                                  <w:marRight w:val="0"/>
                                  <w:marTop w:val="0"/>
                                  <w:marBottom w:val="0"/>
                                  <w:divBdr>
                                    <w:top w:val="none" w:sz="0" w:space="0" w:color="auto"/>
                                    <w:left w:val="none" w:sz="0" w:space="0" w:color="auto"/>
                                    <w:bottom w:val="none" w:sz="0" w:space="0" w:color="auto"/>
                                    <w:right w:val="none" w:sz="0" w:space="0" w:color="auto"/>
                                  </w:divBdr>
                                  <w:divsChild>
                                    <w:div w:id="973414106">
                                      <w:marLeft w:val="0"/>
                                      <w:marRight w:val="0"/>
                                      <w:marTop w:val="0"/>
                                      <w:marBottom w:val="0"/>
                                      <w:divBdr>
                                        <w:top w:val="none" w:sz="0" w:space="0" w:color="auto"/>
                                        <w:left w:val="none" w:sz="0" w:space="0" w:color="auto"/>
                                        <w:bottom w:val="none" w:sz="0" w:space="0" w:color="auto"/>
                                        <w:right w:val="none" w:sz="0" w:space="0" w:color="auto"/>
                                      </w:divBdr>
                                      <w:divsChild>
                                        <w:div w:id="1307390197">
                                          <w:marLeft w:val="0"/>
                                          <w:marRight w:val="0"/>
                                          <w:marTop w:val="0"/>
                                          <w:marBottom w:val="0"/>
                                          <w:divBdr>
                                            <w:top w:val="none" w:sz="0" w:space="0" w:color="auto"/>
                                            <w:left w:val="none" w:sz="0" w:space="0" w:color="auto"/>
                                            <w:bottom w:val="none" w:sz="0" w:space="0" w:color="auto"/>
                                            <w:right w:val="none" w:sz="0" w:space="0" w:color="auto"/>
                                          </w:divBdr>
                                          <w:divsChild>
                                            <w:div w:id="1624775233">
                                              <w:marLeft w:val="0"/>
                                              <w:marRight w:val="0"/>
                                              <w:marTop w:val="0"/>
                                              <w:marBottom w:val="0"/>
                                              <w:divBdr>
                                                <w:top w:val="none" w:sz="0" w:space="0" w:color="auto"/>
                                                <w:left w:val="none" w:sz="0" w:space="0" w:color="auto"/>
                                                <w:bottom w:val="none" w:sz="0" w:space="0" w:color="auto"/>
                                                <w:right w:val="none" w:sz="0" w:space="0" w:color="auto"/>
                                              </w:divBdr>
                                              <w:divsChild>
                                                <w:div w:id="953945375">
                                                  <w:marLeft w:val="0"/>
                                                  <w:marRight w:val="0"/>
                                                  <w:marTop w:val="0"/>
                                                  <w:marBottom w:val="0"/>
                                                  <w:divBdr>
                                                    <w:top w:val="none" w:sz="0" w:space="0" w:color="auto"/>
                                                    <w:left w:val="none" w:sz="0" w:space="0" w:color="auto"/>
                                                    <w:bottom w:val="none" w:sz="0" w:space="0" w:color="auto"/>
                                                    <w:right w:val="none" w:sz="0" w:space="0" w:color="auto"/>
                                                  </w:divBdr>
                                                  <w:divsChild>
                                                    <w:div w:id="1825780671">
                                                      <w:marLeft w:val="0"/>
                                                      <w:marRight w:val="0"/>
                                                      <w:marTop w:val="0"/>
                                                      <w:marBottom w:val="0"/>
                                                      <w:divBdr>
                                                        <w:top w:val="none" w:sz="0" w:space="0" w:color="auto"/>
                                                        <w:left w:val="none" w:sz="0" w:space="0" w:color="auto"/>
                                                        <w:bottom w:val="none" w:sz="0" w:space="0" w:color="auto"/>
                                                        <w:right w:val="none" w:sz="0" w:space="0" w:color="auto"/>
                                                      </w:divBdr>
                                                      <w:divsChild>
                                                        <w:div w:id="1689601659">
                                                          <w:marLeft w:val="0"/>
                                                          <w:marRight w:val="0"/>
                                                          <w:marTop w:val="0"/>
                                                          <w:marBottom w:val="0"/>
                                                          <w:divBdr>
                                                            <w:top w:val="none" w:sz="0" w:space="0" w:color="auto"/>
                                                            <w:left w:val="none" w:sz="0" w:space="0" w:color="auto"/>
                                                            <w:bottom w:val="none" w:sz="0" w:space="0" w:color="auto"/>
                                                            <w:right w:val="none" w:sz="0" w:space="0" w:color="auto"/>
                                                          </w:divBdr>
                                                          <w:divsChild>
                                                            <w:div w:id="1864784491">
                                                              <w:marLeft w:val="0"/>
                                                              <w:marRight w:val="0"/>
                                                              <w:marTop w:val="0"/>
                                                              <w:marBottom w:val="0"/>
                                                              <w:divBdr>
                                                                <w:top w:val="none" w:sz="0" w:space="0" w:color="auto"/>
                                                                <w:left w:val="none" w:sz="0" w:space="0" w:color="auto"/>
                                                                <w:bottom w:val="none" w:sz="0" w:space="0" w:color="auto"/>
                                                                <w:right w:val="none" w:sz="0" w:space="0" w:color="auto"/>
                                                              </w:divBdr>
                                                              <w:divsChild>
                                                                <w:div w:id="309678108">
                                                                  <w:marLeft w:val="0"/>
                                                                  <w:marRight w:val="0"/>
                                                                  <w:marTop w:val="0"/>
                                                                  <w:marBottom w:val="0"/>
                                                                  <w:divBdr>
                                                                    <w:top w:val="none" w:sz="0" w:space="0" w:color="auto"/>
                                                                    <w:left w:val="none" w:sz="0" w:space="0" w:color="auto"/>
                                                                    <w:bottom w:val="none" w:sz="0" w:space="0" w:color="auto"/>
                                                                    <w:right w:val="none" w:sz="0" w:space="0" w:color="auto"/>
                                                                  </w:divBdr>
                                                                  <w:divsChild>
                                                                    <w:div w:id="549540553">
                                                                      <w:marLeft w:val="0"/>
                                                                      <w:marRight w:val="0"/>
                                                                      <w:marTop w:val="0"/>
                                                                      <w:marBottom w:val="0"/>
                                                                      <w:divBdr>
                                                                        <w:top w:val="none" w:sz="0" w:space="0" w:color="auto"/>
                                                                        <w:left w:val="none" w:sz="0" w:space="0" w:color="auto"/>
                                                                        <w:bottom w:val="none" w:sz="0" w:space="0" w:color="auto"/>
                                                                        <w:right w:val="none" w:sz="0" w:space="0" w:color="auto"/>
                                                                      </w:divBdr>
                                                                      <w:divsChild>
                                                                        <w:div w:id="34739592">
                                                                          <w:marLeft w:val="0"/>
                                                                          <w:marRight w:val="0"/>
                                                                          <w:marTop w:val="0"/>
                                                                          <w:marBottom w:val="0"/>
                                                                          <w:divBdr>
                                                                            <w:top w:val="none" w:sz="0" w:space="0" w:color="auto"/>
                                                                            <w:left w:val="none" w:sz="0" w:space="0" w:color="auto"/>
                                                                            <w:bottom w:val="none" w:sz="0" w:space="0" w:color="auto"/>
                                                                            <w:right w:val="none" w:sz="0" w:space="0" w:color="auto"/>
                                                                          </w:divBdr>
                                                                          <w:divsChild>
                                                                            <w:div w:id="5889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680275">
      <w:bodyDiv w:val="1"/>
      <w:marLeft w:val="0"/>
      <w:marRight w:val="0"/>
      <w:marTop w:val="0"/>
      <w:marBottom w:val="0"/>
      <w:divBdr>
        <w:top w:val="none" w:sz="0" w:space="0" w:color="auto"/>
        <w:left w:val="none" w:sz="0" w:space="0" w:color="auto"/>
        <w:bottom w:val="none" w:sz="0" w:space="0" w:color="auto"/>
        <w:right w:val="none" w:sz="0" w:space="0" w:color="auto"/>
      </w:divBdr>
    </w:div>
    <w:div w:id="1768771362">
      <w:bodyDiv w:val="1"/>
      <w:marLeft w:val="0"/>
      <w:marRight w:val="0"/>
      <w:marTop w:val="0"/>
      <w:marBottom w:val="0"/>
      <w:divBdr>
        <w:top w:val="none" w:sz="0" w:space="0" w:color="auto"/>
        <w:left w:val="none" w:sz="0" w:space="0" w:color="auto"/>
        <w:bottom w:val="none" w:sz="0" w:space="0" w:color="auto"/>
        <w:right w:val="none" w:sz="0" w:space="0" w:color="auto"/>
      </w:divBdr>
    </w:div>
    <w:div w:id="1790079658">
      <w:bodyDiv w:val="1"/>
      <w:marLeft w:val="0"/>
      <w:marRight w:val="0"/>
      <w:marTop w:val="0"/>
      <w:marBottom w:val="0"/>
      <w:divBdr>
        <w:top w:val="none" w:sz="0" w:space="0" w:color="auto"/>
        <w:left w:val="none" w:sz="0" w:space="0" w:color="auto"/>
        <w:bottom w:val="none" w:sz="0" w:space="0" w:color="auto"/>
        <w:right w:val="none" w:sz="0" w:space="0" w:color="auto"/>
      </w:divBdr>
    </w:div>
    <w:div w:id="1840077008">
      <w:bodyDiv w:val="1"/>
      <w:marLeft w:val="0"/>
      <w:marRight w:val="0"/>
      <w:marTop w:val="0"/>
      <w:marBottom w:val="0"/>
      <w:divBdr>
        <w:top w:val="none" w:sz="0" w:space="0" w:color="auto"/>
        <w:left w:val="none" w:sz="0" w:space="0" w:color="auto"/>
        <w:bottom w:val="none" w:sz="0" w:space="0" w:color="auto"/>
        <w:right w:val="none" w:sz="0" w:space="0" w:color="auto"/>
      </w:divBdr>
      <w:divsChild>
        <w:div w:id="5520658">
          <w:marLeft w:val="0"/>
          <w:marRight w:val="0"/>
          <w:marTop w:val="0"/>
          <w:marBottom w:val="0"/>
          <w:divBdr>
            <w:top w:val="single" w:sz="2" w:space="0" w:color="2E2E2E"/>
            <w:left w:val="single" w:sz="2" w:space="0" w:color="2E2E2E"/>
            <w:bottom w:val="single" w:sz="2" w:space="0" w:color="2E2E2E"/>
            <w:right w:val="single" w:sz="2" w:space="0" w:color="2E2E2E"/>
          </w:divBdr>
          <w:divsChild>
            <w:div w:id="1663579573">
              <w:marLeft w:val="0"/>
              <w:marRight w:val="0"/>
              <w:marTop w:val="0"/>
              <w:marBottom w:val="0"/>
              <w:divBdr>
                <w:top w:val="single" w:sz="6" w:space="0" w:color="C9C9C9"/>
                <w:left w:val="none" w:sz="0" w:space="0" w:color="auto"/>
                <w:bottom w:val="none" w:sz="0" w:space="0" w:color="auto"/>
                <w:right w:val="none" w:sz="0" w:space="0" w:color="auto"/>
              </w:divBdr>
              <w:divsChild>
                <w:div w:id="352608339">
                  <w:marLeft w:val="0"/>
                  <w:marRight w:val="0"/>
                  <w:marTop w:val="0"/>
                  <w:marBottom w:val="0"/>
                  <w:divBdr>
                    <w:top w:val="none" w:sz="0" w:space="0" w:color="auto"/>
                    <w:left w:val="none" w:sz="0" w:space="0" w:color="auto"/>
                    <w:bottom w:val="none" w:sz="0" w:space="0" w:color="auto"/>
                    <w:right w:val="none" w:sz="0" w:space="0" w:color="auto"/>
                  </w:divBdr>
                  <w:divsChild>
                    <w:div w:id="619604803">
                      <w:marLeft w:val="0"/>
                      <w:marRight w:val="0"/>
                      <w:marTop w:val="0"/>
                      <w:marBottom w:val="0"/>
                      <w:divBdr>
                        <w:top w:val="none" w:sz="0" w:space="0" w:color="auto"/>
                        <w:left w:val="none" w:sz="0" w:space="0" w:color="auto"/>
                        <w:bottom w:val="none" w:sz="0" w:space="0" w:color="auto"/>
                        <w:right w:val="none" w:sz="0" w:space="0" w:color="auto"/>
                      </w:divBdr>
                      <w:divsChild>
                        <w:div w:id="14909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11276">
      <w:bodyDiv w:val="1"/>
      <w:marLeft w:val="0"/>
      <w:marRight w:val="0"/>
      <w:marTop w:val="0"/>
      <w:marBottom w:val="0"/>
      <w:divBdr>
        <w:top w:val="none" w:sz="0" w:space="0" w:color="auto"/>
        <w:left w:val="none" w:sz="0" w:space="0" w:color="auto"/>
        <w:bottom w:val="none" w:sz="0" w:space="0" w:color="auto"/>
        <w:right w:val="none" w:sz="0" w:space="0" w:color="auto"/>
      </w:divBdr>
    </w:div>
    <w:div w:id="2050835606">
      <w:bodyDiv w:val="1"/>
      <w:marLeft w:val="0"/>
      <w:marRight w:val="0"/>
      <w:marTop w:val="0"/>
      <w:marBottom w:val="0"/>
      <w:divBdr>
        <w:top w:val="none" w:sz="0" w:space="0" w:color="auto"/>
        <w:left w:val="none" w:sz="0" w:space="0" w:color="auto"/>
        <w:bottom w:val="none" w:sz="0" w:space="0" w:color="auto"/>
        <w:right w:val="none" w:sz="0" w:space="0" w:color="auto"/>
      </w:divBdr>
      <w:divsChild>
        <w:div w:id="712079488">
          <w:marLeft w:val="0"/>
          <w:marRight w:val="0"/>
          <w:marTop w:val="0"/>
          <w:marBottom w:val="0"/>
          <w:divBdr>
            <w:top w:val="none" w:sz="0" w:space="0" w:color="auto"/>
            <w:left w:val="none" w:sz="0" w:space="0" w:color="auto"/>
            <w:bottom w:val="none" w:sz="0" w:space="0" w:color="auto"/>
            <w:right w:val="none" w:sz="0" w:space="0" w:color="auto"/>
          </w:divBdr>
          <w:divsChild>
            <w:div w:id="34963109">
              <w:marLeft w:val="0"/>
              <w:marRight w:val="0"/>
              <w:marTop w:val="0"/>
              <w:marBottom w:val="0"/>
              <w:divBdr>
                <w:top w:val="none" w:sz="0" w:space="0" w:color="auto"/>
                <w:left w:val="none" w:sz="0" w:space="0" w:color="auto"/>
                <w:bottom w:val="none" w:sz="0" w:space="0" w:color="auto"/>
                <w:right w:val="none" w:sz="0" w:space="0" w:color="auto"/>
              </w:divBdr>
              <w:divsChild>
                <w:div w:id="121654874">
                  <w:marLeft w:val="0"/>
                  <w:marRight w:val="0"/>
                  <w:marTop w:val="0"/>
                  <w:marBottom w:val="0"/>
                  <w:divBdr>
                    <w:top w:val="none" w:sz="0" w:space="0" w:color="auto"/>
                    <w:left w:val="none" w:sz="0" w:space="0" w:color="auto"/>
                    <w:bottom w:val="none" w:sz="0" w:space="0" w:color="auto"/>
                    <w:right w:val="none" w:sz="0" w:space="0" w:color="auto"/>
                  </w:divBdr>
                  <w:divsChild>
                    <w:div w:id="266542342">
                      <w:marLeft w:val="0"/>
                      <w:marRight w:val="0"/>
                      <w:marTop w:val="0"/>
                      <w:marBottom w:val="0"/>
                      <w:divBdr>
                        <w:top w:val="none" w:sz="0" w:space="0" w:color="auto"/>
                        <w:left w:val="none" w:sz="0" w:space="0" w:color="auto"/>
                        <w:bottom w:val="none" w:sz="0" w:space="0" w:color="auto"/>
                        <w:right w:val="none" w:sz="0" w:space="0" w:color="auto"/>
                      </w:divBdr>
                      <w:divsChild>
                        <w:div w:id="14151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41909">
      <w:bodyDiv w:val="1"/>
      <w:marLeft w:val="0"/>
      <w:marRight w:val="0"/>
      <w:marTop w:val="0"/>
      <w:marBottom w:val="0"/>
      <w:divBdr>
        <w:top w:val="none" w:sz="0" w:space="0" w:color="auto"/>
        <w:left w:val="none" w:sz="0" w:space="0" w:color="auto"/>
        <w:bottom w:val="none" w:sz="0" w:space="0" w:color="auto"/>
        <w:right w:val="none" w:sz="0" w:space="0" w:color="auto"/>
      </w:divBdr>
    </w:div>
    <w:div w:id="214330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gb.gov.au/Pages/completed-audits-and-reviews.aspx"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pyright@agricultur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gb.gov.au/Pages/default.aspx" TargetMode="External"/><Relationship Id="rId23" Type="http://schemas.openxmlformats.org/officeDocument/2006/relationships/fontTable" Target="fontTable.xml"/><Relationship Id="rId10" Type="http://schemas.openxmlformats.org/officeDocument/2006/relationships/hyperlink" Target="https://creativecommons.org/licenses/by/4.0/legalco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spgenbiosecurity@agriculture.gov.au"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2C1E0A855421449C0CE0CFE8FBF984" ma:contentTypeVersion="2" ma:contentTypeDescription="Create a new document." ma:contentTypeScope="" ma:versionID="5b17c3b7cecd7324a14d05aaad05edf2">
  <xsd:schema xmlns:xsd="http://www.w3.org/2001/XMLSchema" xmlns:xs="http://www.w3.org/2001/XMLSchema" xmlns:p="http://schemas.microsoft.com/office/2006/metadata/properties" xmlns:ns1="http://schemas.microsoft.com/sharepoint/v3" targetNamespace="http://schemas.microsoft.com/office/2006/metadata/properties" ma:root="true" ma:fieldsID="fc433f8d84b32dbd926f1ff0d8c915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20D55F-B5F3-480B-94F0-EB98FB79F13B}"/>
</file>

<file path=customXml/itemProps2.xml><?xml version="1.0" encoding="utf-8"?>
<ds:datastoreItem xmlns:ds="http://schemas.openxmlformats.org/officeDocument/2006/customXml" ds:itemID="{AA1C31F3-A45D-4041-AECB-458FE146A116}"/>
</file>

<file path=customXml/itemProps3.xml><?xml version="1.0" encoding="utf-8"?>
<ds:datastoreItem xmlns:ds="http://schemas.openxmlformats.org/officeDocument/2006/customXml" ds:itemID="{3D40EEC4-1CCA-4125-A454-7008D1750316}"/>
</file>

<file path=customXml/itemProps4.xml><?xml version="1.0" encoding="utf-8"?>
<ds:datastoreItem xmlns:ds="http://schemas.openxmlformats.org/officeDocument/2006/customXml" ds:itemID="{49E073F7-0CE8-4711-8408-F1FF898FD9F3}"/>
</file>

<file path=docProps/app.xml><?xml version="1.0" encoding="utf-8"?>
<Properties xmlns="http://schemas.openxmlformats.org/officeDocument/2006/extended-properties" xmlns:vt="http://schemas.openxmlformats.org/officeDocument/2006/docPropsVTypes">
  <Template>Normal</Template>
  <TotalTime>0</TotalTime>
  <Pages>24</Pages>
  <Words>9821</Words>
  <Characters>55985</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Uncooked prawn imports: effectiveness of biosecurity controls</vt:lpstr>
    </vt:vector>
  </TitlesOfParts>
  <Company>Department of Agriculture Fisheries &amp; Forestry</Company>
  <LinksUpToDate>false</LinksUpToDate>
  <CharactersWithSpaces>65675</CharactersWithSpaces>
  <SharedDoc>false</SharedDoc>
  <HLinks>
    <vt:vector size="408" baseType="variant">
      <vt:variant>
        <vt:i4>5177431</vt:i4>
      </vt:variant>
      <vt:variant>
        <vt:i4>468</vt:i4>
      </vt:variant>
      <vt:variant>
        <vt:i4>0</vt:i4>
      </vt:variant>
      <vt:variant>
        <vt:i4>5</vt:i4>
      </vt:variant>
      <vt:variant>
        <vt:lpwstr>http://www.planthealthaustralia.com.au/national-programs/national-plant-biosecurity-strategy/</vt:lpwstr>
      </vt:variant>
      <vt:variant>
        <vt:lpwstr/>
      </vt:variant>
      <vt:variant>
        <vt:i4>5373969</vt:i4>
      </vt:variant>
      <vt:variant>
        <vt:i4>465</vt:i4>
      </vt:variant>
      <vt:variant>
        <vt:i4>0</vt:i4>
      </vt:variant>
      <vt:variant>
        <vt:i4>5</vt:i4>
      </vt:variant>
      <vt:variant>
        <vt:lpwstr>http://www.wageningenur.nl/en/Publication-details.htm?publicationId=publication-way-333431343037</vt:lpwstr>
      </vt:variant>
      <vt:variant>
        <vt:lpwstr/>
      </vt:variant>
      <vt:variant>
        <vt:i4>4718592</vt:i4>
      </vt:variant>
      <vt:variant>
        <vt:i4>462</vt:i4>
      </vt:variant>
      <vt:variant>
        <vt:i4>0</vt:i4>
      </vt:variant>
      <vt:variant>
        <vt:i4>5</vt:i4>
      </vt:variant>
      <vt:variant>
        <vt:lpwstr>https://www.ippc.int/static/media/files/publications/1292408061_1291027896_MC2010_12_Specificati.doc</vt:lpwstr>
      </vt:variant>
      <vt:variant>
        <vt:lpwstr/>
      </vt:variant>
      <vt:variant>
        <vt:i4>983042</vt:i4>
      </vt:variant>
      <vt:variant>
        <vt:i4>459</vt:i4>
      </vt:variant>
      <vt:variant>
        <vt:i4>0</vt:i4>
      </vt:variant>
      <vt:variant>
        <vt:i4>5</vt:i4>
      </vt:variant>
      <vt:variant>
        <vt:lpwstr>http://www.igb.gov.au/Pages/completed-audits-and-reviews.aspx</vt:lpwstr>
      </vt:variant>
      <vt:variant>
        <vt:lpwstr/>
      </vt:variant>
      <vt:variant>
        <vt:i4>983042</vt:i4>
      </vt:variant>
      <vt:variant>
        <vt:i4>456</vt:i4>
      </vt:variant>
      <vt:variant>
        <vt:i4>0</vt:i4>
      </vt:variant>
      <vt:variant>
        <vt:i4>5</vt:i4>
      </vt:variant>
      <vt:variant>
        <vt:lpwstr>http://www.igb.gov.au/Pages/completed-audits-and-reviews.aspx</vt:lpwstr>
      </vt:variant>
      <vt:variant>
        <vt:lpwstr/>
      </vt:variant>
      <vt:variant>
        <vt:i4>983042</vt:i4>
      </vt:variant>
      <vt:variant>
        <vt:i4>453</vt:i4>
      </vt:variant>
      <vt:variant>
        <vt:i4>0</vt:i4>
      </vt:variant>
      <vt:variant>
        <vt:i4>5</vt:i4>
      </vt:variant>
      <vt:variant>
        <vt:lpwstr>http://www.igb.gov.au/Pages/completed-audits-and-reviews.aspx</vt:lpwstr>
      </vt:variant>
      <vt:variant>
        <vt:lpwstr/>
      </vt:variant>
      <vt:variant>
        <vt:i4>983042</vt:i4>
      </vt:variant>
      <vt:variant>
        <vt:i4>450</vt:i4>
      </vt:variant>
      <vt:variant>
        <vt:i4>0</vt:i4>
      </vt:variant>
      <vt:variant>
        <vt:i4>5</vt:i4>
      </vt:variant>
      <vt:variant>
        <vt:lpwstr>http://www.igb.gov.au/Pages/completed-audits-and-reviews.aspx</vt:lpwstr>
      </vt:variant>
      <vt:variant>
        <vt:lpwstr/>
      </vt:variant>
      <vt:variant>
        <vt:i4>983042</vt:i4>
      </vt:variant>
      <vt:variant>
        <vt:i4>447</vt:i4>
      </vt:variant>
      <vt:variant>
        <vt:i4>0</vt:i4>
      </vt:variant>
      <vt:variant>
        <vt:i4>5</vt:i4>
      </vt:variant>
      <vt:variant>
        <vt:lpwstr>http://www.igb.gov.au/Pages/completed-audits-and-reviews.aspx</vt:lpwstr>
      </vt:variant>
      <vt:variant>
        <vt:lpwstr/>
      </vt:variant>
      <vt:variant>
        <vt:i4>3211324</vt:i4>
      </vt:variant>
      <vt:variant>
        <vt:i4>444</vt:i4>
      </vt:variant>
      <vt:variant>
        <vt:i4>0</vt:i4>
      </vt:variant>
      <vt:variant>
        <vt:i4>5</vt:i4>
      </vt:variant>
      <vt:variant>
        <vt:lpwstr>https://www.ippc.int/en/core-activities/standards-setting/ispms/</vt:lpwstr>
      </vt:variant>
      <vt:variant>
        <vt:lpwstr>592</vt:lpwstr>
      </vt:variant>
      <vt:variant>
        <vt:i4>3211324</vt:i4>
      </vt:variant>
      <vt:variant>
        <vt:i4>441</vt:i4>
      </vt:variant>
      <vt:variant>
        <vt:i4>0</vt:i4>
      </vt:variant>
      <vt:variant>
        <vt:i4>5</vt:i4>
      </vt:variant>
      <vt:variant>
        <vt:lpwstr>https://www.ippc.int/en/core-activities/standards-setting/ispms/</vt:lpwstr>
      </vt:variant>
      <vt:variant>
        <vt:lpwstr>592</vt:lpwstr>
      </vt:variant>
      <vt:variant>
        <vt:i4>2621564</vt:i4>
      </vt:variant>
      <vt:variant>
        <vt:i4>438</vt:i4>
      </vt:variant>
      <vt:variant>
        <vt:i4>0</vt:i4>
      </vt:variant>
      <vt:variant>
        <vt:i4>5</vt:i4>
      </vt:variant>
      <vt:variant>
        <vt:lpwstr>http://www.fao.org/3/contents/91c3b3ad-5abd-5b86-963d-bc893d2d82d3/i2731e00.htm</vt:lpwstr>
      </vt:variant>
      <vt:variant>
        <vt:lpwstr/>
      </vt:variant>
      <vt:variant>
        <vt:i4>3211324</vt:i4>
      </vt:variant>
      <vt:variant>
        <vt:i4>435</vt:i4>
      </vt:variant>
      <vt:variant>
        <vt:i4>0</vt:i4>
      </vt:variant>
      <vt:variant>
        <vt:i4>5</vt:i4>
      </vt:variant>
      <vt:variant>
        <vt:lpwstr>https://www.ippc.int/en/core-activities/standards-setting/ispms/</vt:lpwstr>
      </vt:variant>
      <vt:variant>
        <vt:lpwstr>592</vt:lpwstr>
      </vt:variant>
      <vt:variant>
        <vt:i4>3211324</vt:i4>
      </vt:variant>
      <vt:variant>
        <vt:i4>432</vt:i4>
      </vt:variant>
      <vt:variant>
        <vt:i4>0</vt:i4>
      </vt:variant>
      <vt:variant>
        <vt:i4>5</vt:i4>
      </vt:variant>
      <vt:variant>
        <vt:lpwstr>https://www.ippc.int/en/core-activities/standards-setting/ispms/</vt:lpwstr>
      </vt:variant>
      <vt:variant>
        <vt:lpwstr>592</vt:lpwstr>
      </vt:variant>
      <vt:variant>
        <vt:i4>3211324</vt:i4>
      </vt:variant>
      <vt:variant>
        <vt:i4>429</vt:i4>
      </vt:variant>
      <vt:variant>
        <vt:i4>0</vt:i4>
      </vt:variant>
      <vt:variant>
        <vt:i4>5</vt:i4>
      </vt:variant>
      <vt:variant>
        <vt:lpwstr>https://www.ippc.int/en/core-activities/standards-setting/ispms/</vt:lpwstr>
      </vt:variant>
      <vt:variant>
        <vt:lpwstr>592</vt:lpwstr>
      </vt:variant>
      <vt:variant>
        <vt:i4>3276853</vt:i4>
      </vt:variant>
      <vt:variant>
        <vt:i4>426</vt:i4>
      </vt:variant>
      <vt:variant>
        <vt:i4>0</vt:i4>
      </vt:variant>
      <vt:variant>
        <vt:i4>5</vt:i4>
      </vt:variant>
      <vt:variant>
        <vt:lpwstr>http://www.agriculture.gov.au/import/arrival/clearance-inspection/documentary-requirements/minimum-document-requirements-policy</vt:lpwstr>
      </vt:variant>
      <vt:variant>
        <vt:lpwstr/>
      </vt:variant>
      <vt:variant>
        <vt:i4>6684715</vt:i4>
      </vt:variant>
      <vt:variant>
        <vt:i4>423</vt:i4>
      </vt:variant>
      <vt:variant>
        <vt:i4>0</vt:i4>
      </vt:variant>
      <vt:variant>
        <vt:i4>5</vt:i4>
      </vt:variant>
      <vt:variant>
        <vt:lpwstr>http://www.agriculture.gov.au/biosecurity/risk-analysis/memos/ba2015-23</vt:lpwstr>
      </vt:variant>
      <vt:variant>
        <vt:lpwstr/>
      </vt:variant>
      <vt:variant>
        <vt:i4>8126588</vt:i4>
      </vt:variant>
      <vt:variant>
        <vt:i4>420</vt:i4>
      </vt:variant>
      <vt:variant>
        <vt:i4>0</vt:i4>
      </vt:variant>
      <vt:variant>
        <vt:i4>5</vt:i4>
      </vt:variant>
      <vt:variant>
        <vt:lpwstr>http://agwhitepaper.agriculture.gov.au/</vt:lpwstr>
      </vt:variant>
      <vt:variant>
        <vt:lpwstr/>
      </vt:variant>
      <vt:variant>
        <vt:i4>393246</vt:i4>
      </vt:variant>
      <vt:variant>
        <vt:i4>417</vt:i4>
      </vt:variant>
      <vt:variant>
        <vt:i4>0</vt:i4>
      </vt:variant>
      <vt:variant>
        <vt:i4>5</vt:i4>
      </vt:variant>
      <vt:variant>
        <vt:lpwstr>http://www.agriculture.gov.au/biosecurity/risk-analysis/ira/process-handbook</vt:lpwstr>
      </vt:variant>
      <vt:variant>
        <vt:lpwstr/>
      </vt:variant>
      <vt:variant>
        <vt:i4>2949225</vt:i4>
      </vt:variant>
      <vt:variant>
        <vt:i4>414</vt:i4>
      </vt:variant>
      <vt:variant>
        <vt:i4>0</vt:i4>
      </vt:variant>
      <vt:variant>
        <vt:i4>5</vt:i4>
      </vt:variant>
      <vt:variant>
        <vt:lpwstr>http://agriculture.gov.au/about/publications/quarantine-biosecurity-report-and-preliminary-response</vt:lpwstr>
      </vt:variant>
      <vt:variant>
        <vt:lpwstr/>
      </vt:variant>
      <vt:variant>
        <vt:i4>4915211</vt:i4>
      </vt:variant>
      <vt:variant>
        <vt:i4>411</vt:i4>
      </vt:variant>
      <vt:variant>
        <vt:i4>0</vt:i4>
      </vt:variant>
      <vt:variant>
        <vt:i4>5</vt:i4>
      </vt:variant>
      <vt:variant>
        <vt:lpwstr>http://www.ausveg.com.au/biosecurity/</vt:lpwstr>
      </vt:variant>
      <vt:variant>
        <vt:lpwstr/>
      </vt:variant>
      <vt:variant>
        <vt:i4>4390914</vt:i4>
      </vt:variant>
      <vt:variant>
        <vt:i4>408</vt:i4>
      </vt:variant>
      <vt:variant>
        <vt:i4>0</vt:i4>
      </vt:variant>
      <vt:variant>
        <vt:i4>5</vt:i4>
      </vt:variant>
      <vt:variant>
        <vt:lpwstr>http://www.hazera.us.com/under-construction/</vt:lpwstr>
      </vt:variant>
      <vt:variant>
        <vt:lpwstr/>
      </vt:variant>
      <vt:variant>
        <vt:i4>4915211</vt:i4>
      </vt:variant>
      <vt:variant>
        <vt:i4>372</vt:i4>
      </vt:variant>
      <vt:variant>
        <vt:i4>0</vt:i4>
      </vt:variant>
      <vt:variant>
        <vt:i4>5</vt:i4>
      </vt:variant>
      <vt:variant>
        <vt:lpwstr>http://www.ausveg.com.au/biosecurity/</vt:lpwstr>
      </vt:variant>
      <vt:variant>
        <vt:lpwstr/>
      </vt:variant>
      <vt:variant>
        <vt:i4>6357023</vt:i4>
      </vt:variant>
      <vt:variant>
        <vt:i4>369</vt:i4>
      </vt:variant>
      <vt:variant>
        <vt:i4>0</vt:i4>
      </vt:variant>
      <vt:variant>
        <vt:i4>5</vt:i4>
      </vt:variant>
      <vt:variant>
        <vt:lpwstr>http://www.planthealthaustralia.com.au/?page_id=126</vt:lpwstr>
      </vt:variant>
      <vt:variant>
        <vt:lpwstr/>
      </vt:variant>
      <vt:variant>
        <vt:i4>5046272</vt:i4>
      </vt:variant>
      <vt:variant>
        <vt:i4>366</vt:i4>
      </vt:variant>
      <vt:variant>
        <vt:i4>0</vt:i4>
      </vt:variant>
      <vt:variant>
        <vt:i4>5</vt:i4>
      </vt:variant>
      <vt:variant>
        <vt:lpwstr>http://www.planthealthaustralia.com.au/epprd/</vt:lpwstr>
      </vt:variant>
      <vt:variant>
        <vt:lpwstr/>
      </vt:variant>
      <vt:variant>
        <vt:i4>1835092</vt:i4>
      </vt:variant>
      <vt:variant>
        <vt:i4>363</vt:i4>
      </vt:variant>
      <vt:variant>
        <vt:i4>0</vt:i4>
      </vt:variant>
      <vt:variant>
        <vt:i4>5</vt:i4>
      </vt:variant>
      <vt:variant>
        <vt:lpwstr>http://www.aptrc.asn.au/</vt:lpwstr>
      </vt:variant>
      <vt:variant>
        <vt:lpwstr/>
      </vt:variant>
      <vt:variant>
        <vt:i4>3145853</vt:i4>
      </vt:variant>
      <vt:variant>
        <vt:i4>360</vt:i4>
      </vt:variant>
      <vt:variant>
        <vt:i4>0</vt:i4>
      </vt:variant>
      <vt:variant>
        <vt:i4>5</vt:i4>
      </vt:variant>
      <vt:variant>
        <vt:lpwstr>http://www.agriculture.gov.au/pests-diseases-weeds/plant/pests-disease-list</vt:lpwstr>
      </vt:variant>
      <vt:variant>
        <vt:lpwstr/>
      </vt:variant>
      <vt:variant>
        <vt:i4>589914</vt:i4>
      </vt:variant>
      <vt:variant>
        <vt:i4>357</vt:i4>
      </vt:variant>
      <vt:variant>
        <vt:i4>0</vt:i4>
      </vt:variant>
      <vt:variant>
        <vt:i4>5</vt:i4>
      </vt:variant>
      <vt:variant>
        <vt:lpwstr>http://biconnet.daff.gov.au/BICONWeb/ImportConditions/Questions/EvaluateCase?elementID=0000140371&amp;elementVersionID=30</vt:lpwstr>
      </vt:variant>
      <vt:variant>
        <vt:lpwstr/>
      </vt:variant>
      <vt:variant>
        <vt:i4>65623</vt:i4>
      </vt:variant>
      <vt:variant>
        <vt:i4>354</vt:i4>
      </vt:variant>
      <vt:variant>
        <vt:i4>0</vt:i4>
      </vt:variant>
      <vt:variant>
        <vt:i4>5</vt:i4>
      </vt:variant>
      <vt:variant>
        <vt:lpwstr>http://biconnet.daff.gov.au/BICONWeb/ImportConditions/Questions/EvaluateCase?elementID=0000098371&amp;elementVersionID=25</vt:lpwstr>
      </vt:variant>
      <vt:variant>
        <vt:lpwstr/>
      </vt:variant>
      <vt:variant>
        <vt:i4>2031695</vt:i4>
      </vt:variant>
      <vt:variant>
        <vt:i4>327</vt:i4>
      </vt:variant>
      <vt:variant>
        <vt:i4>0</vt:i4>
      </vt:variant>
      <vt:variant>
        <vt:i4>5</vt:i4>
      </vt:variant>
      <vt:variant>
        <vt:lpwstr>http://www.naktuinbouw.nl/sites/naktuinbouw.eu/files/Dutch Validation Guideline v1.0.pdf</vt:lpwstr>
      </vt:variant>
      <vt:variant>
        <vt:lpwstr/>
      </vt:variant>
      <vt:variant>
        <vt:i4>4063248</vt:i4>
      </vt:variant>
      <vt:variant>
        <vt:i4>324</vt:i4>
      </vt:variant>
      <vt:variant>
        <vt:i4>0</vt:i4>
      </vt:variant>
      <vt:variant>
        <vt:i4>5</vt:i4>
      </vt:variant>
      <vt:variant>
        <vt:lpwstr>https://www.seedtest.org/en/international-rules-_content---1--1083.html</vt:lpwstr>
      </vt:variant>
      <vt:variant>
        <vt:lpwstr/>
      </vt:variant>
      <vt:variant>
        <vt:i4>1245259</vt:i4>
      </vt:variant>
      <vt:variant>
        <vt:i4>321</vt:i4>
      </vt:variant>
      <vt:variant>
        <vt:i4>0</vt:i4>
      </vt:variant>
      <vt:variant>
        <vt:i4>5</vt:i4>
      </vt:variant>
      <vt:variant>
        <vt:lpwstr>http://www.naktuinbouw.eu/en/news/nal-and-asln-reliable-authorization-systems</vt:lpwstr>
      </vt:variant>
      <vt:variant>
        <vt:lpwstr>sthash.4un7Ik55.dpuf</vt:lpwstr>
      </vt:variant>
      <vt:variant>
        <vt:i4>851990</vt:i4>
      </vt:variant>
      <vt:variant>
        <vt:i4>315</vt:i4>
      </vt:variant>
      <vt:variant>
        <vt:i4>0</vt:i4>
      </vt:variant>
      <vt:variant>
        <vt:i4>5</vt:i4>
      </vt:variant>
      <vt:variant>
        <vt:lpwstr>http://www.naktuinbouw.nl/sites/naktuinbouw.eu/files/NAL Conditions 2016_def_dec 2015.pdf</vt:lpwstr>
      </vt:variant>
      <vt:variant>
        <vt:lpwstr/>
      </vt:variant>
      <vt:variant>
        <vt:i4>4390968</vt:i4>
      </vt:variant>
      <vt:variant>
        <vt:i4>312</vt:i4>
      </vt:variant>
      <vt:variant>
        <vt:i4>0</vt:i4>
      </vt:variant>
      <vt:variant>
        <vt:i4>5</vt:i4>
      </vt:variant>
      <vt:variant>
        <vt:lpwstr>http://ec.europa.eu/food/plant/plant_health_biosecurity/legislation/index_en.htm</vt:lpwstr>
      </vt:variant>
      <vt:variant>
        <vt:lpwstr/>
      </vt:variant>
      <vt:variant>
        <vt:i4>1507420</vt:i4>
      </vt:variant>
      <vt:variant>
        <vt:i4>303</vt:i4>
      </vt:variant>
      <vt:variant>
        <vt:i4>0</vt:i4>
      </vt:variant>
      <vt:variant>
        <vt:i4>5</vt:i4>
      </vt:variant>
      <vt:variant>
        <vt:lpwstr>http://eur-lex.europa.eu/legal-content/EN/TXT/?uri=CELEX%3A32008L0061</vt:lpwstr>
      </vt:variant>
      <vt:variant>
        <vt:lpwstr/>
      </vt:variant>
      <vt:variant>
        <vt:i4>4390968</vt:i4>
      </vt:variant>
      <vt:variant>
        <vt:i4>300</vt:i4>
      </vt:variant>
      <vt:variant>
        <vt:i4>0</vt:i4>
      </vt:variant>
      <vt:variant>
        <vt:i4>5</vt:i4>
      </vt:variant>
      <vt:variant>
        <vt:lpwstr>http://ec.europa.eu/food/plant/plant_health_biosecurity/legislation/index_en.htm</vt:lpwstr>
      </vt:variant>
      <vt:variant>
        <vt:lpwstr/>
      </vt:variant>
      <vt:variant>
        <vt:i4>5374047</vt:i4>
      </vt:variant>
      <vt:variant>
        <vt:i4>297</vt:i4>
      </vt:variant>
      <vt:variant>
        <vt:i4>0</vt:i4>
      </vt:variant>
      <vt:variant>
        <vt:i4>5</vt:i4>
      </vt:variant>
      <vt:variant>
        <vt:lpwstr>http://www.efsa.europa.eu/en/topics/topic/planthealth</vt:lpwstr>
      </vt:variant>
      <vt:variant>
        <vt:lpwstr/>
      </vt:variant>
      <vt:variant>
        <vt:i4>3801193</vt:i4>
      </vt:variant>
      <vt:variant>
        <vt:i4>249</vt:i4>
      </vt:variant>
      <vt:variant>
        <vt:i4>0</vt:i4>
      </vt:variant>
      <vt:variant>
        <vt:i4>5</vt:i4>
      </vt:variant>
      <vt:variant>
        <vt:lpwstr>http://www.planthealthaustralia.com.au/biosecurity/emergency-plant-pest-response-deed/</vt:lpwstr>
      </vt:variant>
      <vt:variant>
        <vt:lpwstr/>
      </vt:variant>
      <vt:variant>
        <vt:i4>2293814</vt:i4>
      </vt:variant>
      <vt:variant>
        <vt:i4>246</vt:i4>
      </vt:variant>
      <vt:variant>
        <vt:i4>0</vt:i4>
      </vt:variant>
      <vt:variant>
        <vt:i4>5</vt:i4>
      </vt:variant>
      <vt:variant>
        <vt:lpwstr>http://www.agriculture.gov.au/import/arrival/clearance-inspection/documentary-requirements/minimum-document-requirements-policy?wasRedirectedByModule=true</vt:lpwstr>
      </vt:variant>
      <vt:variant>
        <vt:lpwstr/>
      </vt:variant>
      <vt:variant>
        <vt:i4>1769547</vt:i4>
      </vt:variant>
      <vt:variant>
        <vt:i4>228</vt:i4>
      </vt:variant>
      <vt:variant>
        <vt:i4>0</vt:i4>
      </vt:variant>
      <vt:variant>
        <vt:i4>5</vt:i4>
      </vt:variant>
      <vt:variant>
        <vt:lpwstr>http://www.agriculture.gov.au/import/goods/plant-products/seeds-for-sowing/contaminants-tolerance</vt:lpwstr>
      </vt:variant>
      <vt:variant>
        <vt:lpwstr/>
      </vt:variant>
      <vt:variant>
        <vt:i4>2293814</vt:i4>
      </vt:variant>
      <vt:variant>
        <vt:i4>207</vt:i4>
      </vt:variant>
      <vt:variant>
        <vt:i4>0</vt:i4>
      </vt:variant>
      <vt:variant>
        <vt:i4>5</vt:i4>
      </vt:variant>
      <vt:variant>
        <vt:lpwstr>http://www.agriculture.gov.au/import/arrival/clearance-inspection/documentary-requirements/minimum-document-requirements-policy?wasRedirectedByModule=true</vt:lpwstr>
      </vt:variant>
      <vt:variant>
        <vt:lpwstr/>
      </vt:variant>
      <vt:variant>
        <vt:i4>1310811</vt:i4>
      </vt:variant>
      <vt:variant>
        <vt:i4>195</vt:i4>
      </vt:variant>
      <vt:variant>
        <vt:i4>0</vt:i4>
      </vt:variant>
      <vt:variant>
        <vt:i4>5</vt:i4>
      </vt:variant>
      <vt:variant>
        <vt:lpwstr>http://legacy.crcplantbiosecurity.com.au/sites/all/files/CRC10164_final_report(1).pdf</vt:lpwstr>
      </vt:variant>
      <vt:variant>
        <vt:lpwstr/>
      </vt:variant>
      <vt:variant>
        <vt:i4>4390968</vt:i4>
      </vt:variant>
      <vt:variant>
        <vt:i4>141</vt:i4>
      </vt:variant>
      <vt:variant>
        <vt:i4>0</vt:i4>
      </vt:variant>
      <vt:variant>
        <vt:i4>5</vt:i4>
      </vt:variant>
      <vt:variant>
        <vt:lpwstr>http://ec.europa.eu/food/plant/plant_health_biosecurity/legislation/index_en.htm</vt:lpwstr>
      </vt:variant>
      <vt:variant>
        <vt:lpwstr/>
      </vt:variant>
      <vt:variant>
        <vt:i4>1835067</vt:i4>
      </vt:variant>
      <vt:variant>
        <vt:i4>134</vt:i4>
      </vt:variant>
      <vt:variant>
        <vt:i4>0</vt:i4>
      </vt:variant>
      <vt:variant>
        <vt:i4>5</vt:i4>
      </vt:variant>
      <vt:variant>
        <vt:lpwstr/>
      </vt:variant>
      <vt:variant>
        <vt:lpwstr>_Toc449433585</vt:lpwstr>
      </vt:variant>
      <vt:variant>
        <vt:i4>1835067</vt:i4>
      </vt:variant>
      <vt:variant>
        <vt:i4>128</vt:i4>
      </vt:variant>
      <vt:variant>
        <vt:i4>0</vt:i4>
      </vt:variant>
      <vt:variant>
        <vt:i4>5</vt:i4>
      </vt:variant>
      <vt:variant>
        <vt:lpwstr/>
      </vt:variant>
      <vt:variant>
        <vt:lpwstr>_Toc449433584</vt:lpwstr>
      </vt:variant>
      <vt:variant>
        <vt:i4>1835067</vt:i4>
      </vt:variant>
      <vt:variant>
        <vt:i4>122</vt:i4>
      </vt:variant>
      <vt:variant>
        <vt:i4>0</vt:i4>
      </vt:variant>
      <vt:variant>
        <vt:i4>5</vt:i4>
      </vt:variant>
      <vt:variant>
        <vt:lpwstr/>
      </vt:variant>
      <vt:variant>
        <vt:lpwstr>_Toc449433583</vt:lpwstr>
      </vt:variant>
      <vt:variant>
        <vt:i4>1835067</vt:i4>
      </vt:variant>
      <vt:variant>
        <vt:i4>116</vt:i4>
      </vt:variant>
      <vt:variant>
        <vt:i4>0</vt:i4>
      </vt:variant>
      <vt:variant>
        <vt:i4>5</vt:i4>
      </vt:variant>
      <vt:variant>
        <vt:lpwstr/>
      </vt:variant>
      <vt:variant>
        <vt:lpwstr>_Toc449433582</vt:lpwstr>
      </vt:variant>
      <vt:variant>
        <vt:i4>1835067</vt:i4>
      </vt:variant>
      <vt:variant>
        <vt:i4>110</vt:i4>
      </vt:variant>
      <vt:variant>
        <vt:i4>0</vt:i4>
      </vt:variant>
      <vt:variant>
        <vt:i4>5</vt:i4>
      </vt:variant>
      <vt:variant>
        <vt:lpwstr/>
      </vt:variant>
      <vt:variant>
        <vt:lpwstr>_Toc449433581</vt:lpwstr>
      </vt:variant>
      <vt:variant>
        <vt:i4>1835067</vt:i4>
      </vt:variant>
      <vt:variant>
        <vt:i4>104</vt:i4>
      </vt:variant>
      <vt:variant>
        <vt:i4>0</vt:i4>
      </vt:variant>
      <vt:variant>
        <vt:i4>5</vt:i4>
      </vt:variant>
      <vt:variant>
        <vt:lpwstr/>
      </vt:variant>
      <vt:variant>
        <vt:lpwstr>_Toc449433580</vt:lpwstr>
      </vt:variant>
      <vt:variant>
        <vt:i4>1245243</vt:i4>
      </vt:variant>
      <vt:variant>
        <vt:i4>98</vt:i4>
      </vt:variant>
      <vt:variant>
        <vt:i4>0</vt:i4>
      </vt:variant>
      <vt:variant>
        <vt:i4>5</vt:i4>
      </vt:variant>
      <vt:variant>
        <vt:lpwstr/>
      </vt:variant>
      <vt:variant>
        <vt:lpwstr>_Toc449433579</vt:lpwstr>
      </vt:variant>
      <vt:variant>
        <vt:i4>1245243</vt:i4>
      </vt:variant>
      <vt:variant>
        <vt:i4>92</vt:i4>
      </vt:variant>
      <vt:variant>
        <vt:i4>0</vt:i4>
      </vt:variant>
      <vt:variant>
        <vt:i4>5</vt:i4>
      </vt:variant>
      <vt:variant>
        <vt:lpwstr/>
      </vt:variant>
      <vt:variant>
        <vt:lpwstr>_Toc449433578</vt:lpwstr>
      </vt:variant>
      <vt:variant>
        <vt:i4>1245243</vt:i4>
      </vt:variant>
      <vt:variant>
        <vt:i4>86</vt:i4>
      </vt:variant>
      <vt:variant>
        <vt:i4>0</vt:i4>
      </vt:variant>
      <vt:variant>
        <vt:i4>5</vt:i4>
      </vt:variant>
      <vt:variant>
        <vt:lpwstr/>
      </vt:variant>
      <vt:variant>
        <vt:lpwstr>_Toc449433577</vt:lpwstr>
      </vt:variant>
      <vt:variant>
        <vt:i4>1245243</vt:i4>
      </vt:variant>
      <vt:variant>
        <vt:i4>80</vt:i4>
      </vt:variant>
      <vt:variant>
        <vt:i4>0</vt:i4>
      </vt:variant>
      <vt:variant>
        <vt:i4>5</vt:i4>
      </vt:variant>
      <vt:variant>
        <vt:lpwstr/>
      </vt:variant>
      <vt:variant>
        <vt:lpwstr>_Toc449433576</vt:lpwstr>
      </vt:variant>
      <vt:variant>
        <vt:i4>1245243</vt:i4>
      </vt:variant>
      <vt:variant>
        <vt:i4>74</vt:i4>
      </vt:variant>
      <vt:variant>
        <vt:i4>0</vt:i4>
      </vt:variant>
      <vt:variant>
        <vt:i4>5</vt:i4>
      </vt:variant>
      <vt:variant>
        <vt:lpwstr/>
      </vt:variant>
      <vt:variant>
        <vt:lpwstr>_Toc449433575</vt:lpwstr>
      </vt:variant>
      <vt:variant>
        <vt:i4>1245243</vt:i4>
      </vt:variant>
      <vt:variant>
        <vt:i4>68</vt:i4>
      </vt:variant>
      <vt:variant>
        <vt:i4>0</vt:i4>
      </vt:variant>
      <vt:variant>
        <vt:i4>5</vt:i4>
      </vt:variant>
      <vt:variant>
        <vt:lpwstr/>
      </vt:variant>
      <vt:variant>
        <vt:lpwstr>_Toc449433574</vt:lpwstr>
      </vt:variant>
      <vt:variant>
        <vt:i4>1245243</vt:i4>
      </vt:variant>
      <vt:variant>
        <vt:i4>62</vt:i4>
      </vt:variant>
      <vt:variant>
        <vt:i4>0</vt:i4>
      </vt:variant>
      <vt:variant>
        <vt:i4>5</vt:i4>
      </vt:variant>
      <vt:variant>
        <vt:lpwstr/>
      </vt:variant>
      <vt:variant>
        <vt:lpwstr>_Toc449433573</vt:lpwstr>
      </vt:variant>
      <vt:variant>
        <vt:i4>1245243</vt:i4>
      </vt:variant>
      <vt:variant>
        <vt:i4>56</vt:i4>
      </vt:variant>
      <vt:variant>
        <vt:i4>0</vt:i4>
      </vt:variant>
      <vt:variant>
        <vt:i4>5</vt:i4>
      </vt:variant>
      <vt:variant>
        <vt:lpwstr/>
      </vt:variant>
      <vt:variant>
        <vt:lpwstr>_Toc449433572</vt:lpwstr>
      </vt:variant>
      <vt:variant>
        <vt:i4>1245243</vt:i4>
      </vt:variant>
      <vt:variant>
        <vt:i4>50</vt:i4>
      </vt:variant>
      <vt:variant>
        <vt:i4>0</vt:i4>
      </vt:variant>
      <vt:variant>
        <vt:i4>5</vt:i4>
      </vt:variant>
      <vt:variant>
        <vt:lpwstr/>
      </vt:variant>
      <vt:variant>
        <vt:lpwstr>_Toc449433571</vt:lpwstr>
      </vt:variant>
      <vt:variant>
        <vt:i4>1245243</vt:i4>
      </vt:variant>
      <vt:variant>
        <vt:i4>44</vt:i4>
      </vt:variant>
      <vt:variant>
        <vt:i4>0</vt:i4>
      </vt:variant>
      <vt:variant>
        <vt:i4>5</vt:i4>
      </vt:variant>
      <vt:variant>
        <vt:lpwstr/>
      </vt:variant>
      <vt:variant>
        <vt:lpwstr>_Toc449433570</vt:lpwstr>
      </vt:variant>
      <vt:variant>
        <vt:i4>1179707</vt:i4>
      </vt:variant>
      <vt:variant>
        <vt:i4>38</vt:i4>
      </vt:variant>
      <vt:variant>
        <vt:i4>0</vt:i4>
      </vt:variant>
      <vt:variant>
        <vt:i4>5</vt:i4>
      </vt:variant>
      <vt:variant>
        <vt:lpwstr/>
      </vt:variant>
      <vt:variant>
        <vt:lpwstr>_Toc449433569</vt:lpwstr>
      </vt:variant>
      <vt:variant>
        <vt:i4>1179707</vt:i4>
      </vt:variant>
      <vt:variant>
        <vt:i4>32</vt:i4>
      </vt:variant>
      <vt:variant>
        <vt:i4>0</vt:i4>
      </vt:variant>
      <vt:variant>
        <vt:i4>5</vt:i4>
      </vt:variant>
      <vt:variant>
        <vt:lpwstr/>
      </vt:variant>
      <vt:variant>
        <vt:lpwstr>_Toc449433568</vt:lpwstr>
      </vt:variant>
      <vt:variant>
        <vt:i4>1179707</vt:i4>
      </vt:variant>
      <vt:variant>
        <vt:i4>26</vt:i4>
      </vt:variant>
      <vt:variant>
        <vt:i4>0</vt:i4>
      </vt:variant>
      <vt:variant>
        <vt:i4>5</vt:i4>
      </vt:variant>
      <vt:variant>
        <vt:lpwstr/>
      </vt:variant>
      <vt:variant>
        <vt:lpwstr>_Toc449433567</vt:lpwstr>
      </vt:variant>
      <vt:variant>
        <vt:i4>1179707</vt:i4>
      </vt:variant>
      <vt:variant>
        <vt:i4>20</vt:i4>
      </vt:variant>
      <vt:variant>
        <vt:i4>0</vt:i4>
      </vt:variant>
      <vt:variant>
        <vt:i4>5</vt:i4>
      </vt:variant>
      <vt:variant>
        <vt:lpwstr/>
      </vt:variant>
      <vt:variant>
        <vt:lpwstr>_Toc449433566</vt:lpwstr>
      </vt:variant>
      <vt:variant>
        <vt:i4>7077903</vt:i4>
      </vt:variant>
      <vt:variant>
        <vt:i4>15</vt:i4>
      </vt:variant>
      <vt:variant>
        <vt:i4>0</vt:i4>
      </vt:variant>
      <vt:variant>
        <vt:i4>5</vt:i4>
      </vt:variant>
      <vt:variant>
        <vt:lpwstr>mailto:copyright@agriculture.gov.au</vt:lpwstr>
      </vt:variant>
      <vt:variant>
        <vt:lpwstr/>
      </vt:variant>
      <vt:variant>
        <vt:i4>1638491</vt:i4>
      </vt:variant>
      <vt:variant>
        <vt:i4>12</vt:i4>
      </vt:variant>
      <vt:variant>
        <vt:i4>0</vt:i4>
      </vt:variant>
      <vt:variant>
        <vt:i4>5</vt:i4>
      </vt:variant>
      <vt:variant>
        <vt:lpwstr>http://www.igb.gov.au/Pages/default.aspx</vt:lpwstr>
      </vt:variant>
      <vt:variant>
        <vt:lpwstr/>
      </vt:variant>
      <vt:variant>
        <vt:i4>2687040</vt:i4>
      </vt:variant>
      <vt:variant>
        <vt:i4>9</vt:i4>
      </vt:variant>
      <vt:variant>
        <vt:i4>0</vt:i4>
      </vt:variant>
      <vt:variant>
        <vt:i4>5</vt:i4>
      </vt:variant>
      <vt:variant>
        <vt:lpwstr>mailto:inspgenbiosecurity@agriculture.gov.au</vt:lpwstr>
      </vt:variant>
      <vt:variant>
        <vt:lpwstr/>
      </vt:variant>
      <vt:variant>
        <vt:i4>983042</vt:i4>
      </vt:variant>
      <vt:variant>
        <vt:i4>6</vt:i4>
      </vt:variant>
      <vt:variant>
        <vt:i4>0</vt:i4>
      </vt:variant>
      <vt:variant>
        <vt:i4>5</vt:i4>
      </vt:variant>
      <vt:variant>
        <vt:lpwstr>http://www.igb.gov.au/Pages/completed-audits-and-reviews.aspx</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Uncooked prawn imports: effectiveness of biosecurity controls</dc:title>
  <dc:subject/>
  <dc:creator>Inspector-General of Biosecurity</dc:creator>
  <cp:keywords/>
  <dc:description/>
  <cp:lastModifiedBy>Dang, Van</cp:lastModifiedBy>
  <cp:revision>2</cp:revision>
  <cp:lastPrinted>2017-12-11T22:54:00Z</cp:lastPrinted>
  <dcterms:created xsi:type="dcterms:W3CDTF">2017-12-12T02:51:00Z</dcterms:created>
  <dcterms:modified xsi:type="dcterms:W3CDTF">2017-12-12T02:51:00Z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0x0101003D2C1E0A855421449C0CE0CFE8FBF984</vt:lpwstr>
  </property>
</Properties>
</file>