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6DE82E" w14:textId="77777777" w:rsidR="008533A9" w:rsidRDefault="00EB2470" w:rsidP="00DF09A9">
      <w:pPr>
        <w:tabs>
          <w:tab w:val="right" w:pos="9639"/>
        </w:tabs>
        <w:spacing w:after="48"/>
        <w:rPr>
          <w:rFonts w:ascii="Times New Roman" w:hAnsi="Times New Roman"/>
        </w:rPr>
      </w:pPr>
      <w:r w:rsidRPr="00E038F8">
        <w:rPr>
          <w:rFonts w:ascii="Cambria" w:hAnsi="Cambria"/>
          <w:b/>
          <w:noProof/>
          <w:sz w:val="20"/>
          <w:szCs w:val="20"/>
          <w:lang w:eastAsia="en-AU"/>
        </w:rPr>
        <w:drawing>
          <wp:inline distT="0" distB="0" distL="0" distR="0" wp14:anchorId="6528B564" wp14:editId="65C3B609">
            <wp:extent cx="2800350" cy="1270000"/>
            <wp:effectExtent l="0" t="0" r="0" b="6350"/>
            <wp:docPr id="24" name="Picture 2" descr="Interim Inspector-General of Biosecurity, Australian 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im Inspector-General of Biosecurity, Australian Department of Agriculture and Water Resources"/>
                    <pic:cNvPicPr>
                      <a:picLocks noChangeAspect="1" noChangeArrowheads="1"/>
                    </pic:cNvPicPr>
                  </pic:nvPicPr>
                  <pic:blipFill>
                    <a:blip r:embed="rId8" cstate="print">
                      <a:extLst>
                        <a:ext uri="{28A0092B-C50C-407E-A947-70E740481C1C}">
                          <a14:useLocalDpi xmlns:a14="http://schemas.microsoft.com/office/drawing/2010/main" val="0"/>
                        </a:ext>
                      </a:extLst>
                    </a:blip>
                    <a:srcRect r="1103"/>
                    <a:stretch>
                      <a:fillRect/>
                    </a:stretch>
                  </pic:blipFill>
                  <pic:spPr bwMode="auto">
                    <a:xfrm>
                      <a:off x="0" y="0"/>
                      <a:ext cx="2800350" cy="1270000"/>
                    </a:xfrm>
                    <a:prstGeom prst="rect">
                      <a:avLst/>
                    </a:prstGeom>
                    <a:noFill/>
                    <a:ln>
                      <a:noFill/>
                    </a:ln>
                  </pic:spPr>
                </pic:pic>
              </a:graphicData>
            </a:graphic>
          </wp:inline>
        </w:drawing>
      </w:r>
      <w:bookmarkStart w:id="0" w:name="OLE_LINK9"/>
      <w:bookmarkStart w:id="1" w:name="OLE_LINK10"/>
      <w:bookmarkStart w:id="2" w:name="_GoBack"/>
      <w:bookmarkEnd w:id="2"/>
    </w:p>
    <w:p w14:paraId="6070F889" w14:textId="77777777" w:rsidR="008533A9" w:rsidRDefault="00AE3D12" w:rsidP="00A2056E">
      <w:pPr>
        <w:pStyle w:val="Heading1"/>
      </w:pPr>
      <w:r w:rsidRPr="00AE3D12">
        <w:t xml:space="preserve">Management of biosecurity risks associated with transhipped </w:t>
      </w:r>
      <w:r w:rsidRPr="00FE4108">
        <w:t>ships</w:t>
      </w:r>
      <w:r w:rsidRPr="00AE3D12">
        <w:t xml:space="preserve"> stores</w:t>
      </w:r>
    </w:p>
    <w:p w14:paraId="68FB9914" w14:textId="77777777" w:rsidR="006661C4" w:rsidRDefault="00916D78" w:rsidP="00DF09A9">
      <w:pPr>
        <w:tabs>
          <w:tab w:val="right" w:pos="9639"/>
        </w:tabs>
        <w:spacing w:after="48"/>
      </w:pPr>
      <w:r>
        <w:rPr>
          <w:rFonts w:ascii="Times New Roman" w:hAnsi="Times New Roman"/>
        </w:rPr>
        <w:pict w14:anchorId="202B6903">
          <v:rect id="_x0000_i1025" style="width:0;height:1.5pt" o:hralign="center" o:hrstd="t" o:hr="t" fillcolor="#aca899" stroked="f"/>
        </w:pict>
      </w:r>
    </w:p>
    <w:bookmarkEnd w:id="0"/>
    <w:bookmarkEnd w:id="1"/>
    <w:p w14:paraId="172C7108" w14:textId="77777777" w:rsidR="006661C4" w:rsidRDefault="00AE3D12" w:rsidP="00A2056E">
      <w:pPr>
        <w:spacing w:after="48"/>
        <w:rPr>
          <w:rFonts w:ascii="Cambria" w:hAnsi="Cambria"/>
          <w:b/>
          <w:szCs w:val="24"/>
        </w:rPr>
      </w:pPr>
      <w:r>
        <w:rPr>
          <w:rFonts w:ascii="Cambria" w:hAnsi="Cambria"/>
          <w:b/>
          <w:szCs w:val="24"/>
        </w:rPr>
        <w:t xml:space="preserve">Review </w:t>
      </w:r>
      <w:r w:rsidR="003F77D8">
        <w:rPr>
          <w:rFonts w:ascii="Cambria" w:hAnsi="Cambria"/>
          <w:b/>
          <w:szCs w:val="24"/>
        </w:rPr>
        <w:t>report</w:t>
      </w:r>
    </w:p>
    <w:p w14:paraId="1EF8EE70" w14:textId="77777777" w:rsidR="006661C4" w:rsidRDefault="00A8629C" w:rsidP="00A2056E">
      <w:pPr>
        <w:spacing w:before="0" w:after="0" w:line="240" w:lineRule="auto"/>
        <w:rPr>
          <w:rFonts w:cs="Calibri"/>
          <w:szCs w:val="24"/>
        </w:rPr>
      </w:pPr>
      <w:r>
        <w:rPr>
          <w:noProof/>
          <w:lang w:eastAsia="en-AU"/>
        </w:rPr>
        <w:drawing>
          <wp:inline distT="0" distB="0" distL="0" distR="0" wp14:anchorId="3C686797" wp14:editId="0C5ADAFC">
            <wp:extent cx="5976620" cy="59766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1915_0415_biosphere - IIGB_V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6620" cy="5976620"/>
                    </a:xfrm>
                    <a:prstGeom prst="rect">
                      <a:avLst/>
                    </a:prstGeom>
                  </pic:spPr>
                </pic:pic>
              </a:graphicData>
            </a:graphic>
          </wp:inline>
        </w:drawing>
      </w:r>
      <w:r w:rsidR="00C9619B" w:rsidRPr="00824F05">
        <w:rPr>
          <w:rFonts w:cs="Calibri"/>
          <w:szCs w:val="24"/>
        </w:rPr>
        <w:t xml:space="preserve">No. </w:t>
      </w:r>
      <w:r w:rsidR="00031AF6" w:rsidRPr="00824F05">
        <w:rPr>
          <w:rFonts w:cs="Calibri"/>
          <w:szCs w:val="24"/>
        </w:rPr>
        <w:t>20</w:t>
      </w:r>
      <w:r w:rsidR="00824F05" w:rsidRPr="00824F05">
        <w:rPr>
          <w:rFonts w:cs="Calibri"/>
          <w:szCs w:val="24"/>
        </w:rPr>
        <w:t>14</w:t>
      </w:r>
      <w:r w:rsidR="00031AF6" w:rsidRPr="00824F05">
        <w:rPr>
          <w:rFonts w:cs="Calibri"/>
          <w:szCs w:val="24"/>
        </w:rPr>
        <w:t>–1</w:t>
      </w:r>
      <w:r w:rsidR="00824F05" w:rsidRPr="00824F05">
        <w:rPr>
          <w:rFonts w:cs="Calibri"/>
          <w:szCs w:val="24"/>
        </w:rPr>
        <w:t>5</w:t>
      </w:r>
      <w:r w:rsidR="00031AF6" w:rsidRPr="00824F05">
        <w:rPr>
          <w:rFonts w:cs="Calibri"/>
          <w:szCs w:val="24"/>
        </w:rPr>
        <w:t>/0</w:t>
      </w:r>
      <w:r w:rsidR="00824F05" w:rsidRPr="00824F05">
        <w:rPr>
          <w:rFonts w:cs="Calibri"/>
          <w:szCs w:val="24"/>
        </w:rPr>
        <w:t>8</w:t>
      </w:r>
    </w:p>
    <w:p w14:paraId="4EE010CF" w14:textId="77777777" w:rsidR="006661C4" w:rsidRDefault="003F77D8">
      <w:pPr>
        <w:pStyle w:val="Tabletext"/>
        <w:pageBreakBefore/>
      </w:pPr>
      <w:r>
        <w:lastRenderedPageBreak/>
        <w:t>© Commonwealth of Australia 201</w:t>
      </w:r>
      <w:r w:rsidR="006B4232">
        <w:t>6</w:t>
      </w:r>
      <w:r>
        <w:br/>
      </w:r>
    </w:p>
    <w:p w14:paraId="04F1B20A" w14:textId="77777777" w:rsidR="006661C4" w:rsidRDefault="003F77D8">
      <w:pPr>
        <w:pStyle w:val="Copyrightpageheading"/>
      </w:pPr>
      <w:r>
        <w:t>Ownership of intellectual property rights</w:t>
      </w:r>
    </w:p>
    <w:p w14:paraId="4747DF22" w14:textId="77777777" w:rsidR="006661C4" w:rsidRDefault="003F77D8">
      <w:pPr>
        <w:pStyle w:val="Tabletext"/>
      </w:pPr>
      <w:r>
        <w:t>Unless otherwise noted, copyright (and any other intellectual property rights, if any) in this publication is owned by the Commonwealth of Australia (referred to as the Commonwealth).</w:t>
      </w:r>
    </w:p>
    <w:p w14:paraId="2B47E95A" w14:textId="77777777" w:rsidR="006661C4" w:rsidRDefault="003F77D8">
      <w:pPr>
        <w:pStyle w:val="Copyrightpageheading"/>
      </w:pPr>
      <w:proofErr w:type="gramStart"/>
      <w:r>
        <w:t>Creative Commons</w:t>
      </w:r>
      <w:proofErr w:type="gramEnd"/>
      <w:r>
        <w:t xml:space="preserve"> licence</w:t>
      </w:r>
    </w:p>
    <w:p w14:paraId="00CFFEE9" w14:textId="77777777" w:rsidR="006661C4" w:rsidRDefault="003F77D8">
      <w:pPr>
        <w:pStyle w:val="Tabletext"/>
      </w:pPr>
      <w:r>
        <w:t>All material in this publication is licensed under a Creative Commons Attribution 3.0 Australia Licence, save for content supplied by third parties, logos and the Commonwealth Coat of Arms.</w:t>
      </w:r>
    </w:p>
    <w:p w14:paraId="4672E29F" w14:textId="77777777" w:rsidR="006661C4" w:rsidRDefault="00EB2470">
      <w:pPr>
        <w:pStyle w:val="Tabletext"/>
      </w:pPr>
      <w:r w:rsidRPr="006F66E8">
        <w:rPr>
          <w:noProof/>
          <w:lang w:eastAsia="en-AU" w:bidi="ar-SA"/>
        </w:rPr>
        <w:drawing>
          <wp:inline distT="0" distB="0" distL="0" distR="0" wp14:anchorId="148FA1D5" wp14:editId="65402944">
            <wp:extent cx="723900" cy="260350"/>
            <wp:effectExtent l="0" t="0" r="0" b="635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a:ln>
                      <a:noFill/>
                    </a:ln>
                  </pic:spPr>
                </pic:pic>
              </a:graphicData>
            </a:graphic>
          </wp:inline>
        </w:drawing>
      </w:r>
    </w:p>
    <w:p w14:paraId="406CCD86" w14:textId="77777777" w:rsidR="006661C4" w:rsidRPr="00CF28A6" w:rsidRDefault="003F77D8">
      <w:pPr>
        <w:pStyle w:val="Tabletext"/>
      </w:pPr>
      <w:r w:rsidRPr="007A0E1D">
        <w:t xml:space="preserve">Creative Commons Attribution 3.0 Australia Licence is a standard form licence agreement that allows you to copy, distribute, </w:t>
      </w:r>
      <w:r w:rsidRPr="00CF28A6">
        <w:t xml:space="preserve">transmit and adapt this publication provided you attribute the work. A summary of the licence terms is available from </w:t>
      </w:r>
      <w:hyperlink r:id="rId11" w:history="1">
        <w:r w:rsidRPr="00CF28A6">
          <w:rPr>
            <w:rStyle w:val="Hyperlink"/>
            <w:color w:val="auto"/>
          </w:rPr>
          <w:t>creativecommons.org/licenses/by/3.0/au/</w:t>
        </w:r>
        <w:proofErr w:type="spellStart"/>
        <w:r w:rsidRPr="00CF28A6">
          <w:rPr>
            <w:rStyle w:val="Hyperlink"/>
            <w:color w:val="auto"/>
          </w:rPr>
          <w:t>deed.en</w:t>
        </w:r>
        <w:proofErr w:type="spellEnd"/>
      </w:hyperlink>
      <w:r w:rsidRPr="00CF28A6">
        <w:t xml:space="preserve">. The full licence terms are available from </w:t>
      </w:r>
      <w:hyperlink r:id="rId12" w:history="1">
        <w:r w:rsidRPr="00BA65E3">
          <w:rPr>
            <w:rStyle w:val="Hyperlink"/>
            <w:color w:val="auto"/>
          </w:rPr>
          <w:t>creativecommons.org/licenses/by/3.0/au/</w:t>
        </w:r>
        <w:proofErr w:type="spellStart"/>
        <w:r w:rsidRPr="00BA65E3">
          <w:rPr>
            <w:rStyle w:val="Hyperlink"/>
            <w:color w:val="auto"/>
          </w:rPr>
          <w:t>legalcode</w:t>
        </w:r>
        <w:proofErr w:type="spellEnd"/>
      </w:hyperlink>
      <w:r w:rsidRPr="00CF28A6">
        <w:t>.</w:t>
      </w:r>
    </w:p>
    <w:p w14:paraId="291551DE" w14:textId="77777777" w:rsidR="006661C4" w:rsidRPr="00CF28A6" w:rsidRDefault="003F77D8">
      <w:pPr>
        <w:pStyle w:val="Copyrightpageheading"/>
      </w:pPr>
      <w:r w:rsidRPr="00CF28A6">
        <w:t>Cataloguing data</w:t>
      </w:r>
    </w:p>
    <w:p w14:paraId="31F2705D" w14:textId="77777777" w:rsidR="006661C4" w:rsidRPr="00CF28A6" w:rsidRDefault="003F77D8">
      <w:pPr>
        <w:pStyle w:val="Tabletext"/>
      </w:pPr>
      <w:r w:rsidRPr="00CF28A6">
        <w:t>Interim Inspector-General of Biosecurity 201</w:t>
      </w:r>
      <w:r w:rsidR="00AE3D12" w:rsidRPr="00CF28A6">
        <w:t>6</w:t>
      </w:r>
      <w:r w:rsidRPr="00CF28A6">
        <w:t xml:space="preserve">, </w:t>
      </w:r>
      <w:r w:rsidR="00AE3D12" w:rsidRPr="00CF28A6">
        <w:rPr>
          <w:rStyle w:val="Emphasis"/>
        </w:rPr>
        <w:t>Management of biosecurity risks associated with transhipped ships stores</w:t>
      </w:r>
      <w:r w:rsidRPr="00CF28A6">
        <w:t>, Department of Agriculture</w:t>
      </w:r>
      <w:r w:rsidR="003F0311" w:rsidRPr="00CF28A6">
        <w:t xml:space="preserve"> and Water Resources</w:t>
      </w:r>
      <w:r w:rsidRPr="00CF28A6">
        <w:t>, Canberra.</w:t>
      </w:r>
    </w:p>
    <w:p w14:paraId="3CCD7AE6" w14:textId="77777777" w:rsidR="006661C4" w:rsidRPr="00CF28A6" w:rsidRDefault="006661C4">
      <w:pPr>
        <w:pStyle w:val="Tabletext"/>
      </w:pPr>
    </w:p>
    <w:p w14:paraId="31F09E99" w14:textId="77777777" w:rsidR="006661C4" w:rsidRPr="00CF28A6" w:rsidRDefault="003F77D8">
      <w:pPr>
        <w:pStyle w:val="Copyrightpageheading"/>
      </w:pPr>
      <w:r w:rsidRPr="00CF28A6">
        <w:t>Internet</w:t>
      </w:r>
    </w:p>
    <w:p w14:paraId="770133A3" w14:textId="77777777" w:rsidR="006661C4" w:rsidRPr="00CF28A6" w:rsidRDefault="00F2379E">
      <w:pPr>
        <w:pStyle w:val="Tabletext"/>
      </w:pPr>
      <w:r w:rsidRPr="00CF28A6">
        <w:rPr>
          <w:rStyle w:val="Emphasis"/>
        </w:rPr>
        <w:t>Management of biosecurity risks associated with transhipped ships stores</w:t>
      </w:r>
      <w:r w:rsidR="003F77D8" w:rsidRPr="00CF28A6">
        <w:t xml:space="preserve"> is available at </w:t>
      </w:r>
      <w:hyperlink r:id="rId13" w:history="1">
        <w:r w:rsidR="002F71DA" w:rsidRPr="00B41E87">
          <w:rPr>
            <w:rStyle w:val="Hyperlink"/>
          </w:rPr>
          <w:t>igb.gov.au/Pages/completed-audits-and-reviews.aspx</w:t>
        </w:r>
      </w:hyperlink>
      <w:r w:rsidR="003F77D8" w:rsidRPr="00CF28A6">
        <w:t>.</w:t>
      </w:r>
    </w:p>
    <w:p w14:paraId="0426EF2D" w14:textId="77777777" w:rsidR="006661C4" w:rsidRPr="002D4836" w:rsidRDefault="006661C4">
      <w:pPr>
        <w:pStyle w:val="Tabletext"/>
        <w:rPr>
          <w:shd w:val="clear" w:color="auto" w:fill="FFFF00"/>
        </w:rPr>
      </w:pPr>
    </w:p>
    <w:p w14:paraId="64B247AB" w14:textId="77777777" w:rsidR="006661C4" w:rsidRPr="002D4836" w:rsidRDefault="003F77D8">
      <w:pPr>
        <w:pStyle w:val="Tabletext"/>
      </w:pPr>
      <w:r w:rsidRPr="002D4836">
        <w:t>Interim Inspector-General of Biosecurity</w:t>
      </w:r>
    </w:p>
    <w:p w14:paraId="26745F69" w14:textId="77777777" w:rsidR="006661C4" w:rsidRPr="002D4836" w:rsidRDefault="003F77D8">
      <w:pPr>
        <w:pStyle w:val="Tabletext"/>
      </w:pPr>
      <w:r w:rsidRPr="002D4836">
        <w:t>Department of Agriculture</w:t>
      </w:r>
      <w:r w:rsidR="003F0311" w:rsidRPr="002D4836">
        <w:t xml:space="preserve"> and Water Resources</w:t>
      </w:r>
    </w:p>
    <w:p w14:paraId="597D1563" w14:textId="77777777" w:rsidR="006661C4" w:rsidRPr="002D4836" w:rsidRDefault="003F77D8">
      <w:pPr>
        <w:pStyle w:val="Tabletext"/>
      </w:pPr>
      <w:r w:rsidRPr="002D4836">
        <w:t>Postal address GPO Box 858 Canberra ACT 2601</w:t>
      </w:r>
      <w:r w:rsidRPr="002D4836">
        <w:br/>
        <w:t>Switchboard +61 2 6272 3933</w:t>
      </w:r>
      <w:r w:rsidRPr="002D4836">
        <w:br/>
        <w:t xml:space="preserve">Email </w:t>
      </w:r>
      <w:hyperlink r:id="rId14" w:history="1">
        <w:r w:rsidRPr="00BA65E3">
          <w:rPr>
            <w:rStyle w:val="Hyperlink"/>
          </w:rPr>
          <w:t>inspgenbiosecurity@agriculture.gov.au</w:t>
        </w:r>
      </w:hyperlink>
      <w:r w:rsidRPr="002D4836">
        <w:br/>
        <w:t xml:space="preserve">Web </w:t>
      </w:r>
      <w:hyperlink r:id="rId15" w:history="1">
        <w:r w:rsidRPr="00BA65E3">
          <w:rPr>
            <w:rStyle w:val="Hyperlink"/>
          </w:rPr>
          <w:t>igb.gov.au/Pages/def</w:t>
        </w:r>
        <w:bookmarkStart w:id="3" w:name="_Hlt418064088"/>
        <w:bookmarkStart w:id="4" w:name="_Hlt418064089"/>
        <w:r w:rsidRPr="00BA65E3">
          <w:rPr>
            <w:rStyle w:val="Hyperlink"/>
          </w:rPr>
          <w:t>a</w:t>
        </w:r>
        <w:bookmarkEnd w:id="3"/>
        <w:bookmarkEnd w:id="4"/>
        <w:r w:rsidRPr="00BA65E3">
          <w:rPr>
            <w:rStyle w:val="Hyperlink"/>
          </w:rPr>
          <w:t>ult.aspx</w:t>
        </w:r>
      </w:hyperlink>
    </w:p>
    <w:p w14:paraId="2EAA536E" w14:textId="77777777" w:rsidR="006661C4" w:rsidRPr="002D4836" w:rsidRDefault="003F77D8">
      <w:pPr>
        <w:pStyle w:val="Tabletext"/>
      </w:pPr>
      <w:r w:rsidRPr="002D4836">
        <w:t xml:space="preserve">Inquiries about the licence and any use of this document should be sent to </w:t>
      </w:r>
      <w:hyperlink r:id="rId16" w:history="1">
        <w:r w:rsidRPr="00BA65E3">
          <w:rPr>
            <w:rStyle w:val="Hyperlink"/>
          </w:rPr>
          <w:t>copyright@agriculture.gov.au</w:t>
        </w:r>
      </w:hyperlink>
      <w:r w:rsidRPr="002D4836">
        <w:t>.</w:t>
      </w:r>
    </w:p>
    <w:p w14:paraId="574F5BFB" w14:textId="77777777" w:rsidR="006661C4" w:rsidRDefault="009D4D86">
      <w:pPr>
        <w:pStyle w:val="Tabletext"/>
      </w:pPr>
      <w:r w:rsidRPr="002D4836">
        <w:t>The Australian Government, represented by the Interim Inspector-General of Biosecurity, has exercised due care</w:t>
      </w:r>
      <w:r w:rsidRPr="00B759CC">
        <w:t xml:space="preserve"> and skill in preparing and compiling the information and data in this publication. Notwithstanding, the Interim Inspector-General of Biosecurity, the Australian Government, its employees and advisers disclaim all liability, including for negligence and for any loss, damage, injury, expense or cost incurred by any person as a result of accessing, using or relying upon information or data in this publication to the maximum extent permitted by law.</w:t>
      </w:r>
    </w:p>
    <w:p w14:paraId="1A888ECB" w14:textId="77777777" w:rsidR="006661C4" w:rsidRDefault="003F77D8" w:rsidP="00950937">
      <w:pPr>
        <w:pStyle w:val="TOCHeading1"/>
        <w:pageBreakBefore/>
        <w:tabs>
          <w:tab w:val="center" w:pos="4706"/>
        </w:tabs>
        <w:outlineLvl w:val="9"/>
      </w:pPr>
      <w:r>
        <w:lastRenderedPageBreak/>
        <w:t>Contents</w:t>
      </w:r>
    </w:p>
    <w:p w14:paraId="7EAE8EC9" w14:textId="77777777" w:rsidR="0012621F" w:rsidRDefault="00A43EC2">
      <w:pPr>
        <w:pStyle w:val="TOC1"/>
        <w:tabs>
          <w:tab w:val="left" w:pos="480"/>
          <w:tab w:val="right" w:leader="dot" w:pos="9402"/>
        </w:tabs>
        <w:rPr>
          <w:rFonts w:asciiTheme="minorHAnsi" w:eastAsiaTheme="minorEastAsia" w:hAnsiTheme="minorHAnsi" w:cstheme="minorBidi"/>
          <w:b w:val="0"/>
          <w:bCs w:val="0"/>
          <w:noProof/>
          <w:sz w:val="22"/>
          <w:szCs w:val="22"/>
          <w:lang w:eastAsia="en-AU"/>
        </w:rPr>
      </w:pPr>
      <w:r>
        <w:rPr>
          <w:rFonts w:ascii="Cambria" w:eastAsia="Times New Roman" w:hAnsi="Cambria"/>
          <w:color w:val="000000"/>
          <w:sz w:val="36"/>
          <w:szCs w:val="28"/>
          <w:lang w:val="en-US" w:eastAsia="en-AU"/>
        </w:rPr>
        <w:fldChar w:fldCharType="begin"/>
      </w:r>
      <w:r w:rsidR="003F77D8">
        <w:instrText xml:space="preserve"> TOC \t "Heading 2,1,Heading 2 numbered,1" \h </w:instrText>
      </w:r>
      <w:r>
        <w:fldChar w:fldCharType="separate"/>
      </w:r>
      <w:hyperlink w:anchor="_Toc448492245" w:history="1">
        <w:r w:rsidR="0012621F" w:rsidRPr="00B63A3A">
          <w:rPr>
            <w:rStyle w:val="Hyperlink"/>
            <w:noProof/>
          </w:rPr>
          <w:t>1</w:t>
        </w:r>
        <w:r w:rsidR="0012621F">
          <w:rPr>
            <w:rFonts w:asciiTheme="minorHAnsi" w:eastAsiaTheme="minorEastAsia" w:hAnsiTheme="minorHAnsi" w:cstheme="minorBidi"/>
            <w:b w:val="0"/>
            <w:bCs w:val="0"/>
            <w:noProof/>
            <w:sz w:val="22"/>
            <w:szCs w:val="22"/>
            <w:lang w:eastAsia="en-AU"/>
          </w:rPr>
          <w:tab/>
        </w:r>
        <w:r w:rsidR="0012621F" w:rsidRPr="00B63A3A">
          <w:rPr>
            <w:rStyle w:val="Hyperlink"/>
            <w:noProof/>
          </w:rPr>
          <w:t>Introduction</w:t>
        </w:r>
        <w:r w:rsidR="0012621F">
          <w:rPr>
            <w:noProof/>
          </w:rPr>
          <w:tab/>
        </w:r>
        <w:r w:rsidR="0012621F">
          <w:rPr>
            <w:noProof/>
          </w:rPr>
          <w:fldChar w:fldCharType="begin"/>
        </w:r>
        <w:r w:rsidR="0012621F">
          <w:rPr>
            <w:noProof/>
          </w:rPr>
          <w:instrText xml:space="preserve"> PAGEREF _Toc448492245 \h </w:instrText>
        </w:r>
        <w:r w:rsidR="0012621F">
          <w:rPr>
            <w:noProof/>
          </w:rPr>
        </w:r>
        <w:r w:rsidR="0012621F">
          <w:rPr>
            <w:noProof/>
          </w:rPr>
          <w:fldChar w:fldCharType="separate"/>
        </w:r>
        <w:r w:rsidR="0012621F">
          <w:rPr>
            <w:noProof/>
          </w:rPr>
          <w:t>1</w:t>
        </w:r>
        <w:r w:rsidR="0012621F">
          <w:rPr>
            <w:noProof/>
          </w:rPr>
          <w:fldChar w:fldCharType="end"/>
        </w:r>
      </w:hyperlink>
    </w:p>
    <w:p w14:paraId="09A8B108" w14:textId="77777777" w:rsidR="0012621F" w:rsidRDefault="0012621F">
      <w:pPr>
        <w:pStyle w:val="TOC1"/>
        <w:tabs>
          <w:tab w:val="left" w:pos="480"/>
          <w:tab w:val="right" w:leader="dot" w:pos="9402"/>
        </w:tabs>
        <w:rPr>
          <w:rFonts w:asciiTheme="minorHAnsi" w:eastAsiaTheme="minorEastAsia" w:hAnsiTheme="minorHAnsi" w:cstheme="minorBidi"/>
          <w:b w:val="0"/>
          <w:bCs w:val="0"/>
          <w:noProof/>
          <w:sz w:val="22"/>
          <w:szCs w:val="22"/>
          <w:lang w:eastAsia="en-AU"/>
        </w:rPr>
      </w:pPr>
      <w:hyperlink w:anchor="_Toc448492246" w:history="1">
        <w:r w:rsidRPr="00B63A3A">
          <w:rPr>
            <w:rStyle w:val="Hyperlink"/>
            <w:noProof/>
          </w:rPr>
          <w:t>2</w:t>
        </w:r>
        <w:r>
          <w:rPr>
            <w:rFonts w:asciiTheme="minorHAnsi" w:eastAsiaTheme="minorEastAsia" w:hAnsiTheme="minorHAnsi" w:cstheme="minorBidi"/>
            <w:b w:val="0"/>
            <w:bCs w:val="0"/>
            <w:noProof/>
            <w:sz w:val="22"/>
            <w:szCs w:val="22"/>
            <w:lang w:eastAsia="en-AU"/>
          </w:rPr>
          <w:tab/>
        </w:r>
        <w:r w:rsidRPr="00B63A3A">
          <w:rPr>
            <w:rStyle w:val="Hyperlink"/>
            <w:noProof/>
          </w:rPr>
          <w:t>Background</w:t>
        </w:r>
        <w:r>
          <w:rPr>
            <w:noProof/>
          </w:rPr>
          <w:tab/>
        </w:r>
        <w:r>
          <w:rPr>
            <w:noProof/>
          </w:rPr>
          <w:fldChar w:fldCharType="begin"/>
        </w:r>
        <w:r>
          <w:rPr>
            <w:noProof/>
          </w:rPr>
          <w:instrText xml:space="preserve"> PAGEREF _Toc448492246 \h </w:instrText>
        </w:r>
        <w:r>
          <w:rPr>
            <w:noProof/>
          </w:rPr>
        </w:r>
        <w:r>
          <w:rPr>
            <w:noProof/>
          </w:rPr>
          <w:fldChar w:fldCharType="separate"/>
        </w:r>
        <w:r>
          <w:rPr>
            <w:noProof/>
          </w:rPr>
          <w:t>2</w:t>
        </w:r>
        <w:r>
          <w:rPr>
            <w:noProof/>
          </w:rPr>
          <w:fldChar w:fldCharType="end"/>
        </w:r>
      </w:hyperlink>
    </w:p>
    <w:p w14:paraId="279C24B3" w14:textId="77777777" w:rsidR="0012621F" w:rsidRDefault="0012621F">
      <w:pPr>
        <w:pStyle w:val="TOC1"/>
        <w:tabs>
          <w:tab w:val="left" w:pos="480"/>
          <w:tab w:val="right" w:leader="dot" w:pos="9402"/>
        </w:tabs>
        <w:rPr>
          <w:rFonts w:asciiTheme="minorHAnsi" w:eastAsiaTheme="minorEastAsia" w:hAnsiTheme="minorHAnsi" w:cstheme="minorBidi"/>
          <w:b w:val="0"/>
          <w:bCs w:val="0"/>
          <w:noProof/>
          <w:sz w:val="22"/>
          <w:szCs w:val="22"/>
          <w:lang w:eastAsia="en-AU"/>
        </w:rPr>
      </w:pPr>
      <w:hyperlink w:anchor="_Toc448492247" w:history="1">
        <w:r w:rsidRPr="00B63A3A">
          <w:rPr>
            <w:rStyle w:val="Hyperlink"/>
            <w:noProof/>
          </w:rPr>
          <w:t>3</w:t>
        </w:r>
        <w:r>
          <w:rPr>
            <w:rFonts w:asciiTheme="minorHAnsi" w:eastAsiaTheme="minorEastAsia" w:hAnsiTheme="minorHAnsi" w:cstheme="minorBidi"/>
            <w:b w:val="0"/>
            <w:bCs w:val="0"/>
            <w:noProof/>
            <w:sz w:val="22"/>
            <w:szCs w:val="22"/>
            <w:lang w:eastAsia="en-AU"/>
          </w:rPr>
          <w:tab/>
        </w:r>
        <w:r w:rsidRPr="00B63A3A">
          <w:rPr>
            <w:rStyle w:val="Hyperlink"/>
            <w:noProof/>
          </w:rPr>
          <w:t>Management of biosecurity risks</w:t>
        </w:r>
        <w:r>
          <w:rPr>
            <w:noProof/>
          </w:rPr>
          <w:tab/>
        </w:r>
        <w:r>
          <w:rPr>
            <w:noProof/>
          </w:rPr>
          <w:fldChar w:fldCharType="begin"/>
        </w:r>
        <w:r>
          <w:rPr>
            <w:noProof/>
          </w:rPr>
          <w:instrText xml:space="preserve"> PAGEREF _Toc448492247 \h </w:instrText>
        </w:r>
        <w:r>
          <w:rPr>
            <w:noProof/>
          </w:rPr>
        </w:r>
        <w:r>
          <w:rPr>
            <w:noProof/>
          </w:rPr>
          <w:fldChar w:fldCharType="separate"/>
        </w:r>
        <w:r>
          <w:rPr>
            <w:noProof/>
          </w:rPr>
          <w:t>4</w:t>
        </w:r>
        <w:r>
          <w:rPr>
            <w:noProof/>
          </w:rPr>
          <w:fldChar w:fldCharType="end"/>
        </w:r>
      </w:hyperlink>
    </w:p>
    <w:p w14:paraId="2C38A19F" w14:textId="77777777" w:rsidR="0012621F" w:rsidRDefault="0012621F">
      <w:pPr>
        <w:pStyle w:val="TOC1"/>
        <w:tabs>
          <w:tab w:val="left" w:pos="480"/>
          <w:tab w:val="right" w:leader="dot" w:pos="9402"/>
        </w:tabs>
        <w:rPr>
          <w:rFonts w:asciiTheme="minorHAnsi" w:eastAsiaTheme="minorEastAsia" w:hAnsiTheme="minorHAnsi" w:cstheme="minorBidi"/>
          <w:b w:val="0"/>
          <w:bCs w:val="0"/>
          <w:noProof/>
          <w:sz w:val="22"/>
          <w:szCs w:val="22"/>
          <w:lang w:eastAsia="en-AU"/>
        </w:rPr>
      </w:pPr>
      <w:hyperlink w:anchor="_Toc448492248" w:history="1">
        <w:r w:rsidRPr="00B63A3A">
          <w:rPr>
            <w:rStyle w:val="Hyperlink"/>
            <w:noProof/>
          </w:rPr>
          <w:t>4</w:t>
        </w:r>
        <w:r>
          <w:rPr>
            <w:rFonts w:asciiTheme="minorHAnsi" w:eastAsiaTheme="minorEastAsia" w:hAnsiTheme="minorHAnsi" w:cstheme="minorBidi"/>
            <w:b w:val="0"/>
            <w:bCs w:val="0"/>
            <w:noProof/>
            <w:sz w:val="22"/>
            <w:szCs w:val="22"/>
            <w:lang w:eastAsia="en-AU"/>
          </w:rPr>
          <w:tab/>
        </w:r>
        <w:r w:rsidRPr="00B63A3A">
          <w:rPr>
            <w:rStyle w:val="Hyperlink"/>
            <w:noProof/>
          </w:rPr>
          <w:t>Observations</w:t>
        </w:r>
        <w:r>
          <w:rPr>
            <w:noProof/>
          </w:rPr>
          <w:tab/>
        </w:r>
        <w:r>
          <w:rPr>
            <w:noProof/>
          </w:rPr>
          <w:fldChar w:fldCharType="begin"/>
        </w:r>
        <w:r>
          <w:rPr>
            <w:noProof/>
          </w:rPr>
          <w:instrText xml:space="preserve"> PAGEREF _Toc448492248 \h </w:instrText>
        </w:r>
        <w:r>
          <w:rPr>
            <w:noProof/>
          </w:rPr>
        </w:r>
        <w:r>
          <w:rPr>
            <w:noProof/>
          </w:rPr>
          <w:fldChar w:fldCharType="separate"/>
        </w:r>
        <w:r>
          <w:rPr>
            <w:noProof/>
          </w:rPr>
          <w:t>11</w:t>
        </w:r>
        <w:r>
          <w:rPr>
            <w:noProof/>
          </w:rPr>
          <w:fldChar w:fldCharType="end"/>
        </w:r>
      </w:hyperlink>
    </w:p>
    <w:p w14:paraId="139D2C41" w14:textId="77777777" w:rsidR="0012621F" w:rsidRDefault="0012621F">
      <w:pPr>
        <w:pStyle w:val="TOC1"/>
        <w:tabs>
          <w:tab w:val="left" w:pos="480"/>
          <w:tab w:val="right" w:leader="dot" w:pos="9402"/>
        </w:tabs>
        <w:rPr>
          <w:rFonts w:asciiTheme="minorHAnsi" w:eastAsiaTheme="minorEastAsia" w:hAnsiTheme="minorHAnsi" w:cstheme="minorBidi"/>
          <w:b w:val="0"/>
          <w:bCs w:val="0"/>
          <w:noProof/>
          <w:sz w:val="22"/>
          <w:szCs w:val="22"/>
          <w:lang w:eastAsia="en-AU"/>
        </w:rPr>
      </w:pPr>
      <w:hyperlink w:anchor="_Toc448492249" w:history="1">
        <w:r w:rsidRPr="00B63A3A">
          <w:rPr>
            <w:rStyle w:val="Hyperlink"/>
            <w:noProof/>
          </w:rPr>
          <w:t>5</w:t>
        </w:r>
        <w:r>
          <w:rPr>
            <w:rFonts w:asciiTheme="minorHAnsi" w:eastAsiaTheme="minorEastAsia" w:hAnsiTheme="minorHAnsi" w:cstheme="minorBidi"/>
            <w:b w:val="0"/>
            <w:bCs w:val="0"/>
            <w:noProof/>
            <w:sz w:val="22"/>
            <w:szCs w:val="22"/>
            <w:lang w:eastAsia="en-AU"/>
          </w:rPr>
          <w:tab/>
        </w:r>
        <w:r w:rsidRPr="00B63A3A">
          <w:rPr>
            <w:rStyle w:val="Hyperlink"/>
            <w:noProof/>
          </w:rPr>
          <w:t>Conclusion</w:t>
        </w:r>
        <w:r>
          <w:rPr>
            <w:noProof/>
          </w:rPr>
          <w:tab/>
        </w:r>
        <w:r>
          <w:rPr>
            <w:noProof/>
          </w:rPr>
          <w:fldChar w:fldCharType="begin"/>
        </w:r>
        <w:r>
          <w:rPr>
            <w:noProof/>
          </w:rPr>
          <w:instrText xml:space="preserve"> PAGEREF _Toc448492249 \h </w:instrText>
        </w:r>
        <w:r>
          <w:rPr>
            <w:noProof/>
          </w:rPr>
        </w:r>
        <w:r>
          <w:rPr>
            <w:noProof/>
          </w:rPr>
          <w:fldChar w:fldCharType="separate"/>
        </w:r>
        <w:r>
          <w:rPr>
            <w:noProof/>
          </w:rPr>
          <w:t>19</w:t>
        </w:r>
        <w:r>
          <w:rPr>
            <w:noProof/>
          </w:rPr>
          <w:fldChar w:fldCharType="end"/>
        </w:r>
      </w:hyperlink>
    </w:p>
    <w:p w14:paraId="0FB764C6" w14:textId="77777777" w:rsidR="0012621F" w:rsidRDefault="0012621F">
      <w:pPr>
        <w:pStyle w:val="TOC1"/>
        <w:tabs>
          <w:tab w:val="right" w:leader="dot" w:pos="9402"/>
        </w:tabs>
        <w:rPr>
          <w:rFonts w:asciiTheme="minorHAnsi" w:eastAsiaTheme="minorEastAsia" w:hAnsiTheme="minorHAnsi" w:cstheme="minorBidi"/>
          <w:b w:val="0"/>
          <w:bCs w:val="0"/>
          <w:noProof/>
          <w:sz w:val="22"/>
          <w:szCs w:val="22"/>
          <w:lang w:eastAsia="en-AU"/>
        </w:rPr>
      </w:pPr>
      <w:hyperlink w:anchor="_Toc448492250" w:history="1">
        <w:r w:rsidRPr="00B63A3A">
          <w:rPr>
            <w:rStyle w:val="Hyperlink"/>
            <w:noProof/>
          </w:rPr>
          <w:t>Appendix A: Processing transhipped ships stores for cruise and commercial vessels</w:t>
        </w:r>
        <w:r>
          <w:rPr>
            <w:noProof/>
          </w:rPr>
          <w:tab/>
        </w:r>
        <w:r>
          <w:rPr>
            <w:noProof/>
          </w:rPr>
          <w:fldChar w:fldCharType="begin"/>
        </w:r>
        <w:r>
          <w:rPr>
            <w:noProof/>
          </w:rPr>
          <w:instrText xml:space="preserve"> PAGEREF _Toc448492250 \h </w:instrText>
        </w:r>
        <w:r>
          <w:rPr>
            <w:noProof/>
          </w:rPr>
        </w:r>
        <w:r>
          <w:rPr>
            <w:noProof/>
          </w:rPr>
          <w:fldChar w:fldCharType="separate"/>
        </w:r>
        <w:r>
          <w:rPr>
            <w:noProof/>
          </w:rPr>
          <w:t>20</w:t>
        </w:r>
        <w:r>
          <w:rPr>
            <w:noProof/>
          </w:rPr>
          <w:fldChar w:fldCharType="end"/>
        </w:r>
      </w:hyperlink>
    </w:p>
    <w:p w14:paraId="09A1CB63" w14:textId="77777777" w:rsidR="0012621F" w:rsidRDefault="0012621F">
      <w:pPr>
        <w:pStyle w:val="TOC1"/>
        <w:tabs>
          <w:tab w:val="right" w:leader="dot" w:pos="9402"/>
        </w:tabs>
        <w:rPr>
          <w:rFonts w:asciiTheme="minorHAnsi" w:eastAsiaTheme="minorEastAsia" w:hAnsiTheme="minorHAnsi" w:cstheme="minorBidi"/>
          <w:b w:val="0"/>
          <w:bCs w:val="0"/>
          <w:noProof/>
          <w:sz w:val="22"/>
          <w:szCs w:val="22"/>
          <w:lang w:eastAsia="en-AU"/>
        </w:rPr>
      </w:pPr>
      <w:hyperlink w:anchor="_Toc448492251" w:history="1">
        <w:r w:rsidRPr="00B63A3A">
          <w:rPr>
            <w:rStyle w:val="Hyperlink"/>
            <w:noProof/>
          </w:rPr>
          <w:t>Appendix B: Agency response</w:t>
        </w:r>
        <w:r>
          <w:rPr>
            <w:noProof/>
          </w:rPr>
          <w:tab/>
        </w:r>
        <w:r>
          <w:rPr>
            <w:noProof/>
          </w:rPr>
          <w:fldChar w:fldCharType="begin"/>
        </w:r>
        <w:r>
          <w:rPr>
            <w:noProof/>
          </w:rPr>
          <w:instrText xml:space="preserve"> PAGEREF _Toc448492251 \h </w:instrText>
        </w:r>
        <w:r>
          <w:rPr>
            <w:noProof/>
          </w:rPr>
        </w:r>
        <w:r>
          <w:rPr>
            <w:noProof/>
          </w:rPr>
          <w:fldChar w:fldCharType="separate"/>
        </w:r>
        <w:r>
          <w:rPr>
            <w:noProof/>
          </w:rPr>
          <w:t>21</w:t>
        </w:r>
        <w:r>
          <w:rPr>
            <w:noProof/>
          </w:rPr>
          <w:fldChar w:fldCharType="end"/>
        </w:r>
      </w:hyperlink>
    </w:p>
    <w:p w14:paraId="1F044512" w14:textId="77777777" w:rsidR="0012621F" w:rsidRDefault="0012621F">
      <w:pPr>
        <w:pStyle w:val="TOC1"/>
        <w:tabs>
          <w:tab w:val="right" w:leader="dot" w:pos="9402"/>
        </w:tabs>
        <w:rPr>
          <w:rFonts w:asciiTheme="minorHAnsi" w:eastAsiaTheme="minorEastAsia" w:hAnsiTheme="minorHAnsi" w:cstheme="minorBidi"/>
          <w:b w:val="0"/>
          <w:bCs w:val="0"/>
          <w:noProof/>
          <w:sz w:val="22"/>
          <w:szCs w:val="22"/>
          <w:lang w:eastAsia="en-AU"/>
        </w:rPr>
      </w:pPr>
      <w:hyperlink w:anchor="_Toc448492252" w:history="1">
        <w:r w:rsidRPr="00B63A3A">
          <w:rPr>
            <w:rStyle w:val="Hyperlink"/>
            <w:noProof/>
          </w:rPr>
          <w:t>Glossary</w:t>
        </w:r>
        <w:r>
          <w:rPr>
            <w:noProof/>
          </w:rPr>
          <w:tab/>
        </w:r>
        <w:r>
          <w:rPr>
            <w:noProof/>
          </w:rPr>
          <w:fldChar w:fldCharType="begin"/>
        </w:r>
        <w:r>
          <w:rPr>
            <w:noProof/>
          </w:rPr>
          <w:instrText xml:space="preserve"> PAGEREF _Toc448492252 \h </w:instrText>
        </w:r>
        <w:r>
          <w:rPr>
            <w:noProof/>
          </w:rPr>
        </w:r>
        <w:r>
          <w:rPr>
            <w:noProof/>
          </w:rPr>
          <w:fldChar w:fldCharType="separate"/>
        </w:r>
        <w:r>
          <w:rPr>
            <w:noProof/>
          </w:rPr>
          <w:t>22</w:t>
        </w:r>
        <w:r>
          <w:rPr>
            <w:noProof/>
          </w:rPr>
          <w:fldChar w:fldCharType="end"/>
        </w:r>
      </w:hyperlink>
    </w:p>
    <w:p w14:paraId="01DA8E8C" w14:textId="77777777" w:rsidR="0012621F" w:rsidRDefault="0012621F">
      <w:pPr>
        <w:pStyle w:val="TOC1"/>
        <w:tabs>
          <w:tab w:val="right" w:leader="dot" w:pos="9402"/>
        </w:tabs>
        <w:rPr>
          <w:rFonts w:asciiTheme="minorHAnsi" w:eastAsiaTheme="minorEastAsia" w:hAnsiTheme="minorHAnsi" w:cstheme="minorBidi"/>
          <w:b w:val="0"/>
          <w:bCs w:val="0"/>
          <w:noProof/>
          <w:sz w:val="22"/>
          <w:szCs w:val="22"/>
          <w:lang w:eastAsia="en-AU"/>
        </w:rPr>
      </w:pPr>
      <w:hyperlink w:anchor="_Toc448492253" w:history="1">
        <w:r w:rsidRPr="00B63A3A">
          <w:rPr>
            <w:rStyle w:val="Hyperlink"/>
            <w:noProof/>
          </w:rPr>
          <w:t>References</w:t>
        </w:r>
        <w:r>
          <w:rPr>
            <w:noProof/>
          </w:rPr>
          <w:tab/>
        </w:r>
        <w:r>
          <w:rPr>
            <w:noProof/>
          </w:rPr>
          <w:fldChar w:fldCharType="begin"/>
        </w:r>
        <w:r>
          <w:rPr>
            <w:noProof/>
          </w:rPr>
          <w:instrText xml:space="preserve"> PAGEREF _Toc448492253 \h </w:instrText>
        </w:r>
        <w:r>
          <w:rPr>
            <w:noProof/>
          </w:rPr>
        </w:r>
        <w:r>
          <w:rPr>
            <w:noProof/>
          </w:rPr>
          <w:fldChar w:fldCharType="separate"/>
        </w:r>
        <w:r>
          <w:rPr>
            <w:noProof/>
          </w:rPr>
          <w:t>23</w:t>
        </w:r>
        <w:r>
          <w:rPr>
            <w:noProof/>
          </w:rPr>
          <w:fldChar w:fldCharType="end"/>
        </w:r>
      </w:hyperlink>
    </w:p>
    <w:p w14:paraId="18F9430B" w14:textId="77777777" w:rsidR="006661C4" w:rsidRDefault="00A43EC2">
      <w:pPr>
        <w:pStyle w:val="TOC1"/>
        <w:tabs>
          <w:tab w:val="right" w:leader="dot" w:pos="9402"/>
        </w:tabs>
        <w:sectPr w:rsidR="006661C4" w:rsidSect="00E370E3">
          <w:headerReference w:type="default" r:id="rId17"/>
          <w:footerReference w:type="default" r:id="rId18"/>
          <w:headerReference w:type="first" r:id="rId19"/>
          <w:footerReference w:type="first" r:id="rId20"/>
          <w:pgSz w:w="11906" w:h="16838"/>
          <w:pgMar w:top="1134" w:right="1247" w:bottom="1134" w:left="1247" w:header="567" w:footer="425" w:gutter="0"/>
          <w:pgNumType w:fmt="lowerRoman" w:start="1"/>
          <w:cols w:space="720"/>
          <w:titlePg/>
        </w:sectPr>
      </w:pPr>
      <w:r>
        <w:fldChar w:fldCharType="end"/>
      </w:r>
    </w:p>
    <w:p w14:paraId="2D8DC527" w14:textId="77777777" w:rsidR="004C2D51" w:rsidRPr="008A65F4" w:rsidRDefault="004C2D51" w:rsidP="004C2D51">
      <w:pPr>
        <w:pStyle w:val="Heading2numbered"/>
        <w:rPr>
          <w:b w:val="0"/>
          <w:sz w:val="24"/>
          <w:szCs w:val="24"/>
        </w:rPr>
      </w:pPr>
      <w:bookmarkStart w:id="5" w:name="_Toc367702823"/>
      <w:bookmarkStart w:id="6" w:name="_Toc367706536"/>
      <w:bookmarkStart w:id="7" w:name="_Toc367707116"/>
      <w:bookmarkStart w:id="8" w:name="_Toc367707297"/>
      <w:bookmarkStart w:id="9" w:name="_Toc367708179"/>
      <w:bookmarkStart w:id="10" w:name="_Toc448492245"/>
      <w:r w:rsidRPr="004C2D51">
        <w:lastRenderedPageBreak/>
        <w:t>Introduction</w:t>
      </w:r>
      <w:bookmarkEnd w:id="10"/>
    </w:p>
    <w:p w14:paraId="32D13FF0" w14:textId="0BDA9D47" w:rsidR="004C2D51" w:rsidRPr="00B73EBA" w:rsidRDefault="0099029A" w:rsidP="004C2D51">
      <w:pPr>
        <w:spacing w:line="240" w:lineRule="auto"/>
        <w:rPr>
          <w:rFonts w:cs="Segoe UI"/>
          <w:color w:val="000000"/>
        </w:rPr>
      </w:pPr>
      <w:r>
        <w:rPr>
          <w:rFonts w:cs="Segoe UI"/>
          <w:color w:val="000000"/>
        </w:rPr>
        <w:t xml:space="preserve">Cruise line operators and </w:t>
      </w:r>
      <w:r w:rsidR="0014747B">
        <w:rPr>
          <w:rFonts w:cs="Segoe UI"/>
          <w:color w:val="000000"/>
        </w:rPr>
        <w:t xml:space="preserve">other </w:t>
      </w:r>
      <w:r>
        <w:rPr>
          <w:rFonts w:cs="Segoe UI"/>
          <w:color w:val="000000"/>
        </w:rPr>
        <w:t>s</w:t>
      </w:r>
      <w:r w:rsidR="004C2D51" w:rsidRPr="00B73EBA">
        <w:rPr>
          <w:rFonts w:cs="Segoe UI"/>
          <w:color w:val="000000"/>
        </w:rPr>
        <w:t xml:space="preserve">hipping </w:t>
      </w:r>
      <w:r w:rsidR="004C2D51" w:rsidRPr="004C6B2D">
        <w:rPr>
          <w:rFonts w:cs="Segoe UI"/>
          <w:color w:val="000000"/>
        </w:rPr>
        <w:t>companies</w:t>
      </w:r>
      <w:r w:rsidR="00453C48" w:rsidRPr="00A37EB2">
        <w:rPr>
          <w:rFonts w:cs="Segoe UI"/>
          <w:color w:val="000000"/>
        </w:rPr>
        <w:t xml:space="preserve"> </w:t>
      </w:r>
      <w:r w:rsidR="004C2D51" w:rsidRPr="00B73EBA">
        <w:rPr>
          <w:rFonts w:cs="Segoe UI"/>
          <w:color w:val="000000"/>
        </w:rPr>
        <w:t xml:space="preserve">operating at Australian ports often </w:t>
      </w:r>
      <w:r w:rsidR="004C2D51">
        <w:rPr>
          <w:rFonts w:cs="Segoe UI"/>
          <w:color w:val="000000"/>
        </w:rPr>
        <w:t>trans</w:t>
      </w:r>
      <w:r w:rsidR="004C2D51" w:rsidRPr="005549C4">
        <w:rPr>
          <w:rFonts w:cs="Segoe UI"/>
          <w:color w:val="000000"/>
        </w:rPr>
        <w:t xml:space="preserve">hip </w:t>
      </w:r>
      <w:r w:rsidR="004C2D51">
        <w:rPr>
          <w:rFonts w:cs="Segoe UI"/>
          <w:color w:val="000000"/>
        </w:rPr>
        <w:t xml:space="preserve">food items and other </w:t>
      </w:r>
      <w:r w:rsidR="004C2D51" w:rsidRPr="00B73EBA">
        <w:rPr>
          <w:rFonts w:cs="Segoe UI"/>
          <w:color w:val="000000"/>
        </w:rPr>
        <w:t>goods through</w:t>
      </w:r>
      <w:r w:rsidR="004C2D51">
        <w:rPr>
          <w:rFonts w:cs="Segoe UI"/>
          <w:color w:val="000000"/>
        </w:rPr>
        <w:t xml:space="preserve"> Australia</w:t>
      </w:r>
      <w:r w:rsidR="004C2D51" w:rsidRPr="00B73EBA">
        <w:rPr>
          <w:rFonts w:cs="Segoe UI"/>
          <w:color w:val="000000"/>
        </w:rPr>
        <w:t xml:space="preserve"> for </w:t>
      </w:r>
      <w:r w:rsidR="004C2D51">
        <w:rPr>
          <w:rFonts w:cs="Segoe UI"/>
          <w:color w:val="000000"/>
        </w:rPr>
        <w:t xml:space="preserve">the </w:t>
      </w:r>
      <w:r w:rsidR="004C2D51" w:rsidRPr="00B73EBA">
        <w:rPr>
          <w:rFonts w:cs="Segoe UI"/>
          <w:color w:val="000000"/>
        </w:rPr>
        <w:t xml:space="preserve">use of passengers </w:t>
      </w:r>
      <w:r w:rsidR="004C2D51">
        <w:rPr>
          <w:rFonts w:cs="Segoe UI"/>
          <w:color w:val="000000"/>
        </w:rPr>
        <w:t>and/</w:t>
      </w:r>
      <w:r w:rsidR="004C2D51" w:rsidRPr="00B73EBA">
        <w:rPr>
          <w:rFonts w:cs="Segoe UI"/>
          <w:color w:val="000000"/>
        </w:rPr>
        <w:t>or crew</w:t>
      </w:r>
      <w:r w:rsidR="004C2D51">
        <w:rPr>
          <w:rFonts w:cs="Segoe UI"/>
          <w:color w:val="000000"/>
          <w:sz w:val="19"/>
          <w:szCs w:val="19"/>
        </w:rPr>
        <w:t xml:space="preserve"> </w:t>
      </w:r>
      <w:r w:rsidR="00453C48">
        <w:rPr>
          <w:rFonts w:cs="Segoe UI"/>
          <w:color w:val="000000"/>
        </w:rPr>
        <w:t xml:space="preserve">on </w:t>
      </w:r>
      <w:r w:rsidR="004C2D51" w:rsidRPr="00B73EBA">
        <w:rPr>
          <w:rFonts w:cs="Segoe UI"/>
          <w:color w:val="000000"/>
        </w:rPr>
        <w:t>board departing vessel</w:t>
      </w:r>
      <w:r w:rsidR="00453C48">
        <w:rPr>
          <w:rFonts w:cs="Segoe UI"/>
          <w:color w:val="000000"/>
        </w:rPr>
        <w:t>s</w:t>
      </w:r>
      <w:r w:rsidR="004C2D51" w:rsidRPr="00B73EBA">
        <w:rPr>
          <w:rFonts w:cs="Segoe UI"/>
          <w:color w:val="000000"/>
        </w:rPr>
        <w:t xml:space="preserve">. The </w:t>
      </w:r>
      <w:r w:rsidR="00BD240C" w:rsidRPr="00E12868">
        <w:rPr>
          <w:rFonts w:cs="Segoe UI"/>
          <w:color w:val="000000"/>
        </w:rPr>
        <w:t>Department of Immigration and Border Protection</w:t>
      </w:r>
      <w:r w:rsidR="004C2D51" w:rsidRPr="00B73EBA">
        <w:rPr>
          <w:rFonts w:cs="Segoe UI"/>
          <w:color w:val="000000"/>
        </w:rPr>
        <w:t xml:space="preserve"> defines </w:t>
      </w:r>
      <w:r w:rsidR="004C2D51">
        <w:rPr>
          <w:rFonts w:cs="Segoe UI"/>
          <w:color w:val="000000"/>
        </w:rPr>
        <w:t>trans</w:t>
      </w:r>
      <w:r w:rsidR="004C2D51" w:rsidRPr="005549C4">
        <w:rPr>
          <w:rFonts w:cs="Segoe UI"/>
          <w:color w:val="000000"/>
        </w:rPr>
        <w:t xml:space="preserve">hipment </w:t>
      </w:r>
      <w:r w:rsidR="004C2D51" w:rsidRPr="00B73EBA">
        <w:rPr>
          <w:rFonts w:cs="Segoe UI"/>
          <w:color w:val="000000"/>
        </w:rPr>
        <w:t xml:space="preserve">as </w:t>
      </w:r>
      <w:r w:rsidR="005C57D9" w:rsidRPr="00950937">
        <w:t>‘</w:t>
      </w:r>
      <w:r w:rsidR="004C2D51" w:rsidRPr="00950937">
        <w:t>the transfer of goods without payment of duty and taxes from the importing ship to another ship engaged in international travel for the purpose of shipment overseas</w:t>
      </w:r>
      <w:r w:rsidR="005C57D9" w:rsidRPr="00950937">
        <w:t>’</w:t>
      </w:r>
      <w:r w:rsidR="004C2D51">
        <w:rPr>
          <w:rFonts w:cs="Segoe UI"/>
          <w:i/>
          <w:color w:val="000000"/>
        </w:rPr>
        <w:t xml:space="preserve"> </w:t>
      </w:r>
      <w:r w:rsidR="004C2D51">
        <w:rPr>
          <w:rFonts w:cs="Segoe UI"/>
          <w:color w:val="000000"/>
        </w:rPr>
        <w:t>(</w:t>
      </w:r>
      <w:r w:rsidR="00BD240C">
        <w:rPr>
          <w:rFonts w:cs="Segoe UI"/>
          <w:color w:val="000000"/>
        </w:rPr>
        <w:t>Department of Immigration and Border Protection</w:t>
      </w:r>
      <w:r w:rsidR="004C2D51">
        <w:rPr>
          <w:rFonts w:cs="Segoe UI"/>
          <w:color w:val="000000"/>
        </w:rPr>
        <w:t xml:space="preserve"> 2016). </w:t>
      </w:r>
      <w:r w:rsidR="00453C48">
        <w:rPr>
          <w:rFonts w:cs="Segoe UI"/>
          <w:color w:val="000000"/>
        </w:rPr>
        <w:t>U</w:t>
      </w:r>
      <w:r w:rsidR="00453C48" w:rsidRPr="005549C4">
        <w:rPr>
          <w:rFonts w:cs="Segoe UI"/>
          <w:color w:val="000000"/>
        </w:rPr>
        <w:t xml:space="preserve">nder the </w:t>
      </w:r>
      <w:r w:rsidR="00453C48" w:rsidRPr="005549C4">
        <w:rPr>
          <w:rFonts w:cs="Segoe UI"/>
          <w:i/>
          <w:color w:val="000000"/>
        </w:rPr>
        <w:t>Customs Act</w:t>
      </w:r>
      <w:r w:rsidR="00453C48">
        <w:rPr>
          <w:rFonts w:cs="Segoe UI"/>
          <w:i/>
          <w:color w:val="000000"/>
        </w:rPr>
        <w:t xml:space="preserve"> </w:t>
      </w:r>
      <w:r w:rsidR="00453C48" w:rsidRPr="00E12868">
        <w:rPr>
          <w:rFonts w:cs="Segoe UI"/>
          <w:i/>
          <w:color w:val="000000"/>
        </w:rPr>
        <w:t>1901</w:t>
      </w:r>
      <w:r w:rsidR="00453C48">
        <w:rPr>
          <w:rFonts w:cs="Segoe UI"/>
          <w:color w:val="000000"/>
        </w:rPr>
        <w:t>, t</w:t>
      </w:r>
      <w:r w:rsidR="004C2D51">
        <w:rPr>
          <w:rFonts w:cs="Segoe UI"/>
          <w:color w:val="000000"/>
        </w:rPr>
        <w:t>rans</w:t>
      </w:r>
      <w:r w:rsidR="004C2D51" w:rsidRPr="005549C4">
        <w:rPr>
          <w:rFonts w:cs="Segoe UI"/>
          <w:color w:val="000000"/>
        </w:rPr>
        <w:t>hipped goods are not considered</w:t>
      </w:r>
      <w:r w:rsidR="00CF0577">
        <w:rPr>
          <w:rFonts w:cs="Segoe UI"/>
          <w:color w:val="000000"/>
        </w:rPr>
        <w:t xml:space="preserve"> to be</w:t>
      </w:r>
      <w:r w:rsidR="004C2D51" w:rsidRPr="005549C4">
        <w:rPr>
          <w:rFonts w:cs="Segoe UI"/>
          <w:color w:val="000000"/>
        </w:rPr>
        <w:t xml:space="preserve"> imported and therefore must not pass out of Customs control from importation until export from Australia.</w:t>
      </w:r>
    </w:p>
    <w:p w14:paraId="208E9AB4" w14:textId="77777777" w:rsidR="004C2D51" w:rsidRPr="00B82F7F" w:rsidRDefault="00453C48" w:rsidP="004C2D51">
      <w:pPr>
        <w:spacing w:line="240" w:lineRule="auto"/>
        <w:rPr>
          <w:rFonts w:cs="Segoe UI"/>
          <w:color w:val="000000"/>
        </w:rPr>
      </w:pPr>
      <w:r w:rsidRPr="00584213">
        <w:rPr>
          <w:rFonts w:cs="Segoe UI"/>
          <w:color w:val="000000"/>
        </w:rPr>
        <w:t xml:space="preserve">These </w:t>
      </w:r>
      <w:r w:rsidR="004C2D51" w:rsidRPr="004C6B2D">
        <w:rPr>
          <w:rFonts w:cs="Segoe UI"/>
          <w:color w:val="000000"/>
        </w:rPr>
        <w:t>ships</w:t>
      </w:r>
      <w:r w:rsidR="004C2D51" w:rsidRPr="00584213">
        <w:rPr>
          <w:rFonts w:cs="Segoe UI"/>
          <w:color w:val="000000"/>
        </w:rPr>
        <w:t xml:space="preserve"> stores</w:t>
      </w:r>
      <w:r w:rsidR="007A0E1D" w:rsidRPr="00584213">
        <w:rPr>
          <w:rFonts w:cs="Segoe UI"/>
          <w:color w:val="000000"/>
        </w:rPr>
        <w:t xml:space="preserve"> (</w:t>
      </w:r>
      <w:r w:rsidR="004C2D51" w:rsidRPr="00584213">
        <w:rPr>
          <w:rFonts w:cs="Segoe UI"/>
          <w:color w:val="000000"/>
        </w:rPr>
        <w:t>particularly foodstuffs</w:t>
      </w:r>
      <w:r w:rsidR="007A0E1D" w:rsidRPr="00584213">
        <w:rPr>
          <w:rFonts w:cs="Segoe UI"/>
          <w:color w:val="000000"/>
        </w:rPr>
        <w:t>)</w:t>
      </w:r>
      <w:r w:rsidR="004C2D51" w:rsidRPr="00584213">
        <w:rPr>
          <w:rFonts w:cs="Segoe UI"/>
          <w:color w:val="000000"/>
        </w:rPr>
        <w:t xml:space="preserve"> pose a high biosecurity risk to Australia</w:t>
      </w:r>
      <w:r w:rsidR="00151919" w:rsidRPr="00584213">
        <w:rPr>
          <w:rFonts w:cs="Segoe UI"/>
          <w:color w:val="000000"/>
        </w:rPr>
        <w:t>.</w:t>
      </w:r>
      <w:r w:rsidR="004C2D51" w:rsidRPr="00584213">
        <w:rPr>
          <w:rFonts w:cs="Segoe UI"/>
          <w:color w:val="000000"/>
        </w:rPr>
        <w:t xml:space="preserve"> </w:t>
      </w:r>
      <w:r w:rsidR="00151919" w:rsidRPr="00584213">
        <w:rPr>
          <w:rFonts w:cs="Segoe UI"/>
          <w:color w:val="000000"/>
        </w:rPr>
        <w:t xml:space="preserve">They are </w:t>
      </w:r>
      <w:r w:rsidR="004C2D51" w:rsidRPr="00584213">
        <w:rPr>
          <w:rFonts w:cs="Segoe UI"/>
          <w:color w:val="000000"/>
        </w:rPr>
        <w:t>a potential pathway for the introduction of exotic pests or diseases</w:t>
      </w:r>
      <w:r w:rsidR="00151919" w:rsidRPr="00584213">
        <w:rPr>
          <w:rFonts w:cs="Segoe UI"/>
          <w:color w:val="000000"/>
        </w:rPr>
        <w:t>.</w:t>
      </w:r>
      <w:r w:rsidR="004C2D51" w:rsidRPr="00584213">
        <w:rPr>
          <w:rFonts w:cs="Segoe UI"/>
          <w:color w:val="000000"/>
        </w:rPr>
        <w:t xml:space="preserve"> </w:t>
      </w:r>
      <w:r w:rsidR="00151919" w:rsidRPr="00584213">
        <w:rPr>
          <w:rFonts w:cs="Segoe UI"/>
          <w:color w:val="000000"/>
        </w:rPr>
        <w:t>Importation into Australia of i</w:t>
      </w:r>
      <w:r w:rsidR="004C2D51" w:rsidRPr="00584213">
        <w:rPr>
          <w:rFonts w:cs="Segoe UI"/>
          <w:color w:val="000000"/>
        </w:rPr>
        <w:t>tems such as uncooked meat and seafood</w:t>
      </w:r>
      <w:r w:rsidR="00151919" w:rsidRPr="00584213">
        <w:rPr>
          <w:rFonts w:cs="Segoe UI"/>
          <w:color w:val="000000"/>
        </w:rPr>
        <w:t>, and</w:t>
      </w:r>
      <w:r w:rsidR="004C2D51" w:rsidRPr="00584213">
        <w:rPr>
          <w:rFonts w:cs="Segoe UI"/>
          <w:color w:val="000000"/>
        </w:rPr>
        <w:t xml:space="preserve"> fresh fruit and vegetables</w:t>
      </w:r>
      <w:r w:rsidR="00151919" w:rsidRPr="00584213">
        <w:rPr>
          <w:rFonts w:cs="Segoe UI"/>
          <w:color w:val="000000"/>
        </w:rPr>
        <w:t xml:space="preserve"> </w:t>
      </w:r>
      <w:r w:rsidR="004C2D51" w:rsidRPr="00584213">
        <w:rPr>
          <w:rFonts w:cs="Segoe UI"/>
          <w:color w:val="000000"/>
        </w:rPr>
        <w:t xml:space="preserve">would not </w:t>
      </w:r>
      <w:r w:rsidR="00151919" w:rsidRPr="00584213">
        <w:rPr>
          <w:rFonts w:cs="Segoe UI"/>
          <w:color w:val="000000"/>
        </w:rPr>
        <w:t xml:space="preserve">usually </w:t>
      </w:r>
      <w:r w:rsidR="004C2D51" w:rsidRPr="00584213">
        <w:rPr>
          <w:rFonts w:cs="Segoe UI"/>
          <w:color w:val="000000"/>
        </w:rPr>
        <w:t xml:space="preserve">be allowed. </w:t>
      </w:r>
      <w:r w:rsidR="00151919" w:rsidRPr="00584213">
        <w:rPr>
          <w:rFonts w:cs="Segoe UI"/>
          <w:color w:val="000000"/>
        </w:rPr>
        <w:t>T</w:t>
      </w:r>
      <w:r w:rsidR="004C2D51" w:rsidRPr="00584213">
        <w:rPr>
          <w:rFonts w:cs="Segoe UI"/>
          <w:color w:val="000000"/>
        </w:rPr>
        <w:t xml:space="preserve">he Interim Inspector-General of Biosecurity (IIGB) </w:t>
      </w:r>
      <w:r w:rsidR="00151919" w:rsidRPr="00584213">
        <w:rPr>
          <w:rFonts w:cs="Segoe UI"/>
          <w:color w:val="000000"/>
        </w:rPr>
        <w:t xml:space="preserve">undertook a limited review as part of </w:t>
      </w:r>
      <w:r w:rsidR="000E5C8A">
        <w:rPr>
          <w:rFonts w:cs="Segoe UI"/>
          <w:color w:val="000000"/>
        </w:rPr>
        <w:t>his</w:t>
      </w:r>
      <w:r w:rsidR="00151919" w:rsidRPr="00584213">
        <w:rPr>
          <w:rFonts w:cs="Segoe UI"/>
          <w:color w:val="000000"/>
        </w:rPr>
        <w:t xml:space="preserve"> </w:t>
      </w:r>
      <w:r w:rsidR="004C2D51" w:rsidRPr="00584213">
        <w:rPr>
          <w:rFonts w:cs="Segoe UI"/>
          <w:color w:val="000000"/>
        </w:rPr>
        <w:t>annual work program</w:t>
      </w:r>
      <w:r w:rsidR="003B14B3" w:rsidRPr="00584213">
        <w:rPr>
          <w:rFonts w:cs="Segoe UI"/>
          <w:color w:val="000000"/>
        </w:rPr>
        <w:t>me</w:t>
      </w:r>
      <w:r w:rsidR="00151919" w:rsidRPr="00584213">
        <w:rPr>
          <w:rFonts w:cs="Segoe UI"/>
          <w:color w:val="000000"/>
        </w:rPr>
        <w:t>.</w:t>
      </w:r>
      <w:r w:rsidR="004C2D51" w:rsidRPr="00584213">
        <w:rPr>
          <w:rFonts w:cs="Segoe UI"/>
          <w:color w:val="000000"/>
        </w:rPr>
        <w:t xml:space="preserve"> </w:t>
      </w:r>
      <w:r w:rsidR="00151919" w:rsidRPr="00584213">
        <w:rPr>
          <w:rFonts w:cs="Segoe UI"/>
          <w:color w:val="000000"/>
        </w:rPr>
        <w:t>The</w:t>
      </w:r>
      <w:r w:rsidR="004C2D51" w:rsidRPr="00584213">
        <w:rPr>
          <w:rFonts w:cs="Segoe UI"/>
          <w:color w:val="000000"/>
        </w:rPr>
        <w:t xml:space="preserve"> review examine</w:t>
      </w:r>
      <w:r w:rsidR="00151919" w:rsidRPr="00584213">
        <w:rPr>
          <w:rFonts w:cs="Segoe UI"/>
          <w:color w:val="000000"/>
        </w:rPr>
        <w:t>d</w:t>
      </w:r>
      <w:r w:rsidR="004C2D51" w:rsidRPr="00584213">
        <w:rPr>
          <w:rFonts w:cs="Segoe UI"/>
          <w:color w:val="000000"/>
        </w:rPr>
        <w:t xml:space="preserve"> the effectiveness of controls that the Department of Agriculture and Water Resources uses to manage biosecurity risks associated with the transhipment of </w:t>
      </w:r>
      <w:r w:rsidR="004C2D51" w:rsidRPr="004C6B2D">
        <w:rPr>
          <w:rFonts w:cs="Segoe UI"/>
          <w:color w:val="000000"/>
        </w:rPr>
        <w:t>ships</w:t>
      </w:r>
      <w:r w:rsidR="004C2D51" w:rsidRPr="00584213">
        <w:rPr>
          <w:rFonts w:cs="Segoe UI"/>
          <w:color w:val="000000"/>
        </w:rPr>
        <w:t xml:space="preserve"> stores.</w:t>
      </w:r>
    </w:p>
    <w:p w14:paraId="19D1ADEE" w14:textId="77777777" w:rsidR="004C2D51" w:rsidRPr="000A733F" w:rsidRDefault="004C2D51" w:rsidP="004C2D51">
      <w:pPr>
        <w:pStyle w:val="Heading2numbered"/>
      </w:pPr>
      <w:bookmarkStart w:id="11" w:name="_Toc448492246"/>
      <w:r w:rsidRPr="004C2D51">
        <w:lastRenderedPageBreak/>
        <w:t>Background</w:t>
      </w:r>
      <w:bookmarkEnd w:id="11"/>
    </w:p>
    <w:p w14:paraId="1C0A4254" w14:textId="675CA78F" w:rsidR="004C2D51" w:rsidRPr="00342018" w:rsidRDefault="00151919" w:rsidP="00342018">
      <w:pPr>
        <w:pStyle w:val="ListNumber2"/>
      </w:pPr>
      <w:r>
        <w:t>In 2008 t</w:t>
      </w:r>
      <w:r w:rsidR="004C2D51" w:rsidRPr="00342018">
        <w:t xml:space="preserve">he </w:t>
      </w:r>
      <w:r>
        <w:t xml:space="preserve">department </w:t>
      </w:r>
      <w:r w:rsidR="004C2D51" w:rsidRPr="00342018">
        <w:t>implement</w:t>
      </w:r>
      <w:r>
        <w:t>ed</w:t>
      </w:r>
      <w:r w:rsidR="004C2D51" w:rsidRPr="00342018">
        <w:t xml:space="preserve"> transhipment import conditions</w:t>
      </w:r>
      <w:r>
        <w:t xml:space="preserve">. </w:t>
      </w:r>
      <w:r w:rsidRPr="007118EC">
        <w:t>Since then</w:t>
      </w:r>
      <w:r w:rsidR="004C2D51" w:rsidRPr="007118EC">
        <w:t xml:space="preserve">, </w:t>
      </w:r>
      <w:r w:rsidR="00B317E7" w:rsidRPr="007118EC">
        <w:t>Australian industry representatives</w:t>
      </w:r>
      <w:r w:rsidRPr="007118EC">
        <w:t xml:space="preserve"> have expressed concern</w:t>
      </w:r>
      <w:r w:rsidR="004C2D51" w:rsidRPr="007118EC">
        <w:t xml:space="preserve"> that the conditions do not sufficiently mitigate the biosecurity risks.</w:t>
      </w:r>
      <w:r w:rsidR="007118EC">
        <w:t xml:space="preserve"> </w:t>
      </w:r>
      <w:r w:rsidR="004C2D51" w:rsidRPr="00342018">
        <w:t xml:space="preserve"> </w:t>
      </w:r>
      <w:r w:rsidR="00770297">
        <w:t>This report examines those concerns. Outside the scope of this report are industry concerns about c</w:t>
      </w:r>
      <w:r w:rsidR="000F41EF" w:rsidRPr="00342018">
        <w:t xml:space="preserve">ommercial and legal </w:t>
      </w:r>
      <w:r w:rsidR="000F41EF">
        <w:t xml:space="preserve">issues associated with </w:t>
      </w:r>
      <w:r w:rsidR="00757BD5">
        <w:t xml:space="preserve">the increasing number of </w:t>
      </w:r>
      <w:r w:rsidR="000F41EF">
        <w:t>p</w:t>
      </w:r>
      <w:r w:rsidR="004C2D51" w:rsidRPr="00342018">
        <w:t>ort visits</w:t>
      </w:r>
      <w:r w:rsidR="00757BD5">
        <w:t xml:space="preserve"> </w:t>
      </w:r>
      <w:r w:rsidR="000F41EF">
        <w:t>by</w:t>
      </w:r>
      <w:r w:rsidR="00CF0577">
        <w:t xml:space="preserve"> cruise vessels </w:t>
      </w:r>
      <w:r w:rsidR="00757BD5">
        <w:t>and their passengers</w:t>
      </w:r>
      <w:r w:rsidR="004C2D51" w:rsidRPr="00342018">
        <w:t>.</w:t>
      </w:r>
    </w:p>
    <w:p w14:paraId="509F5333" w14:textId="77777777" w:rsidR="004C2D51" w:rsidRPr="004C2D51" w:rsidRDefault="004C2D51" w:rsidP="00DE3E69">
      <w:pPr>
        <w:pStyle w:val="ListNumber2"/>
      </w:pPr>
      <w:r w:rsidRPr="004C2D51">
        <w:t xml:space="preserve">The IIGB understands many companies maintain </w:t>
      </w:r>
      <w:r w:rsidRPr="00AC7F4E">
        <w:t>a single international logistics chain</w:t>
      </w:r>
      <w:r w:rsidR="00757BD5">
        <w:t xml:space="preserve">. This </w:t>
      </w:r>
      <w:r w:rsidRPr="004C2D51">
        <w:t>achieve</w:t>
      </w:r>
      <w:r w:rsidR="00757BD5">
        <w:t>s</w:t>
      </w:r>
      <w:r w:rsidRPr="004C2D51">
        <w:t xml:space="preserve"> benefits of scale and cost savings when purchasing food and other materials. Goods required for individual vessels are sent to the next </w:t>
      </w:r>
      <w:r w:rsidR="00DF1A29">
        <w:t xml:space="preserve">scheduled </w:t>
      </w:r>
      <w:r w:rsidRPr="004C2D51">
        <w:t xml:space="preserve">international port of </w:t>
      </w:r>
      <w:r w:rsidRPr="00AC7F4E">
        <w:t>call</w:t>
      </w:r>
      <w:r w:rsidR="000E5C8A">
        <w:t>,</w:t>
      </w:r>
      <w:r w:rsidRPr="00AC7F4E">
        <w:t xml:space="preserve"> to be</w:t>
      </w:r>
      <w:r w:rsidRPr="004C2D51">
        <w:t xml:space="preserve"> transhipped to the receiving vessel. This replenishment usually occurs at the same port as passenger changes</w:t>
      </w:r>
      <w:r w:rsidR="00757BD5">
        <w:t xml:space="preserve"> because</w:t>
      </w:r>
      <w:r w:rsidRPr="004C2D51">
        <w:t xml:space="preserve"> these ports are typically larger and have good cargo handling facilities.</w:t>
      </w:r>
    </w:p>
    <w:p w14:paraId="0B47BEB2" w14:textId="77777777" w:rsidR="004C2D51" w:rsidRPr="004C2D51" w:rsidRDefault="00757BD5" w:rsidP="00DE3E69">
      <w:pPr>
        <w:pStyle w:val="ListNumber2"/>
      </w:pPr>
      <w:r>
        <w:t>T</w:t>
      </w:r>
      <w:r w:rsidR="004C2D51" w:rsidRPr="004C2D51">
        <w:t>he issue of biosecurity risks presented by transhipped goods applies to several sectors</w:t>
      </w:r>
      <w:r>
        <w:t>. However</w:t>
      </w:r>
      <w:r w:rsidR="004C2D51" w:rsidRPr="004C2D51">
        <w:t xml:space="preserve">, the </w:t>
      </w:r>
      <w:r>
        <w:t xml:space="preserve">risk posed by the </w:t>
      </w:r>
      <w:r w:rsidR="004C2D51" w:rsidRPr="004C2D51">
        <w:t xml:space="preserve">cruise industry </w:t>
      </w:r>
      <w:r>
        <w:t>may be more</w:t>
      </w:r>
      <w:r w:rsidR="004C2D51" w:rsidRPr="004C2D51">
        <w:t xml:space="preserve"> </w:t>
      </w:r>
      <w:r w:rsidR="00DF1A29">
        <w:t>significant</w:t>
      </w:r>
      <w:r w:rsidR="004C2D51" w:rsidRPr="004C2D51">
        <w:t xml:space="preserve"> due to the volume and variety of goods required to service increasing number</w:t>
      </w:r>
      <w:r>
        <w:t>s</w:t>
      </w:r>
      <w:r w:rsidR="004C2D51" w:rsidRPr="004C2D51">
        <w:t xml:space="preserve"> of passengers.</w:t>
      </w:r>
    </w:p>
    <w:p w14:paraId="5A6B6D1B" w14:textId="77777777" w:rsidR="004C2D51" w:rsidRPr="004C2D51" w:rsidRDefault="004C2D51" w:rsidP="004C2D51">
      <w:pPr>
        <w:pStyle w:val="Heading3"/>
      </w:pPr>
      <w:r w:rsidRPr="004C2D51">
        <w:t>Regulation of transhipped goods</w:t>
      </w:r>
    </w:p>
    <w:p w14:paraId="664598B8" w14:textId="77777777" w:rsidR="004C2D51" w:rsidRDefault="00BD4782" w:rsidP="00342018">
      <w:pPr>
        <w:pStyle w:val="ListNumber2"/>
      </w:pPr>
      <w:r>
        <w:t>Before</w:t>
      </w:r>
      <w:r w:rsidR="004C2D51">
        <w:t xml:space="preserve"> August 2007, the department did not set requirements for transhipped vessel stores. </w:t>
      </w:r>
      <w:r w:rsidR="004C2D51" w:rsidRPr="004C6B2D">
        <w:t xml:space="preserve">Following an </w:t>
      </w:r>
      <w:r w:rsidRPr="00A37EB2">
        <w:t>i</w:t>
      </w:r>
      <w:r w:rsidR="004C2D51" w:rsidRPr="00B317E7">
        <w:t xml:space="preserve">nquiry from </w:t>
      </w:r>
      <w:r w:rsidR="00CF0577" w:rsidRPr="00B317E7">
        <w:t xml:space="preserve">the cruise </w:t>
      </w:r>
      <w:r w:rsidR="004C2D51" w:rsidRPr="00B317E7">
        <w:t xml:space="preserve">industry </w:t>
      </w:r>
      <w:r w:rsidR="004C2D51" w:rsidRPr="004C6B2D">
        <w:t>in relation to transhipping foodstuffs</w:t>
      </w:r>
      <w:r w:rsidR="00CF0577" w:rsidRPr="00A37EB2">
        <w:t xml:space="preserve"> and other items</w:t>
      </w:r>
      <w:r w:rsidR="000E5C8A">
        <w:t>,</w:t>
      </w:r>
      <w:r w:rsidR="004C2D51" w:rsidRPr="004C6B2D">
        <w:t xml:space="preserve"> the department sought legal advice in relation to the application of the </w:t>
      </w:r>
      <w:r w:rsidR="004C2D51" w:rsidRPr="00A37EB2">
        <w:rPr>
          <w:i/>
        </w:rPr>
        <w:t>Quarantine Act</w:t>
      </w:r>
      <w:r w:rsidR="004C2D51" w:rsidRPr="00A37EB2">
        <w:t xml:space="preserve"> </w:t>
      </w:r>
      <w:r w:rsidR="004C2D51" w:rsidRPr="00B317E7">
        <w:rPr>
          <w:i/>
        </w:rPr>
        <w:t>1908</w:t>
      </w:r>
      <w:r w:rsidR="004C2D51" w:rsidRPr="00B317E7">
        <w:t xml:space="preserve"> to </w:t>
      </w:r>
      <w:r w:rsidR="004C2D51" w:rsidRPr="004C6B2D">
        <w:t>transhipped goods</w:t>
      </w:r>
      <w:r w:rsidR="004C2D51" w:rsidRPr="00B317E7">
        <w:t>.</w:t>
      </w:r>
      <w:r w:rsidR="004C2D51">
        <w:t xml:space="preserve"> The outcome of this advice was that </w:t>
      </w:r>
      <w:r w:rsidR="00DF1A29">
        <w:t xml:space="preserve">under </w:t>
      </w:r>
      <w:r w:rsidR="004C2D51">
        <w:t>the Act</w:t>
      </w:r>
      <w:r w:rsidR="00DF1A29">
        <w:t>,</w:t>
      </w:r>
      <w:r w:rsidR="004C2D51">
        <w:t xml:space="preserve"> transhipped materials </w:t>
      </w:r>
      <w:r w:rsidR="00DF1A29">
        <w:t xml:space="preserve">were considered </w:t>
      </w:r>
      <w:r w:rsidR="004C2D51">
        <w:t>to be ‘imported’ cargo and thus subject to the requirements of the Act.</w:t>
      </w:r>
    </w:p>
    <w:p w14:paraId="1700CAF9" w14:textId="77777777" w:rsidR="004C2D51" w:rsidRDefault="004C2D51" w:rsidP="00342018">
      <w:pPr>
        <w:pStyle w:val="ListNumber2"/>
      </w:pPr>
      <w:r>
        <w:t>Following this advice</w:t>
      </w:r>
      <w:r w:rsidR="00DF1A29">
        <w:t>,</w:t>
      </w:r>
      <w:r>
        <w:t xml:space="preserve"> the department implemented interim import conditions, pending the development</w:t>
      </w:r>
      <w:r w:rsidR="00CF0577">
        <w:t xml:space="preserve"> of</w:t>
      </w:r>
      <w:r>
        <w:t xml:space="preserve"> a set of </w:t>
      </w:r>
      <w:r w:rsidR="00CF0577">
        <w:t xml:space="preserve">formal </w:t>
      </w:r>
      <w:r>
        <w:t xml:space="preserve">requirements for transhipped goods. </w:t>
      </w:r>
      <w:r w:rsidR="00CF0577">
        <w:t>These n</w:t>
      </w:r>
      <w:r>
        <w:t>ew import requirements were implemented in August 2008.</w:t>
      </w:r>
    </w:p>
    <w:p w14:paraId="14777D2A" w14:textId="67D1CFAF" w:rsidR="0099029A" w:rsidRDefault="0099029A" w:rsidP="00342018">
      <w:pPr>
        <w:pStyle w:val="ListNumber2"/>
      </w:pPr>
      <w:r>
        <w:t xml:space="preserve">A </w:t>
      </w:r>
      <w:r w:rsidR="009010DD">
        <w:t xml:space="preserve">further </w:t>
      </w:r>
      <w:r>
        <w:t xml:space="preserve">review </w:t>
      </w:r>
      <w:r w:rsidR="009010DD">
        <w:t xml:space="preserve">was conducted during 2012/2013 and </w:t>
      </w:r>
      <w:r w:rsidR="00214DDE">
        <w:t>includ</w:t>
      </w:r>
      <w:r w:rsidR="009010DD">
        <w:t>ed</w:t>
      </w:r>
      <w:r w:rsidR="00214DDE">
        <w:t xml:space="preserve"> a</w:t>
      </w:r>
      <w:r w:rsidR="009010DD">
        <w:t xml:space="preserve">n assessment </w:t>
      </w:r>
      <w:r w:rsidR="00214DDE">
        <w:t>of physical procedures at each Australian port that received ships stores</w:t>
      </w:r>
      <w:r w:rsidR="004C2D07">
        <w:t xml:space="preserve">. </w:t>
      </w:r>
      <w:r w:rsidR="00214DDE">
        <w:t xml:space="preserve"> </w:t>
      </w:r>
      <w:r w:rsidR="004C2D07">
        <w:t>Following</w:t>
      </w:r>
      <w:r w:rsidR="00214DDE">
        <w:t xml:space="preserve"> this review, new procedures were developed which categorised goods based on risk. Deconsolidation of Category 2 low risk goods was introduced. The process of movement of transhipped ships stores interstate (</w:t>
      </w:r>
      <w:r w:rsidR="004C2D07">
        <w:t>‘</w:t>
      </w:r>
      <w:r w:rsidR="00214DDE">
        <w:t>land</w:t>
      </w:r>
      <w:r w:rsidR="004C2D07">
        <w:t xml:space="preserve"> </w:t>
      </w:r>
      <w:r w:rsidR="00214DDE">
        <w:t>bridging</w:t>
      </w:r>
      <w:r w:rsidR="004C2D07">
        <w:t>’</w:t>
      </w:r>
      <w:r w:rsidR="00214DDE">
        <w:t>) was also introduced as a result of this review. To incorporate these changes, a new Import Conditions (ICON) case was written and published.</w:t>
      </w:r>
    </w:p>
    <w:p w14:paraId="47096B68" w14:textId="77777777" w:rsidR="004C2D51" w:rsidRPr="00452E8B" w:rsidRDefault="004C2D51" w:rsidP="00342018">
      <w:pPr>
        <w:pStyle w:val="ListNumber2"/>
      </w:pPr>
      <w:r w:rsidRPr="003C3F93">
        <w:t xml:space="preserve">The department manages the transhipment of vessel stores within </w:t>
      </w:r>
      <w:r w:rsidRPr="004C6B2D">
        <w:t>the Biosecurity Animal and Compliance di</w:t>
      </w:r>
      <w:r w:rsidRPr="003C3F93">
        <w:t>visions. The Biosecurity Anim</w:t>
      </w:r>
      <w:r>
        <w:t>al division manages the issuing</w:t>
      </w:r>
      <w:r w:rsidRPr="003C3F93">
        <w:t xml:space="preserve"> of permits for transhipped stores</w:t>
      </w:r>
      <w:r w:rsidR="0055753A">
        <w:t xml:space="preserve"> and t</w:t>
      </w:r>
      <w:r w:rsidRPr="003C3F93">
        <w:t>he Compliance division undertakes various border inspection and auditing activities.</w:t>
      </w:r>
    </w:p>
    <w:p w14:paraId="4F6A42A2" w14:textId="77777777" w:rsidR="004C2D51" w:rsidRPr="00452E8B" w:rsidRDefault="004C2D51" w:rsidP="004C2D51">
      <w:pPr>
        <w:pStyle w:val="Heading3"/>
      </w:pPr>
      <w:r w:rsidRPr="00452E8B">
        <w:t>Review objective, scope and methodology</w:t>
      </w:r>
    </w:p>
    <w:p w14:paraId="3A8B1020" w14:textId="77777777" w:rsidR="004C2D51" w:rsidRPr="00342018" w:rsidRDefault="004C2D51" w:rsidP="00342018">
      <w:pPr>
        <w:pStyle w:val="ListNumber2"/>
      </w:pPr>
      <w:r w:rsidRPr="00342018">
        <w:t>This limited review examined the department</w:t>
      </w:r>
      <w:r w:rsidR="0055753A">
        <w:t>’</w:t>
      </w:r>
      <w:r w:rsidRPr="00342018">
        <w:t xml:space="preserve">s current border controls </w:t>
      </w:r>
      <w:r w:rsidR="0055753A">
        <w:t>for</w:t>
      </w:r>
      <w:r w:rsidRPr="00342018">
        <w:t xml:space="preserve"> manag</w:t>
      </w:r>
      <w:r w:rsidR="0055753A">
        <w:t>ing</w:t>
      </w:r>
      <w:r w:rsidRPr="00342018">
        <w:t xml:space="preserve"> biosecurity risks associated with transhipped vessel stores, including:</w:t>
      </w:r>
    </w:p>
    <w:p w14:paraId="03F67C36" w14:textId="77777777" w:rsidR="004C2D51" w:rsidRPr="00342018" w:rsidRDefault="004C2D51" w:rsidP="00BA65E3">
      <w:pPr>
        <w:pStyle w:val="ListBullet"/>
      </w:pPr>
      <w:r w:rsidRPr="00342018">
        <w:t>adequacy of biosecurity risk assessment applied to transhipped stores</w:t>
      </w:r>
    </w:p>
    <w:p w14:paraId="2207DC44" w14:textId="77777777" w:rsidR="004C2D51" w:rsidRPr="00342018" w:rsidRDefault="004C2D51" w:rsidP="00BA65E3">
      <w:pPr>
        <w:pStyle w:val="ListBullet"/>
      </w:pPr>
      <w:r w:rsidRPr="00342018">
        <w:t xml:space="preserve">adequacy of import requirements </w:t>
      </w:r>
      <w:r w:rsidR="0055753A">
        <w:t xml:space="preserve">and permits </w:t>
      </w:r>
      <w:r w:rsidRPr="00342018">
        <w:t>in managing biosecurity risks</w:t>
      </w:r>
    </w:p>
    <w:p w14:paraId="2299DC78" w14:textId="77777777" w:rsidR="004C2D51" w:rsidRPr="004C6B2D" w:rsidRDefault="004C2D51" w:rsidP="00BA65E3">
      <w:pPr>
        <w:pStyle w:val="ListBullet"/>
      </w:pPr>
      <w:r w:rsidRPr="00FC6098">
        <w:lastRenderedPageBreak/>
        <w:t xml:space="preserve">adequacy of accompanying </w:t>
      </w:r>
      <w:r w:rsidR="0055753A" w:rsidRPr="000E1D26">
        <w:t>certifications and declarations</w:t>
      </w:r>
      <w:r w:rsidRPr="004C6B2D">
        <w:t xml:space="preserve"> in addressing biosecurity risks</w:t>
      </w:r>
    </w:p>
    <w:p w14:paraId="03ABB12D" w14:textId="77777777" w:rsidR="004C2D51" w:rsidRPr="00342018" w:rsidRDefault="004C2D51" w:rsidP="00BA65E3">
      <w:pPr>
        <w:pStyle w:val="ListBullet"/>
      </w:pPr>
      <w:r w:rsidRPr="00342018">
        <w:t xml:space="preserve">assessment of </w:t>
      </w:r>
      <w:r w:rsidR="0055753A" w:rsidRPr="00342018">
        <w:t>border activity</w:t>
      </w:r>
      <w:r w:rsidR="0055753A">
        <w:t xml:space="preserve"> such as </w:t>
      </w:r>
      <w:r w:rsidRPr="00342018">
        <w:t>verification and inspection procedures</w:t>
      </w:r>
    </w:p>
    <w:p w14:paraId="6CB8CD0F" w14:textId="77777777" w:rsidR="004C2D51" w:rsidRPr="004C6B2D" w:rsidRDefault="001F6823" w:rsidP="00BA65E3">
      <w:pPr>
        <w:pStyle w:val="ListBullet"/>
      </w:pPr>
      <w:r>
        <w:t xml:space="preserve">evaluation of </w:t>
      </w:r>
      <w:r w:rsidR="004C2D51" w:rsidRPr="00342018">
        <w:t xml:space="preserve">biosecurity risks associated with the use and disposal of transhipped stores and any associated waste </w:t>
      </w:r>
      <w:r w:rsidR="004C2D51" w:rsidRPr="004C6B2D">
        <w:t xml:space="preserve">in Australia and </w:t>
      </w:r>
      <w:r w:rsidR="00564CD0">
        <w:t xml:space="preserve">in </w:t>
      </w:r>
      <w:r w:rsidR="004C2D51" w:rsidRPr="004C6B2D">
        <w:t>surrounding waters</w:t>
      </w:r>
    </w:p>
    <w:p w14:paraId="089F9DC2" w14:textId="77777777" w:rsidR="004C2D51" w:rsidRPr="00342018" w:rsidRDefault="004C2D51" w:rsidP="00BA65E3">
      <w:pPr>
        <w:pStyle w:val="ListBullet"/>
      </w:pPr>
      <w:proofErr w:type="gramStart"/>
      <w:r w:rsidRPr="00342018">
        <w:t>identification</w:t>
      </w:r>
      <w:proofErr w:type="gramEnd"/>
      <w:r w:rsidRPr="00342018">
        <w:t xml:space="preserve"> of any practica</w:t>
      </w:r>
      <w:r w:rsidR="00DF1A29">
        <w:t>l</w:t>
      </w:r>
      <w:r w:rsidRPr="00342018">
        <w:t xml:space="preserve"> improvements to import procedures, operations and/or document</w:t>
      </w:r>
      <w:r w:rsidR="001F6823">
        <w:t>s</w:t>
      </w:r>
      <w:r w:rsidRPr="00342018">
        <w:t xml:space="preserve"> for transhipped vessel stores.</w:t>
      </w:r>
    </w:p>
    <w:p w14:paraId="6E73BEC4" w14:textId="77777777" w:rsidR="004C2D51" w:rsidRPr="00C00E02" w:rsidRDefault="004C2D51" w:rsidP="00BA65E3">
      <w:pPr>
        <w:pStyle w:val="ListNumber2"/>
        <w:keepNext/>
        <w:ind w:hanging="357"/>
      </w:pPr>
      <w:r w:rsidRPr="00C00E02">
        <w:t>The review did not examine:</w:t>
      </w:r>
    </w:p>
    <w:p w14:paraId="696A543F" w14:textId="77777777" w:rsidR="004C2D51" w:rsidRPr="00C00E02" w:rsidRDefault="004C2D51" w:rsidP="00BA65E3">
      <w:pPr>
        <w:pStyle w:val="ListBullet"/>
      </w:pPr>
      <w:r w:rsidRPr="00C00E02">
        <w:t>commercial implications of transhipped stores</w:t>
      </w:r>
    </w:p>
    <w:p w14:paraId="2F2ED638" w14:textId="77777777" w:rsidR="004C2D51" w:rsidRPr="00C00E02" w:rsidRDefault="004C2D51" w:rsidP="00BA65E3">
      <w:pPr>
        <w:pStyle w:val="ListBullet"/>
      </w:pPr>
      <w:r w:rsidRPr="00C00E02">
        <w:t>legal aspects related to the importation of ships stores</w:t>
      </w:r>
    </w:p>
    <w:p w14:paraId="32DCFA50" w14:textId="77777777" w:rsidR="004C2D51" w:rsidRPr="00C00E02" w:rsidRDefault="004C2D51" w:rsidP="00BA65E3">
      <w:pPr>
        <w:pStyle w:val="ListBullet"/>
      </w:pPr>
      <w:r w:rsidRPr="00C00E02">
        <w:t>importation of goods that are not of biosecurity concern</w:t>
      </w:r>
    </w:p>
    <w:p w14:paraId="627B8BFA" w14:textId="77777777" w:rsidR="004C2D51" w:rsidRDefault="004C2D51" w:rsidP="00BA65E3">
      <w:pPr>
        <w:pStyle w:val="ListBullet"/>
      </w:pPr>
      <w:r w:rsidRPr="00C00E02">
        <w:t>post-border surveillance activities undertaken by state or territory authorities</w:t>
      </w:r>
    </w:p>
    <w:p w14:paraId="38B5E983" w14:textId="77777777" w:rsidR="004C2D51" w:rsidRDefault="004C2D51" w:rsidP="00BA65E3">
      <w:pPr>
        <w:pStyle w:val="ListBullet"/>
      </w:pPr>
      <w:proofErr w:type="gramStart"/>
      <w:r>
        <w:t>food</w:t>
      </w:r>
      <w:proofErr w:type="gramEnd"/>
      <w:r>
        <w:t xml:space="preserve"> safety regulations.</w:t>
      </w:r>
    </w:p>
    <w:p w14:paraId="35CC0B73" w14:textId="77777777" w:rsidR="004C2D51" w:rsidRPr="00342018" w:rsidRDefault="004C2D51" w:rsidP="00342018">
      <w:pPr>
        <w:pStyle w:val="ListNumber2"/>
      </w:pPr>
      <w:r w:rsidRPr="00342018">
        <w:t xml:space="preserve">The IIGB visited the North East Region (Brisbane) to inspect import arrangements for transhipped ships stores and meet </w:t>
      </w:r>
      <w:r w:rsidRPr="004C6B2D">
        <w:t xml:space="preserve">with relevant industry and department </w:t>
      </w:r>
      <w:r w:rsidR="00D36FCD" w:rsidRPr="00A37EB2">
        <w:t>staff</w:t>
      </w:r>
      <w:r w:rsidRPr="00A37EB2">
        <w:t xml:space="preserve">. </w:t>
      </w:r>
      <w:r w:rsidRPr="009535DA">
        <w:t xml:space="preserve">The </w:t>
      </w:r>
      <w:r w:rsidR="00D36FCD" w:rsidRPr="009535DA">
        <w:t>IIGB observed the</w:t>
      </w:r>
      <w:r w:rsidR="00E21948" w:rsidRPr="009535DA">
        <w:t xml:space="preserve"> crew</w:t>
      </w:r>
      <w:r w:rsidR="00D36FCD" w:rsidRPr="009535DA">
        <w:t xml:space="preserve"> </w:t>
      </w:r>
      <w:r w:rsidRPr="004C6B2D">
        <w:t xml:space="preserve">handling </w:t>
      </w:r>
      <w:r w:rsidR="00E21948" w:rsidRPr="004C6B2D">
        <w:t xml:space="preserve">the </w:t>
      </w:r>
      <w:r w:rsidRPr="00A37EB2">
        <w:t xml:space="preserve">stores </w:t>
      </w:r>
      <w:r w:rsidR="00E21948" w:rsidRPr="009535DA">
        <w:t>on board a</w:t>
      </w:r>
      <w:r w:rsidRPr="009535DA">
        <w:t xml:space="preserve"> cruise vessel </w:t>
      </w:r>
      <w:r w:rsidR="00E21948" w:rsidRPr="009535DA">
        <w:t xml:space="preserve">and </w:t>
      </w:r>
      <w:r w:rsidR="000E5C8A">
        <w:t>also</w:t>
      </w:r>
      <w:r w:rsidRPr="009535DA">
        <w:t xml:space="preserve"> </w:t>
      </w:r>
      <w:r w:rsidR="00D36FCD" w:rsidRPr="009535DA">
        <w:t xml:space="preserve">interviewed </w:t>
      </w:r>
      <w:r w:rsidRPr="009535DA">
        <w:t xml:space="preserve">the ship’s </w:t>
      </w:r>
      <w:r w:rsidRPr="004C6B2D">
        <w:t>Environment Officer</w:t>
      </w:r>
      <w:r w:rsidRPr="00A37EB2">
        <w:t>.</w:t>
      </w:r>
    </w:p>
    <w:p w14:paraId="6FE011D7" w14:textId="77777777" w:rsidR="004C2D51" w:rsidRPr="00342018" w:rsidRDefault="004C2D51" w:rsidP="00342018">
      <w:pPr>
        <w:pStyle w:val="ListNumber2"/>
        <w:ind w:hanging="578"/>
      </w:pPr>
      <w:r w:rsidRPr="00342018">
        <w:t>During fieldwork, the IIGB met with local industry representatives who had expressed concern about the effectiveness of current import conditions for ships stores, particularly food items.</w:t>
      </w:r>
    </w:p>
    <w:p w14:paraId="021967DC" w14:textId="77777777" w:rsidR="004C2D51" w:rsidRPr="00960B65" w:rsidRDefault="004C2D51" w:rsidP="004C2D51">
      <w:pPr>
        <w:pStyle w:val="Heading3"/>
      </w:pPr>
      <w:r w:rsidRPr="00960B65">
        <w:t>Review team</w:t>
      </w:r>
    </w:p>
    <w:p w14:paraId="23B2150D" w14:textId="77777777" w:rsidR="004C2D51" w:rsidRPr="00FC6098" w:rsidRDefault="004C2D51" w:rsidP="00BA65E3">
      <w:pPr>
        <w:pStyle w:val="ListNumber2"/>
        <w:ind w:hanging="578"/>
        <w:rPr>
          <w:szCs w:val="24"/>
        </w:rPr>
      </w:pPr>
      <w:r w:rsidRPr="00342018">
        <w:t xml:space="preserve">Auditor Jonathan Muller assisted the IIGB </w:t>
      </w:r>
      <w:r w:rsidR="00D36FCD">
        <w:t>with</w:t>
      </w:r>
      <w:r w:rsidRPr="00342018">
        <w:t xml:space="preserve"> this review.</w:t>
      </w:r>
    </w:p>
    <w:p w14:paraId="01DE5B10" w14:textId="77777777" w:rsidR="006661C4" w:rsidRDefault="00A1339E" w:rsidP="006661C4">
      <w:pPr>
        <w:pStyle w:val="Heading2numbered"/>
      </w:pPr>
      <w:bookmarkStart w:id="12" w:name="_Toc448492247"/>
      <w:bookmarkEnd w:id="5"/>
      <w:bookmarkEnd w:id="6"/>
      <w:bookmarkEnd w:id="7"/>
      <w:bookmarkEnd w:id="8"/>
      <w:bookmarkEnd w:id="9"/>
      <w:r>
        <w:lastRenderedPageBreak/>
        <w:t>Management of biosecurity risks</w:t>
      </w:r>
      <w:bookmarkEnd w:id="12"/>
    </w:p>
    <w:p w14:paraId="4A5815EE" w14:textId="77777777" w:rsidR="00342018" w:rsidRDefault="00342018" w:rsidP="00342018">
      <w:pPr>
        <w:pStyle w:val="Heading3"/>
      </w:pPr>
      <w:r>
        <w:t>Industry concerns</w:t>
      </w:r>
    </w:p>
    <w:p w14:paraId="304E303E" w14:textId="77777777" w:rsidR="00342018" w:rsidRDefault="009535DA" w:rsidP="00342018">
      <w:pPr>
        <w:pStyle w:val="ListNumber2"/>
        <w:ind w:hanging="578"/>
      </w:pPr>
      <w:r>
        <w:t xml:space="preserve">In 2008 </w:t>
      </w:r>
      <w:r w:rsidR="00342018">
        <w:t xml:space="preserve">the </w:t>
      </w:r>
      <w:r w:rsidR="008743C9">
        <w:t xml:space="preserve">department </w:t>
      </w:r>
      <w:r w:rsidR="00342018">
        <w:t>implemen</w:t>
      </w:r>
      <w:r>
        <w:t>ted</w:t>
      </w:r>
      <w:r w:rsidR="00342018">
        <w:t xml:space="preserve"> formal import requirements for transhipped stores</w:t>
      </w:r>
      <w:r>
        <w:t>.</w:t>
      </w:r>
      <w:r w:rsidR="00342018">
        <w:t xml:space="preserve"> </w:t>
      </w:r>
      <w:r>
        <w:t>L</w:t>
      </w:r>
      <w:r w:rsidR="00342018">
        <w:t>ocal industry representatives (importers, exporters</w:t>
      </w:r>
      <w:r w:rsidR="00D379C4">
        <w:t xml:space="preserve"> and</w:t>
      </w:r>
      <w:r w:rsidR="00342018">
        <w:t xml:space="preserve"> customs brokers) expressed concerns </w:t>
      </w:r>
      <w:r w:rsidR="00E21948">
        <w:t xml:space="preserve">about </w:t>
      </w:r>
      <w:r w:rsidR="0057101E">
        <w:t xml:space="preserve">perceived </w:t>
      </w:r>
      <w:r w:rsidR="00E21948">
        <w:t>biosecurity risks associated with th</w:t>
      </w:r>
      <w:r w:rsidR="0057101E">
        <w:t>is</w:t>
      </w:r>
      <w:r w:rsidR="00E21948">
        <w:t xml:space="preserve"> policy</w:t>
      </w:r>
      <w:r w:rsidR="0057101E">
        <w:t>,</w:t>
      </w:r>
      <w:r w:rsidR="00E21948">
        <w:t xml:space="preserve"> and </w:t>
      </w:r>
      <w:r w:rsidR="000E5C8A">
        <w:t xml:space="preserve">the </w:t>
      </w:r>
      <w:r w:rsidR="00342018">
        <w:t>management of transhipment of ships stores.</w:t>
      </w:r>
    </w:p>
    <w:p w14:paraId="429D90C4" w14:textId="77777777" w:rsidR="00342018" w:rsidRPr="00031310" w:rsidRDefault="00342018" w:rsidP="00342018">
      <w:pPr>
        <w:pStyle w:val="ListNumber2"/>
        <w:ind w:hanging="578"/>
      </w:pPr>
      <w:r w:rsidRPr="004C6B2D">
        <w:t xml:space="preserve">Following </w:t>
      </w:r>
      <w:r w:rsidR="00F85BB9">
        <w:t>the initial inquiry</w:t>
      </w:r>
      <w:r w:rsidRPr="004C6B2D">
        <w:t xml:space="preserve"> </w:t>
      </w:r>
      <w:r w:rsidRPr="00A37EB2">
        <w:t>from the cruise industry</w:t>
      </w:r>
      <w:r w:rsidR="00F85BB9">
        <w:t xml:space="preserve"> and subsequent legal advice</w:t>
      </w:r>
      <w:r w:rsidRPr="00A37EB2">
        <w:t>, the department issued a Notice to Industry (</w:t>
      </w:r>
      <w:r w:rsidR="009535DA" w:rsidRPr="00BA65E3">
        <w:t>N</w:t>
      </w:r>
      <w:r w:rsidRPr="004C6B2D">
        <w:t>otice 21/2007/08), setting out</w:t>
      </w:r>
      <w:r w:rsidRPr="00A37EB2">
        <w:t xml:space="preserve"> changed arrangements </w:t>
      </w:r>
      <w:r w:rsidRPr="009535DA">
        <w:t xml:space="preserve">effective from 1 May 2008. Local industry </w:t>
      </w:r>
      <w:r w:rsidR="00D379C4" w:rsidRPr="009535DA">
        <w:t xml:space="preserve">representatives were </w:t>
      </w:r>
      <w:r w:rsidRPr="009535DA">
        <w:t>concern</w:t>
      </w:r>
      <w:r w:rsidR="00D379C4" w:rsidRPr="009535DA">
        <w:t>ed</w:t>
      </w:r>
      <w:r w:rsidRPr="009535DA">
        <w:t xml:space="preserve"> that the import conditions contained in the Import Conditions database</w:t>
      </w:r>
      <w:r>
        <w:t xml:space="preserve"> were confusing and </w:t>
      </w:r>
      <w:r w:rsidRPr="00284E19">
        <w:t>ambiguous</w:t>
      </w:r>
      <w:r>
        <w:t>,</w:t>
      </w:r>
      <w:r w:rsidRPr="00284E19">
        <w:t xml:space="preserve"> particularly </w:t>
      </w:r>
      <w:r>
        <w:t xml:space="preserve">a </w:t>
      </w:r>
      <w:r w:rsidRPr="00284E19">
        <w:t>reference</w:t>
      </w:r>
      <w:r>
        <w:t xml:space="preserve"> </w:t>
      </w:r>
      <w:r w:rsidRPr="00284E19">
        <w:t xml:space="preserve">to </w:t>
      </w:r>
      <w:r w:rsidR="00023366">
        <w:t>‘</w:t>
      </w:r>
      <w:r w:rsidRPr="00284E19">
        <w:t xml:space="preserve">alternative </w:t>
      </w:r>
      <w:r>
        <w:t xml:space="preserve">import </w:t>
      </w:r>
      <w:r w:rsidRPr="00284E19">
        <w:t>conditions</w:t>
      </w:r>
      <w:r w:rsidR="00023366">
        <w:t>’</w:t>
      </w:r>
      <w:r w:rsidRPr="00284E19">
        <w:t>.</w:t>
      </w:r>
    </w:p>
    <w:p w14:paraId="05D4E635" w14:textId="77777777" w:rsidR="007118EC" w:rsidRDefault="002A53BE" w:rsidP="00342018">
      <w:pPr>
        <w:pStyle w:val="ListNumber2"/>
        <w:ind w:hanging="578"/>
      </w:pPr>
      <w:r w:rsidRPr="00BA65E3">
        <w:t>Local i</w:t>
      </w:r>
      <w:r w:rsidR="00342018" w:rsidRPr="00A37EB2">
        <w:t>ndustry</w:t>
      </w:r>
      <w:r w:rsidR="00342018" w:rsidRPr="00BD2659">
        <w:t xml:space="preserve"> </w:t>
      </w:r>
      <w:r>
        <w:t xml:space="preserve">representatives were </w:t>
      </w:r>
      <w:r w:rsidR="00342018">
        <w:t xml:space="preserve">also concerned that </w:t>
      </w:r>
      <w:r w:rsidR="00D379C4">
        <w:t xml:space="preserve">a </w:t>
      </w:r>
      <w:r w:rsidR="00D379C4" w:rsidRPr="000D7E95">
        <w:t>formal</w:t>
      </w:r>
      <w:r w:rsidR="00D379C4">
        <w:t xml:space="preserve"> rigorous import</w:t>
      </w:r>
      <w:r w:rsidR="00D379C4" w:rsidRPr="000D7E95">
        <w:t xml:space="preserve"> risk assessment </w:t>
      </w:r>
      <w:r w:rsidR="00D379C4">
        <w:t>(</w:t>
      </w:r>
      <w:r w:rsidR="00D379C4" w:rsidRPr="0047212E">
        <w:t>IRA</w:t>
      </w:r>
      <w:r w:rsidR="00D379C4">
        <w:t>) had not been</w:t>
      </w:r>
      <w:r w:rsidR="00D379C4" w:rsidRPr="000D7E95">
        <w:t xml:space="preserve"> conducted</w:t>
      </w:r>
      <w:r w:rsidR="00D379C4" w:rsidDel="00D379C4">
        <w:t xml:space="preserve"> </w:t>
      </w:r>
      <w:r w:rsidR="00D379C4">
        <w:t>before</w:t>
      </w:r>
      <w:r w:rsidR="00342018">
        <w:t xml:space="preserve"> the amended import conditions </w:t>
      </w:r>
      <w:r w:rsidR="00D379C4">
        <w:t xml:space="preserve">were </w:t>
      </w:r>
      <w:r w:rsidR="00342018">
        <w:t>implemented</w:t>
      </w:r>
      <w:r w:rsidR="00D379C4">
        <w:t>. They</w:t>
      </w:r>
      <w:r w:rsidR="00342018">
        <w:t xml:space="preserve"> claimed that this situation adversely affected</w:t>
      </w:r>
      <w:r w:rsidR="00342018" w:rsidRPr="0038771A">
        <w:t xml:space="preserve"> </w:t>
      </w:r>
      <w:r w:rsidR="00D379C4">
        <w:t xml:space="preserve">Australia’s </w:t>
      </w:r>
      <w:r w:rsidR="00342018">
        <w:t>food safety</w:t>
      </w:r>
      <w:r w:rsidR="00F85BB9">
        <w:t>,</w:t>
      </w:r>
      <w:r w:rsidR="00342018">
        <w:t xml:space="preserve"> </w:t>
      </w:r>
      <w:r w:rsidR="003D3E3D">
        <w:t xml:space="preserve">biosecurity </w:t>
      </w:r>
      <w:r w:rsidR="00342018">
        <w:t>and marine environment.</w:t>
      </w:r>
    </w:p>
    <w:p w14:paraId="74F67104" w14:textId="66B480F5" w:rsidR="008E63D6" w:rsidRDefault="007118EC" w:rsidP="00342018">
      <w:pPr>
        <w:pStyle w:val="ListNumber2"/>
        <w:ind w:hanging="578"/>
      </w:pPr>
      <w:r>
        <w:t>The primary concern expressed by industry following the release of import conditions in 2008 was</w:t>
      </w:r>
      <w:r w:rsidR="00254CA8">
        <w:t xml:space="preserve"> that there was a risk of </w:t>
      </w:r>
      <w:r>
        <w:t>transhipped goods</w:t>
      </w:r>
      <w:r w:rsidR="00254CA8">
        <w:t xml:space="preserve"> </w:t>
      </w:r>
      <w:r>
        <w:t>be</w:t>
      </w:r>
      <w:r w:rsidR="00254CA8">
        <w:t>ing</w:t>
      </w:r>
      <w:r>
        <w:t xml:space="preserve"> diverted </w:t>
      </w:r>
      <w:r w:rsidR="00254CA8">
        <w:t>for</w:t>
      </w:r>
      <w:r>
        <w:t xml:space="preserve"> domestic use without being subject to </w:t>
      </w:r>
      <w:r w:rsidR="00254CA8">
        <w:t>normal</w:t>
      </w:r>
      <w:r>
        <w:t xml:space="preserve"> import requirements. This concern </w:t>
      </w:r>
      <w:r w:rsidR="008E63D6">
        <w:t>was addressed during the 2012/13 industry consultation</w:t>
      </w:r>
      <w:r w:rsidR="00254CA8">
        <w:t>,</w:t>
      </w:r>
      <w:r w:rsidR="008E63D6">
        <w:t xml:space="preserve"> which lead to the publication of revised import conditions in 2014. </w:t>
      </w:r>
    </w:p>
    <w:p w14:paraId="31C78BAA" w14:textId="57AF260A" w:rsidR="00342018" w:rsidRDefault="008E63D6" w:rsidP="00254CA8">
      <w:pPr>
        <w:pStyle w:val="ListNumber2"/>
        <w:ind w:hanging="578"/>
      </w:pPr>
      <w:r>
        <w:t>Following the 2014 changes to import conditions</w:t>
      </w:r>
      <w:r w:rsidR="00254CA8">
        <w:t>, there has been continuing</w:t>
      </w:r>
      <w:r>
        <w:t xml:space="preserve"> concern</w:t>
      </w:r>
      <w:r w:rsidR="00254CA8">
        <w:t>.</w:t>
      </w:r>
      <w:r>
        <w:t xml:space="preserve"> </w:t>
      </w:r>
      <w:r w:rsidR="00254CA8">
        <w:t>T</w:t>
      </w:r>
      <w:r>
        <w:t>he</w:t>
      </w:r>
      <w:r w:rsidR="00391CE2">
        <w:t xml:space="preserve"> IIGB understands these</w:t>
      </w:r>
      <w:r>
        <w:t xml:space="preserve"> concerns primarily relate to </w:t>
      </w:r>
      <w:r w:rsidR="00254CA8">
        <w:t>waste</w:t>
      </w:r>
      <w:r>
        <w:t xml:space="preserve"> disposal of transhipped goods </w:t>
      </w:r>
      <w:r w:rsidR="00254CA8">
        <w:t xml:space="preserve">(food items) </w:t>
      </w:r>
      <w:r>
        <w:t>on vessel</w:t>
      </w:r>
      <w:r w:rsidR="00254CA8">
        <w:t>s</w:t>
      </w:r>
      <w:r>
        <w:t xml:space="preserve">. </w:t>
      </w:r>
      <w:r w:rsidR="00254CA8">
        <w:t>I</w:t>
      </w:r>
      <w:r w:rsidR="00D379C4" w:rsidRPr="00254CA8">
        <w:t>ndustry representatives have</w:t>
      </w:r>
      <w:r w:rsidR="00342018" w:rsidRPr="00254CA8">
        <w:t xml:space="preserve"> claimed that the risks have been exacerbated by the significant increase in the number of cruise industry</w:t>
      </w:r>
      <w:r w:rsidR="00650D01" w:rsidRPr="00254CA8">
        <w:t xml:space="preserve"> vessels</w:t>
      </w:r>
      <w:r w:rsidR="00342018" w:rsidRPr="00254CA8">
        <w:t xml:space="preserve"> visiting Australian ports</w:t>
      </w:r>
      <w:r w:rsidR="00342018">
        <w:t>.</w:t>
      </w:r>
    </w:p>
    <w:p w14:paraId="4F45D824" w14:textId="77777777" w:rsidR="0072763D" w:rsidRDefault="00650D01" w:rsidP="00342018">
      <w:pPr>
        <w:pStyle w:val="ListNumber2"/>
        <w:ind w:hanging="578"/>
      </w:pPr>
      <w:r>
        <w:t>P</w:t>
      </w:r>
      <w:r w:rsidR="00BD240C">
        <w:t>rawns</w:t>
      </w:r>
      <w:r>
        <w:t xml:space="preserve"> were</w:t>
      </w:r>
      <w:r w:rsidR="00037BDA">
        <w:t xml:space="preserve"> </w:t>
      </w:r>
      <w:r w:rsidR="00F85BB9">
        <w:t>cited</w:t>
      </w:r>
      <w:r w:rsidR="00037BDA">
        <w:t xml:space="preserve"> as a commodity </w:t>
      </w:r>
      <w:r w:rsidR="00F85BB9">
        <w:t xml:space="preserve">of </w:t>
      </w:r>
      <w:r>
        <w:t xml:space="preserve">concern because </w:t>
      </w:r>
      <w:r w:rsidR="00F85BB9">
        <w:t xml:space="preserve">local </w:t>
      </w:r>
      <w:r>
        <w:t>industry representatives considered the</w:t>
      </w:r>
      <w:r w:rsidR="00BD240C">
        <w:t xml:space="preserve"> transhipment conditions insufficient to address the associated biosecurity risk. Reference was made to the risk posed by disposal of prawn products in Australian waters. </w:t>
      </w:r>
      <w:r w:rsidR="005A7BC8">
        <w:t>According to t</w:t>
      </w:r>
      <w:r w:rsidR="00BD240C">
        <w:t>he</w:t>
      </w:r>
      <w:r w:rsidR="00342018">
        <w:t xml:space="preserve"> IRA for prawns (Biosecurity Australia 2009)</w:t>
      </w:r>
      <w:r w:rsidR="00756B9B">
        <w:t>:</w:t>
      </w:r>
    </w:p>
    <w:p w14:paraId="4581BFAF" w14:textId="77777777" w:rsidR="00342018" w:rsidRPr="00A2749F" w:rsidRDefault="00342018" w:rsidP="000D01FE">
      <w:pPr>
        <w:pStyle w:val="Quote-block"/>
      </w:pPr>
      <w:r w:rsidRPr="000D01FE">
        <w:t>The majority of prawns imported for human consumption and purchased as seafood would be</w:t>
      </w:r>
      <w:r w:rsidRPr="00A2749F">
        <w:t xml:space="preserve"> ‘used’ in one of three ways; namely, consumption </w:t>
      </w:r>
      <w:r w:rsidRPr="004C6B2D">
        <w:t xml:space="preserve">by humans, and disposal to a municipal garbage disposal system or diversion to use as bait or berley. Prawns purchased as seafood might be used, or discarded, in other ways such as the deliberate feeding of seabirds, the ‘disposal’ of uncooked prawn waste from picnics and other </w:t>
      </w:r>
      <w:r w:rsidRPr="00563024">
        <w:t>outdoor events to open areas where they might be accessible to scavengers such as seabirds, and direct use (whether deliberate or inadvertent) in aquaculture ponds. However, it was considered that a comparatively low volume of commodity would be used or discarded in this manner. These potential pathways were therefore incorporated into the evaluation of the pathway for prawns purchased as seaf</w:t>
      </w:r>
      <w:r w:rsidR="0072763D" w:rsidRPr="00563024">
        <w:t>ood but used as bait or berley.</w:t>
      </w:r>
      <w:r w:rsidRPr="00563024">
        <w:t xml:space="preserve"> (p.73)</w:t>
      </w:r>
    </w:p>
    <w:p w14:paraId="1DA377EA" w14:textId="77777777" w:rsidR="00342018" w:rsidRPr="0038771A" w:rsidRDefault="00563024" w:rsidP="00342018">
      <w:pPr>
        <w:pStyle w:val="ListNumber2"/>
        <w:ind w:hanging="578"/>
      </w:pPr>
      <w:r w:rsidRPr="00BA65E3">
        <w:t>Local i</w:t>
      </w:r>
      <w:r w:rsidR="00342018" w:rsidRPr="004C6B2D">
        <w:t xml:space="preserve">ndustry </w:t>
      </w:r>
      <w:r w:rsidRPr="00BA65E3">
        <w:t xml:space="preserve">representative </w:t>
      </w:r>
      <w:r w:rsidR="00342018" w:rsidRPr="004C6B2D">
        <w:t xml:space="preserve">expressed concern </w:t>
      </w:r>
      <w:r w:rsidR="005A7BC8" w:rsidRPr="00A37EB2">
        <w:t>that</w:t>
      </w:r>
      <w:r w:rsidR="00342018" w:rsidRPr="0038771A">
        <w:t xml:space="preserve"> prawns</w:t>
      </w:r>
      <w:r w:rsidR="00342018">
        <w:t xml:space="preserve"> </w:t>
      </w:r>
      <w:r w:rsidR="00342018" w:rsidRPr="0038771A">
        <w:t>imported</w:t>
      </w:r>
      <w:r w:rsidR="00342018">
        <w:t xml:space="preserve"> </w:t>
      </w:r>
      <w:r w:rsidR="00342018" w:rsidRPr="0038771A">
        <w:t>under</w:t>
      </w:r>
      <w:r w:rsidR="00342018">
        <w:t xml:space="preserve"> transhipment conditions do</w:t>
      </w:r>
      <w:r w:rsidR="00342018" w:rsidRPr="0038771A">
        <w:t xml:space="preserve"> not require testing for white spot </w:t>
      </w:r>
      <w:r w:rsidR="00037BDA">
        <w:t>syndrome virus</w:t>
      </w:r>
      <w:r w:rsidR="007A59A9">
        <w:t>. These</w:t>
      </w:r>
      <w:r w:rsidR="00342018">
        <w:t xml:space="preserve"> </w:t>
      </w:r>
      <w:r w:rsidR="00342018" w:rsidRPr="0038771A">
        <w:t>could be consumed and discarded in Australian waters</w:t>
      </w:r>
      <w:r w:rsidR="007A59A9">
        <w:t>. Under</w:t>
      </w:r>
      <w:r w:rsidR="00342018">
        <w:t xml:space="preserve"> general import conditions</w:t>
      </w:r>
      <w:r w:rsidR="007A59A9">
        <w:t>,</w:t>
      </w:r>
      <w:r w:rsidR="00342018">
        <w:t xml:space="preserve"> prawns </w:t>
      </w:r>
      <w:r w:rsidR="007A59A9">
        <w:t xml:space="preserve">must be tested for this </w:t>
      </w:r>
      <w:r w:rsidR="00037BDA">
        <w:t>virus</w:t>
      </w:r>
      <w:r w:rsidR="00342018" w:rsidRPr="0038771A">
        <w:t>.</w:t>
      </w:r>
    </w:p>
    <w:p w14:paraId="233C0F98" w14:textId="77777777" w:rsidR="00342018" w:rsidRPr="00342018" w:rsidRDefault="00342018" w:rsidP="00342018">
      <w:pPr>
        <w:pStyle w:val="ListNumber2"/>
        <w:ind w:hanging="578"/>
      </w:pPr>
      <w:r w:rsidRPr="00342018">
        <w:lastRenderedPageBreak/>
        <w:t>Industry has also drawn the department’s attention to adverse</w:t>
      </w:r>
      <w:r w:rsidR="00CF0577">
        <w:t xml:space="preserve"> commercial</w:t>
      </w:r>
      <w:r w:rsidRPr="00342018">
        <w:t xml:space="preserve"> impacts during the four years following the introduction of the new arrangements. </w:t>
      </w:r>
      <w:r w:rsidR="007A59A9">
        <w:t>According to industry representatives,</w:t>
      </w:r>
      <w:r w:rsidRPr="00342018">
        <w:t xml:space="preserve"> Australian companies supplying goods for </w:t>
      </w:r>
      <w:r w:rsidRPr="004C6B2D">
        <w:t>ships</w:t>
      </w:r>
      <w:r w:rsidRPr="00A37EB2">
        <w:t xml:space="preserve"> stores</w:t>
      </w:r>
      <w:r w:rsidRPr="00770297">
        <w:t xml:space="preserve"> have</w:t>
      </w:r>
      <w:r w:rsidRPr="00342018">
        <w:t xml:space="preserve"> experienced a decline in their business over this period.</w:t>
      </w:r>
    </w:p>
    <w:p w14:paraId="522F0DEA" w14:textId="77777777" w:rsidR="00342018" w:rsidRDefault="007A59A9" w:rsidP="00342018">
      <w:pPr>
        <w:pStyle w:val="Heading3"/>
      </w:pPr>
      <w:r>
        <w:t>Increased container v</w:t>
      </w:r>
      <w:r w:rsidR="00342018">
        <w:t>olume</w:t>
      </w:r>
      <w:r>
        <w:t>s</w:t>
      </w:r>
    </w:p>
    <w:p w14:paraId="72359FB9" w14:textId="196DDDCE" w:rsidR="00277F01" w:rsidRDefault="00342018" w:rsidP="00D61ED9">
      <w:pPr>
        <w:pStyle w:val="ListNumber2"/>
      </w:pPr>
      <w:r w:rsidRPr="00342018">
        <w:t>The numbe</w:t>
      </w:r>
      <w:r w:rsidR="004279B0">
        <w:t xml:space="preserve">r of transhipped containers </w:t>
      </w:r>
      <w:r w:rsidRPr="00342018">
        <w:t>incr</w:t>
      </w:r>
      <w:r w:rsidR="004279B0">
        <w:t xml:space="preserve">eased significantly in the </w:t>
      </w:r>
      <w:r w:rsidR="00576CEC">
        <w:t>three and-a-half</w:t>
      </w:r>
      <w:r w:rsidRPr="00342018">
        <w:t xml:space="preserve"> years</w:t>
      </w:r>
      <w:r w:rsidR="00576CEC">
        <w:t xml:space="preserve"> to </w:t>
      </w:r>
      <w:r w:rsidR="004F39BF">
        <w:t>December 2015</w:t>
      </w:r>
      <w:r w:rsidRPr="00342018">
        <w:t xml:space="preserve">. </w:t>
      </w:r>
      <w:r w:rsidR="00095966" w:rsidRPr="00D61ED9">
        <w:t xml:space="preserve">October to March is the peak time for cruise activity in Australia. </w:t>
      </w:r>
      <w:r w:rsidR="00F85E66">
        <w:fldChar w:fldCharType="begin"/>
      </w:r>
      <w:r w:rsidR="00F85E66">
        <w:instrText xml:space="preserve"> REF _Ref445194179 \h  \* MERGEFORMAT </w:instrText>
      </w:r>
      <w:r w:rsidR="00F85E66">
        <w:fldChar w:fldCharType="separate"/>
      </w:r>
      <w:r w:rsidR="0012621F" w:rsidRPr="00FC6098">
        <w:t xml:space="preserve">Figure </w:t>
      </w:r>
      <w:r w:rsidR="0012621F">
        <w:t>1</w:t>
      </w:r>
      <w:r w:rsidR="00F85E66">
        <w:fldChar w:fldCharType="end"/>
      </w:r>
      <w:r w:rsidRPr="00342018">
        <w:t xml:space="preserve"> shows that </w:t>
      </w:r>
      <w:r w:rsidR="00277F01">
        <w:t>more than</w:t>
      </w:r>
      <w:r w:rsidRPr="00342018">
        <w:t xml:space="preserve"> </w:t>
      </w:r>
      <w:r w:rsidR="004279B0">
        <w:t>100 containers were</w:t>
      </w:r>
      <w:r w:rsidRPr="00342018">
        <w:t xml:space="preserve"> transhipped </w:t>
      </w:r>
      <w:r w:rsidR="004279B0">
        <w:t xml:space="preserve">each month </w:t>
      </w:r>
      <w:r w:rsidRPr="00342018">
        <w:t>bet</w:t>
      </w:r>
      <w:r w:rsidR="004279B0">
        <w:t xml:space="preserve">ween October and March </w:t>
      </w:r>
      <w:r w:rsidR="00D61ED9">
        <w:t xml:space="preserve">each year from </w:t>
      </w:r>
      <w:r w:rsidR="00277F01">
        <w:t>2012</w:t>
      </w:r>
      <w:r w:rsidR="00D61ED9">
        <w:t xml:space="preserve"> to</w:t>
      </w:r>
      <w:r w:rsidR="004279B0">
        <w:t xml:space="preserve"> </w:t>
      </w:r>
      <w:r w:rsidR="004F39BF">
        <w:t>20</w:t>
      </w:r>
      <w:r w:rsidR="004279B0">
        <w:t>15</w:t>
      </w:r>
      <w:r w:rsidR="00277F01">
        <w:t xml:space="preserve">. </w:t>
      </w:r>
      <w:r w:rsidR="00576CEC">
        <w:t>Before</w:t>
      </w:r>
      <w:r w:rsidRPr="00342018">
        <w:t xml:space="preserve"> October 2012 the monthly number of transhipped containers exceeded 50 only twice (February 2011 and </w:t>
      </w:r>
      <w:r w:rsidR="00576CEC">
        <w:t xml:space="preserve">February </w:t>
      </w:r>
      <w:r w:rsidRPr="00342018">
        <w:t xml:space="preserve">2012). </w:t>
      </w:r>
      <w:r w:rsidR="00B1527E">
        <w:t xml:space="preserve">In </w:t>
      </w:r>
      <w:r w:rsidRPr="00342018">
        <w:t xml:space="preserve">October 2012 </w:t>
      </w:r>
      <w:r w:rsidR="00B1527E">
        <w:t xml:space="preserve">two </w:t>
      </w:r>
      <w:r w:rsidRPr="00342018">
        <w:t>large cruise vessels commenced permanent positioning in Australia</w:t>
      </w:r>
      <w:r w:rsidR="00B1527E">
        <w:t>, significant</w:t>
      </w:r>
      <w:r w:rsidR="00B737B8">
        <w:t>ly</w:t>
      </w:r>
      <w:r w:rsidR="00B1527E">
        <w:t xml:space="preserve"> increas</w:t>
      </w:r>
      <w:r w:rsidR="00B737B8">
        <w:t>ing the number of</w:t>
      </w:r>
      <w:r w:rsidR="00B1527E">
        <w:t xml:space="preserve"> transhipped cargo</w:t>
      </w:r>
      <w:r w:rsidR="004F39BF" w:rsidRPr="004F39BF">
        <w:t xml:space="preserve"> </w:t>
      </w:r>
      <w:r w:rsidR="004F39BF">
        <w:t>containers</w:t>
      </w:r>
      <w:r w:rsidRPr="00342018">
        <w:t xml:space="preserve">. </w:t>
      </w:r>
      <w:r w:rsidR="00B737B8">
        <w:t>T</w:t>
      </w:r>
      <w:r w:rsidRPr="00342018">
        <w:t>he number of contain</w:t>
      </w:r>
      <w:r w:rsidR="00277F01">
        <w:t xml:space="preserve">ers transhipped </w:t>
      </w:r>
      <w:r w:rsidR="00544465">
        <w:t xml:space="preserve">between </w:t>
      </w:r>
      <w:r w:rsidR="00277F01" w:rsidRPr="004C6B2D">
        <w:t>April</w:t>
      </w:r>
      <w:r w:rsidR="0036431C" w:rsidRPr="004C6B2D">
        <w:t xml:space="preserve"> </w:t>
      </w:r>
      <w:r w:rsidR="00544465">
        <w:t>and</w:t>
      </w:r>
      <w:r w:rsidR="00544465" w:rsidRPr="00A37EB2">
        <w:t xml:space="preserve"> </w:t>
      </w:r>
      <w:r w:rsidRPr="00A37EB2">
        <w:t xml:space="preserve">September </w:t>
      </w:r>
      <w:r w:rsidR="00544465">
        <w:t>in</w:t>
      </w:r>
      <w:r w:rsidRPr="009C5AF4">
        <w:t xml:space="preserve"> 2013</w:t>
      </w:r>
      <w:r w:rsidR="00544465">
        <w:t>, 2014 and 2015</w:t>
      </w:r>
      <w:r w:rsidR="00C849DF">
        <w:t xml:space="preserve"> </w:t>
      </w:r>
      <w:r w:rsidR="00B737B8">
        <w:t>was</w:t>
      </w:r>
      <w:r w:rsidRPr="00342018">
        <w:t xml:space="preserve"> </w:t>
      </w:r>
      <w:r w:rsidR="00B737B8">
        <w:t xml:space="preserve">not as large </w:t>
      </w:r>
      <w:r w:rsidR="00D61ED9">
        <w:t xml:space="preserve">as </w:t>
      </w:r>
      <w:r w:rsidR="00442B99">
        <w:t xml:space="preserve">in </w:t>
      </w:r>
      <w:r w:rsidR="00D61ED9">
        <w:t>the peak</w:t>
      </w:r>
      <w:r w:rsidR="003D3E3D">
        <w:t xml:space="preserve"> October to March</w:t>
      </w:r>
      <w:r w:rsidR="00D61ED9">
        <w:t xml:space="preserve"> period</w:t>
      </w:r>
      <w:r w:rsidR="00C849DF">
        <w:t>,</w:t>
      </w:r>
      <w:r w:rsidR="00D61ED9">
        <w:t xml:space="preserve"> </w:t>
      </w:r>
      <w:r w:rsidR="00B737B8">
        <w:t>but was</w:t>
      </w:r>
      <w:r w:rsidR="00B737B8" w:rsidRPr="00342018">
        <w:t xml:space="preserve"> </w:t>
      </w:r>
      <w:r w:rsidRPr="00342018">
        <w:t xml:space="preserve">many times larger than in </w:t>
      </w:r>
      <w:r w:rsidR="00D61ED9">
        <w:t xml:space="preserve">the April to September period in </w:t>
      </w:r>
      <w:r w:rsidRPr="00342018">
        <w:t>preceding years.</w:t>
      </w:r>
    </w:p>
    <w:p w14:paraId="0E3D749F" w14:textId="77777777" w:rsidR="002E7976" w:rsidRDefault="002E7976" w:rsidP="00BA65E3">
      <w:pPr>
        <w:pStyle w:val="Caption"/>
        <w:ind w:left="709" w:firstLine="0"/>
      </w:pPr>
      <w:bookmarkStart w:id="13" w:name="_Ref445194179"/>
      <w:r w:rsidRPr="00FC6098">
        <w:t xml:space="preserve">Figure </w:t>
      </w:r>
      <w:r w:rsidR="00A43EC2" w:rsidRPr="000E1D26">
        <w:fldChar w:fldCharType="begin"/>
      </w:r>
      <w:r w:rsidRPr="00444936">
        <w:instrText xml:space="preserve"> SEQ Figure \* ARABIC </w:instrText>
      </w:r>
      <w:r w:rsidR="00A43EC2" w:rsidRPr="000E1D26">
        <w:fldChar w:fldCharType="separate"/>
      </w:r>
      <w:r w:rsidR="0012621F">
        <w:rPr>
          <w:noProof/>
        </w:rPr>
        <w:t>1</w:t>
      </w:r>
      <w:r w:rsidR="00A43EC2" w:rsidRPr="000E1D26">
        <w:fldChar w:fldCharType="end"/>
      </w:r>
      <w:bookmarkEnd w:id="13"/>
      <w:r w:rsidRPr="00444936">
        <w:t xml:space="preserve"> Number of transhipped containers recorded in </w:t>
      </w:r>
      <w:r w:rsidR="00576CEC" w:rsidRPr="00BA65E3">
        <w:t>AIMS</w:t>
      </w:r>
      <w:r w:rsidR="008E38C1">
        <w:t xml:space="preserve"> database</w:t>
      </w:r>
      <w:r w:rsidRPr="00FC6098">
        <w:t>, by month</w:t>
      </w:r>
      <w:r w:rsidR="008B0110" w:rsidRPr="00FC6098">
        <w:t>,</w:t>
      </w:r>
      <w:r w:rsidR="008B0110">
        <w:t xml:space="preserve"> 2010</w:t>
      </w:r>
      <w:r w:rsidR="00544465">
        <w:t xml:space="preserve"> </w:t>
      </w:r>
      <w:r w:rsidR="00B737B8">
        <w:t>to 20</w:t>
      </w:r>
      <w:r w:rsidR="00321F0D">
        <w:t>15</w:t>
      </w:r>
    </w:p>
    <w:p w14:paraId="66AFA757" w14:textId="77777777" w:rsidR="00342018" w:rsidRDefault="00342018" w:rsidP="00BA65E3">
      <w:pPr>
        <w:pStyle w:val="ListNumber2"/>
        <w:numPr>
          <w:ilvl w:val="0"/>
          <w:numId w:val="0"/>
        </w:numPr>
        <w:spacing w:after="240"/>
        <w:ind w:left="720"/>
      </w:pPr>
      <w:r>
        <w:rPr>
          <w:noProof/>
          <w:lang w:eastAsia="en-AU"/>
        </w:rPr>
        <w:drawing>
          <wp:inline distT="0" distB="0" distL="0" distR="0" wp14:anchorId="697BFB14" wp14:editId="545C2540">
            <wp:extent cx="5731510" cy="3460115"/>
            <wp:effectExtent l="0" t="0" r="254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B39B8E" w14:textId="77777777" w:rsidR="00576CEC" w:rsidRDefault="00576CEC" w:rsidP="00BA65E3">
      <w:pPr>
        <w:pStyle w:val="Figuretablenotesource"/>
        <w:ind w:left="709" w:firstLine="0"/>
      </w:pPr>
      <w:r w:rsidRPr="00BA65E3">
        <w:rPr>
          <w:rStyle w:val="Bold"/>
        </w:rPr>
        <w:t>AIMS</w:t>
      </w:r>
      <w:r w:rsidRPr="004C6B2D">
        <w:t xml:space="preserve"> </w:t>
      </w:r>
      <w:r w:rsidR="008E38C1" w:rsidRPr="004C6B2D">
        <w:rPr>
          <w:color w:val="000000"/>
          <w:szCs w:val="24"/>
        </w:rPr>
        <w:t>Agriculture</w:t>
      </w:r>
      <w:r w:rsidR="008E38C1" w:rsidRPr="00A93875">
        <w:rPr>
          <w:color w:val="000000"/>
          <w:szCs w:val="24"/>
        </w:rPr>
        <w:t xml:space="preserve"> Import Management System </w:t>
      </w:r>
      <w:r w:rsidR="008E38C1">
        <w:rPr>
          <w:color w:val="000000"/>
          <w:szCs w:val="24"/>
        </w:rPr>
        <w:t>for storing</w:t>
      </w:r>
      <w:r w:rsidR="008E38C1" w:rsidRPr="00A93875">
        <w:rPr>
          <w:color w:val="000000"/>
          <w:szCs w:val="24"/>
        </w:rPr>
        <w:t xml:space="preserve"> records of</w:t>
      </w:r>
      <w:r w:rsidR="008E38C1">
        <w:rPr>
          <w:color w:val="000000"/>
          <w:szCs w:val="24"/>
        </w:rPr>
        <w:t xml:space="preserve"> imported cargo assessed by the </w:t>
      </w:r>
      <w:r w:rsidR="008E38C1" w:rsidRPr="00A93875">
        <w:rPr>
          <w:color w:val="000000"/>
          <w:szCs w:val="24"/>
        </w:rPr>
        <w:t>Department of Agriculture and Water Resources</w:t>
      </w:r>
      <w:r w:rsidR="008E38C1">
        <w:rPr>
          <w:color w:val="000000"/>
          <w:szCs w:val="24"/>
        </w:rPr>
        <w:t>.</w:t>
      </w:r>
    </w:p>
    <w:p w14:paraId="34638674" w14:textId="77777777" w:rsidR="00342018" w:rsidRDefault="00342018" w:rsidP="00342018">
      <w:pPr>
        <w:pStyle w:val="Heading3"/>
      </w:pPr>
      <w:r>
        <w:t>Import requirements</w:t>
      </w:r>
    </w:p>
    <w:p w14:paraId="6929F152" w14:textId="77777777" w:rsidR="00342018" w:rsidRPr="00342018" w:rsidRDefault="0036431C" w:rsidP="00342018">
      <w:pPr>
        <w:pStyle w:val="ListNumber2"/>
        <w:ind w:hanging="578"/>
      </w:pPr>
      <w:r>
        <w:t>T</w:t>
      </w:r>
      <w:r w:rsidR="00342018" w:rsidRPr="00342018">
        <w:t xml:space="preserve">ranshipped stores are not considered to be imports under the </w:t>
      </w:r>
      <w:r w:rsidR="00342018" w:rsidRPr="00E12868">
        <w:t>Customs Act</w:t>
      </w:r>
      <w:r w:rsidR="00342018" w:rsidRPr="00342018">
        <w:t xml:space="preserve">, </w:t>
      </w:r>
      <w:r>
        <w:t xml:space="preserve">so </w:t>
      </w:r>
      <w:r w:rsidR="00342018" w:rsidRPr="00342018">
        <w:t xml:space="preserve">they do not enter the normal border clearance process for imported goods. Therefore the department developed import conditions and </w:t>
      </w:r>
      <w:r w:rsidR="00277F01">
        <w:t xml:space="preserve">an </w:t>
      </w:r>
      <w:r w:rsidR="00342018" w:rsidRPr="00342018">
        <w:t xml:space="preserve">associated targeting process to control the content and movement of transhipped stores for use on cruise and commercial vessels. The department </w:t>
      </w:r>
      <w:r w:rsidR="00F3200B">
        <w:t xml:space="preserve">considers </w:t>
      </w:r>
      <w:r w:rsidR="00342018" w:rsidRPr="00342018">
        <w:t xml:space="preserve">that transhipped goods require these measures to be </w:t>
      </w:r>
      <w:r w:rsidR="00342018" w:rsidRPr="00342018">
        <w:lastRenderedPageBreak/>
        <w:t>in place to ensure that biosecurity risks are minimised</w:t>
      </w:r>
      <w:r w:rsidR="001216E4">
        <w:t>,</w:t>
      </w:r>
      <w:r w:rsidR="00342018" w:rsidRPr="00342018">
        <w:t xml:space="preserve"> whil</w:t>
      </w:r>
      <w:r>
        <w:t>e</w:t>
      </w:r>
      <w:r w:rsidR="00342018" w:rsidRPr="00342018">
        <w:t xml:space="preserve"> allowing commercial movements of such goods.</w:t>
      </w:r>
    </w:p>
    <w:p w14:paraId="091BC72F" w14:textId="77777777" w:rsidR="00342018" w:rsidRPr="00342018" w:rsidRDefault="00342018" w:rsidP="00342018">
      <w:pPr>
        <w:pStyle w:val="ListNumber2"/>
        <w:ind w:hanging="578"/>
      </w:pPr>
      <w:r w:rsidRPr="00342018">
        <w:t xml:space="preserve">The import conditions </w:t>
      </w:r>
      <w:r w:rsidR="00F3200B">
        <w:t xml:space="preserve">imposed </w:t>
      </w:r>
      <w:r w:rsidRPr="00342018">
        <w:t xml:space="preserve">by the department are intended to ensure that transhipped stores are not exposed to the Australian environment </w:t>
      </w:r>
      <w:r w:rsidR="0036431C">
        <w:t>before</w:t>
      </w:r>
      <w:r w:rsidRPr="00342018">
        <w:t xml:space="preserve"> being loaded on </w:t>
      </w:r>
      <w:r w:rsidR="00F3200B">
        <w:t>a</w:t>
      </w:r>
      <w:r w:rsidRPr="00342018">
        <w:t xml:space="preserve"> departing vessel. Once on board the vessel, the stores are subject to the same biosecurity regulation as the stores that were carried </w:t>
      </w:r>
      <w:r w:rsidR="00F3200B">
        <w:t>aboard</w:t>
      </w:r>
      <w:r w:rsidRPr="00342018">
        <w:t xml:space="preserve"> the vessel when it arrived.</w:t>
      </w:r>
    </w:p>
    <w:p w14:paraId="09B51B3D" w14:textId="77777777" w:rsidR="00DE680F" w:rsidRPr="00342018" w:rsidRDefault="00342018" w:rsidP="00BA65E3">
      <w:pPr>
        <w:pStyle w:val="ListNumber2"/>
        <w:ind w:hanging="578"/>
      </w:pPr>
      <w:r w:rsidRPr="00342018">
        <w:t xml:space="preserve">To </w:t>
      </w:r>
      <w:r w:rsidR="00444936">
        <w:t>help</w:t>
      </w:r>
      <w:r w:rsidRPr="00342018">
        <w:t xml:space="preserve"> manag</w:t>
      </w:r>
      <w:r w:rsidR="00444936">
        <w:t>e</w:t>
      </w:r>
      <w:r w:rsidRPr="00342018">
        <w:t xml:space="preserve"> these goods, transhipped ships stores are grouped into three categories</w:t>
      </w:r>
      <w:r w:rsidR="00444936">
        <w:t>. These are</w:t>
      </w:r>
      <w:r w:rsidRPr="00342018">
        <w:t xml:space="preserve"> based on the department’s assessment of the potential biosecurity risk of the goods in </w:t>
      </w:r>
      <w:r w:rsidR="00444936">
        <w:t>each</w:t>
      </w:r>
      <w:r w:rsidRPr="00342018">
        <w:t xml:space="preserve"> category</w:t>
      </w:r>
      <w:r w:rsidR="00CF0577">
        <w:t xml:space="preserve"> (</w:t>
      </w:r>
      <w:r w:rsidR="00A43EC2">
        <w:fldChar w:fldCharType="begin"/>
      </w:r>
      <w:r w:rsidR="003B14B3">
        <w:instrText xml:space="preserve"> REF _Ref445193571 \h </w:instrText>
      </w:r>
      <w:r w:rsidR="00A43EC2">
        <w:fldChar w:fldCharType="separate"/>
      </w:r>
      <w:r w:rsidR="0012621F">
        <w:t xml:space="preserve">Table </w:t>
      </w:r>
      <w:r w:rsidR="0012621F">
        <w:rPr>
          <w:noProof/>
        </w:rPr>
        <w:t>1</w:t>
      </w:r>
      <w:r w:rsidR="00A43EC2">
        <w:fldChar w:fldCharType="end"/>
      </w:r>
      <w:r w:rsidR="00CF0577">
        <w:t>)</w:t>
      </w:r>
      <w:r w:rsidRPr="00342018">
        <w:t xml:space="preserve">. </w:t>
      </w:r>
      <w:r w:rsidR="00444936">
        <w:t>T</w:t>
      </w:r>
      <w:r w:rsidR="00444936" w:rsidRPr="00342018">
        <w:t>o address the identified risks</w:t>
      </w:r>
      <w:r w:rsidR="00444936">
        <w:t>, e</w:t>
      </w:r>
      <w:r w:rsidRPr="00342018">
        <w:t>ach category is subject to specific requirements for transhipment.</w:t>
      </w:r>
    </w:p>
    <w:p w14:paraId="03E29961" w14:textId="77777777" w:rsidR="00342018" w:rsidRDefault="003B14B3" w:rsidP="00BA65E3">
      <w:pPr>
        <w:pStyle w:val="Caption"/>
        <w:ind w:firstLine="0"/>
      </w:pPr>
      <w:bookmarkStart w:id="14" w:name="_Ref445193571"/>
      <w:r>
        <w:t xml:space="preserve">Table </w:t>
      </w:r>
      <w:r w:rsidR="00A43EC2">
        <w:fldChar w:fldCharType="begin"/>
      </w:r>
      <w:r w:rsidR="007725A9">
        <w:instrText xml:space="preserve"> SEQ Table \* ARABIC </w:instrText>
      </w:r>
      <w:r w:rsidR="00A43EC2">
        <w:fldChar w:fldCharType="separate"/>
      </w:r>
      <w:r w:rsidR="0012621F">
        <w:rPr>
          <w:noProof/>
        </w:rPr>
        <w:t>1</w:t>
      </w:r>
      <w:r w:rsidR="00A43EC2">
        <w:rPr>
          <w:noProof/>
        </w:rPr>
        <w:fldChar w:fldCharType="end"/>
      </w:r>
      <w:bookmarkEnd w:id="14"/>
      <w:r>
        <w:t xml:space="preserve"> </w:t>
      </w:r>
      <w:r w:rsidR="00342018">
        <w:t>Risk categories for transhipped biosecurity materials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133"/>
        <w:gridCol w:w="7146"/>
      </w:tblGrid>
      <w:tr w:rsidR="00F73A07" w14:paraId="56150689" w14:textId="77777777" w:rsidTr="00BA65E3">
        <w:trPr>
          <w:cantSplit/>
          <w:tblHeader/>
        </w:trPr>
        <w:tc>
          <w:tcPr>
            <w:tcW w:w="602" w:type="pct"/>
            <w:vAlign w:val="center"/>
          </w:tcPr>
          <w:p w14:paraId="2722C3C7" w14:textId="77777777" w:rsidR="00F73A07" w:rsidRPr="00023366" w:rsidRDefault="00F73A07" w:rsidP="00BA65E3">
            <w:pPr>
              <w:pStyle w:val="Tableheading"/>
            </w:pPr>
            <w:r w:rsidRPr="000D01FE">
              <w:t>C</w:t>
            </w:r>
            <w:r w:rsidRPr="00023366">
              <w:t>ategory</w:t>
            </w:r>
          </w:p>
        </w:tc>
        <w:tc>
          <w:tcPr>
            <w:tcW w:w="602" w:type="pct"/>
            <w:vAlign w:val="center"/>
          </w:tcPr>
          <w:p w14:paraId="7BBD8334" w14:textId="77777777" w:rsidR="00F73A07" w:rsidRPr="00FC6098" w:rsidRDefault="00F73A07" w:rsidP="00BA65E3">
            <w:pPr>
              <w:pStyle w:val="Tableheading"/>
            </w:pPr>
            <w:r w:rsidRPr="00023366">
              <w:t>Risk level</w:t>
            </w:r>
          </w:p>
        </w:tc>
        <w:tc>
          <w:tcPr>
            <w:tcW w:w="3795" w:type="pct"/>
            <w:vAlign w:val="center"/>
          </w:tcPr>
          <w:p w14:paraId="305F60E5" w14:textId="77777777" w:rsidR="00F73A07" w:rsidRPr="000E1D26" w:rsidRDefault="00F73A07" w:rsidP="00BA65E3">
            <w:pPr>
              <w:pStyle w:val="Tableheading"/>
            </w:pPr>
            <w:r w:rsidRPr="000E1D26">
              <w:t>Type of goods</w:t>
            </w:r>
          </w:p>
        </w:tc>
      </w:tr>
      <w:tr w:rsidR="00342018" w14:paraId="7642EE08" w14:textId="77777777" w:rsidTr="00BA65E3">
        <w:tc>
          <w:tcPr>
            <w:tcW w:w="602" w:type="pct"/>
            <w:vAlign w:val="center"/>
          </w:tcPr>
          <w:p w14:paraId="7FA88B56" w14:textId="77777777" w:rsidR="00342018" w:rsidRPr="000D01FE" w:rsidRDefault="00342018" w:rsidP="00BA65E3">
            <w:pPr>
              <w:pStyle w:val="TableText0"/>
            </w:pPr>
            <w:r w:rsidRPr="000D01FE">
              <w:t>1</w:t>
            </w:r>
          </w:p>
        </w:tc>
        <w:tc>
          <w:tcPr>
            <w:tcW w:w="602" w:type="pct"/>
            <w:vAlign w:val="center"/>
          </w:tcPr>
          <w:p w14:paraId="7FF64CB6" w14:textId="77777777" w:rsidR="00342018" w:rsidRPr="00023366" w:rsidRDefault="00342018" w:rsidP="00BA65E3">
            <w:pPr>
              <w:pStyle w:val="TableText0"/>
            </w:pPr>
            <w:r w:rsidRPr="00023366">
              <w:t xml:space="preserve">Nil </w:t>
            </w:r>
            <w:r w:rsidR="002E7976">
              <w:t>r</w:t>
            </w:r>
            <w:r w:rsidRPr="00023366">
              <w:t>isk</w:t>
            </w:r>
          </w:p>
        </w:tc>
        <w:tc>
          <w:tcPr>
            <w:tcW w:w="3795" w:type="pct"/>
            <w:vAlign w:val="center"/>
          </w:tcPr>
          <w:p w14:paraId="26E9E6AB" w14:textId="77777777" w:rsidR="00342018" w:rsidRPr="00023366" w:rsidRDefault="00342018" w:rsidP="00BA65E3">
            <w:pPr>
              <w:pStyle w:val="TableText0"/>
            </w:pPr>
            <w:r w:rsidRPr="00023366">
              <w:t>Goods of no biosecurity risk</w:t>
            </w:r>
            <w:r w:rsidR="00444936">
              <w:t xml:space="preserve">. </w:t>
            </w:r>
            <w:r w:rsidR="00F73A07">
              <w:t>For e</w:t>
            </w:r>
            <w:r w:rsidRPr="00023366">
              <w:t>xample</w:t>
            </w:r>
            <w:r w:rsidR="00F73A07">
              <w:t>,</w:t>
            </w:r>
            <w:r w:rsidRPr="000D01FE">
              <w:t xml:space="preserve"> jewellery, clothing</w:t>
            </w:r>
            <w:r w:rsidR="00AB5849">
              <w:t xml:space="preserve"> and</w:t>
            </w:r>
            <w:r w:rsidRPr="000D01FE">
              <w:t xml:space="preserve"> alcohol</w:t>
            </w:r>
            <w:r w:rsidR="00AB5849">
              <w:t>.</w:t>
            </w:r>
          </w:p>
        </w:tc>
      </w:tr>
      <w:tr w:rsidR="00342018" w14:paraId="399EBE53" w14:textId="77777777" w:rsidTr="00BA65E3">
        <w:trPr>
          <w:trHeight w:val="974"/>
        </w:trPr>
        <w:tc>
          <w:tcPr>
            <w:tcW w:w="602" w:type="pct"/>
            <w:vAlign w:val="center"/>
          </w:tcPr>
          <w:p w14:paraId="00B2A6CA" w14:textId="77777777" w:rsidR="00342018" w:rsidRPr="000D01FE" w:rsidRDefault="00342018" w:rsidP="00BA65E3">
            <w:pPr>
              <w:pStyle w:val="TableText0"/>
            </w:pPr>
            <w:r w:rsidRPr="000D01FE">
              <w:t>2</w:t>
            </w:r>
          </w:p>
        </w:tc>
        <w:tc>
          <w:tcPr>
            <w:tcW w:w="602" w:type="pct"/>
            <w:vAlign w:val="center"/>
          </w:tcPr>
          <w:p w14:paraId="60B54CDA" w14:textId="77777777" w:rsidR="00342018" w:rsidRPr="00023366" w:rsidRDefault="00342018" w:rsidP="00BA65E3">
            <w:pPr>
              <w:pStyle w:val="TableText0"/>
            </w:pPr>
            <w:r w:rsidRPr="00023366">
              <w:t>Low risk</w:t>
            </w:r>
          </w:p>
        </w:tc>
        <w:tc>
          <w:tcPr>
            <w:tcW w:w="3795" w:type="pct"/>
            <w:vAlign w:val="center"/>
          </w:tcPr>
          <w:p w14:paraId="26522D40" w14:textId="77777777" w:rsidR="00342018" w:rsidRPr="00BA65E3" w:rsidRDefault="00342018" w:rsidP="00BA65E3">
            <w:pPr>
              <w:pStyle w:val="TableText0"/>
            </w:pPr>
            <w:r w:rsidRPr="00023366">
              <w:t>Goods normally permitted entry to Australia without an import permit and requiring only documentation or inspection on arrival</w:t>
            </w:r>
            <w:r w:rsidR="00444936">
              <w:t xml:space="preserve">. </w:t>
            </w:r>
            <w:r w:rsidR="00F73A07">
              <w:t>For e</w:t>
            </w:r>
            <w:r w:rsidRPr="00BA65E3">
              <w:t>xample</w:t>
            </w:r>
            <w:r w:rsidR="00F73A07">
              <w:t xml:space="preserve">, </w:t>
            </w:r>
            <w:r w:rsidR="00F73A07" w:rsidRPr="00FC6098">
              <w:t>f</w:t>
            </w:r>
            <w:r w:rsidRPr="00BA65E3">
              <w:t>rozen (non</w:t>
            </w:r>
            <w:r w:rsidR="00444936" w:rsidRPr="00BA65E3">
              <w:t>-</w:t>
            </w:r>
            <w:r w:rsidRPr="00BA65E3">
              <w:t>salmonid) fish fillets</w:t>
            </w:r>
            <w:r w:rsidR="00444936">
              <w:t xml:space="preserve"> and</w:t>
            </w:r>
            <w:r w:rsidRPr="00BA65E3">
              <w:t xml:space="preserve"> </w:t>
            </w:r>
            <w:r w:rsidR="005C57D9" w:rsidRPr="00BA65E3">
              <w:t>p</w:t>
            </w:r>
            <w:r w:rsidRPr="00BA65E3">
              <w:t>ackaged breakfast cereal</w:t>
            </w:r>
            <w:r w:rsidR="00AB5849">
              <w:t>.</w:t>
            </w:r>
          </w:p>
        </w:tc>
      </w:tr>
      <w:tr w:rsidR="00342018" w14:paraId="7402778A" w14:textId="77777777" w:rsidTr="00BA65E3">
        <w:tc>
          <w:tcPr>
            <w:tcW w:w="602" w:type="pct"/>
            <w:vAlign w:val="center"/>
          </w:tcPr>
          <w:p w14:paraId="19F85A56" w14:textId="77777777" w:rsidR="00342018" w:rsidRPr="000D01FE" w:rsidRDefault="00342018" w:rsidP="00BA65E3">
            <w:pPr>
              <w:pStyle w:val="TableText0"/>
            </w:pPr>
            <w:r w:rsidRPr="000D01FE">
              <w:t>3</w:t>
            </w:r>
          </w:p>
        </w:tc>
        <w:tc>
          <w:tcPr>
            <w:tcW w:w="602" w:type="pct"/>
            <w:vAlign w:val="center"/>
          </w:tcPr>
          <w:p w14:paraId="67AE4319" w14:textId="77777777" w:rsidR="00342018" w:rsidRPr="00023366" w:rsidRDefault="00342018" w:rsidP="00BA65E3">
            <w:pPr>
              <w:pStyle w:val="TableText0"/>
            </w:pPr>
            <w:r w:rsidRPr="00023366">
              <w:t>High risk</w:t>
            </w:r>
          </w:p>
        </w:tc>
        <w:tc>
          <w:tcPr>
            <w:tcW w:w="3795" w:type="pct"/>
            <w:vAlign w:val="center"/>
          </w:tcPr>
          <w:p w14:paraId="2350F638" w14:textId="77777777" w:rsidR="00342018" w:rsidRPr="00BA65E3" w:rsidRDefault="00342018" w:rsidP="00BA65E3">
            <w:pPr>
              <w:pStyle w:val="TableText0"/>
            </w:pPr>
            <w:r w:rsidRPr="00023366">
              <w:t>Goods either prohibited or not permitted entry into Australia without an import permit</w:t>
            </w:r>
            <w:r w:rsidR="00444936">
              <w:t xml:space="preserve">. </w:t>
            </w:r>
            <w:r w:rsidR="00F73A07">
              <w:t>For e</w:t>
            </w:r>
            <w:r w:rsidRPr="00BA65E3">
              <w:t>xample</w:t>
            </w:r>
            <w:r w:rsidR="00F73A07">
              <w:t>, f</w:t>
            </w:r>
            <w:r w:rsidRPr="00BA65E3">
              <w:t xml:space="preserve">rozen meat, </w:t>
            </w:r>
            <w:r w:rsidR="00F73A07">
              <w:t>f</w:t>
            </w:r>
            <w:r w:rsidRPr="00BA65E3">
              <w:t xml:space="preserve">resh seafood, </w:t>
            </w:r>
            <w:r w:rsidR="00F73A07">
              <w:t>e</w:t>
            </w:r>
            <w:r w:rsidR="00F73A07" w:rsidRPr="00BA65E3">
              <w:t>ggs</w:t>
            </w:r>
            <w:r w:rsidRPr="00BA65E3">
              <w:t xml:space="preserve">, </w:t>
            </w:r>
            <w:r w:rsidR="00F73A07">
              <w:t>f</w:t>
            </w:r>
            <w:r w:rsidRPr="00BA65E3">
              <w:t>resh fruit and vegetables</w:t>
            </w:r>
            <w:r w:rsidR="00AB5849">
              <w:t>.</w:t>
            </w:r>
          </w:p>
        </w:tc>
      </w:tr>
    </w:tbl>
    <w:p w14:paraId="1DB0E7FD" w14:textId="77777777" w:rsidR="00342018" w:rsidRDefault="00F73A07" w:rsidP="00BA65E3">
      <w:pPr>
        <w:pStyle w:val="Figuretablenotesource"/>
        <w:ind w:firstLine="0"/>
      </w:pPr>
      <w:r>
        <w:t>Source: Department of Agriculture and Water Resources</w:t>
      </w:r>
    </w:p>
    <w:p w14:paraId="26C09C52" w14:textId="77777777" w:rsidR="00342018" w:rsidRPr="00342018" w:rsidRDefault="00342018" w:rsidP="00342018">
      <w:pPr>
        <w:pStyle w:val="ListNumber2"/>
        <w:ind w:hanging="578"/>
      </w:pPr>
      <w:r w:rsidRPr="00342018">
        <w:t xml:space="preserve">Category 1 material does not require an import permit for transhipment. The goods may be deconsolidated at the sole discretion of the owner if permitted under the </w:t>
      </w:r>
      <w:r w:rsidRPr="00E12868">
        <w:t>Customs Act</w:t>
      </w:r>
      <w:r w:rsidRPr="00342018">
        <w:t>. Any category 1 goods transhipped may be subject to verification or random surveillance by a biosecurity officer</w:t>
      </w:r>
      <w:r w:rsidR="004A24D3">
        <w:t xml:space="preserve"> to ensure goods descriptions in </w:t>
      </w:r>
      <w:r w:rsidR="00AB5849">
        <w:t xml:space="preserve">the </w:t>
      </w:r>
      <w:r w:rsidR="004A24D3">
        <w:t>manifest are accurate</w:t>
      </w:r>
      <w:r w:rsidRPr="00342018">
        <w:t>.</w:t>
      </w:r>
    </w:p>
    <w:p w14:paraId="4639AD3C" w14:textId="77777777" w:rsidR="00342018" w:rsidRPr="00342018" w:rsidRDefault="00342018" w:rsidP="00342018">
      <w:pPr>
        <w:pStyle w:val="ListNumber2"/>
        <w:ind w:hanging="578"/>
      </w:pPr>
      <w:r w:rsidRPr="00342018">
        <w:t xml:space="preserve">Category 2 material requires an import permit for transhipment. If the goods arrive as a full container load </w:t>
      </w:r>
      <w:r w:rsidRPr="000E1D26">
        <w:t>(FCL)</w:t>
      </w:r>
      <w:r w:rsidRPr="00342018">
        <w:t xml:space="preserve"> or in an airfreight unit loading device</w:t>
      </w:r>
      <w:r w:rsidR="00F3200B">
        <w:t>,</w:t>
      </w:r>
      <w:r w:rsidRPr="00342018">
        <w:t xml:space="preserve"> they may be deconsolidated at the importer’s discretion but deconsolidation may only occur following inspection by a biosecurity officer. If goods are not deconsolidated, they will be handled using the same procedures as category 3 goods. Goods arriving as less than a container load or loose airfreight are subject to mandatory inspection on arrival.</w:t>
      </w:r>
    </w:p>
    <w:p w14:paraId="2DB7C086" w14:textId="77777777" w:rsidR="00342018" w:rsidRPr="00342018" w:rsidRDefault="00342018" w:rsidP="00342018">
      <w:pPr>
        <w:pStyle w:val="ListNumber2"/>
        <w:ind w:hanging="578"/>
      </w:pPr>
      <w:r w:rsidRPr="00342018">
        <w:t>Category 3 material requires an import permit for transhipment. Deconsolidation of category 3 goods is not permitted except under exceptional circumstances approved by the department. Goods arriving as</w:t>
      </w:r>
      <w:r w:rsidR="00384DAF">
        <w:t xml:space="preserve"> a</w:t>
      </w:r>
      <w:r w:rsidRPr="00342018">
        <w:t xml:space="preserve"> full container load or in airfreight unit loading devices may be stored seals intact until exported. Goods arriving as less than container load or loose airfreight must be stored securely as directed by the department. All category 3 goods must be loaded onto the departing vessel under the </w:t>
      </w:r>
      <w:r w:rsidR="00F3200B">
        <w:t xml:space="preserve">direct </w:t>
      </w:r>
      <w:r w:rsidRPr="00342018">
        <w:t>supervision of a biosecurity officer.</w:t>
      </w:r>
    </w:p>
    <w:p w14:paraId="7D619377" w14:textId="77777777" w:rsidR="00342018" w:rsidRDefault="00342018" w:rsidP="00342018">
      <w:pPr>
        <w:pStyle w:val="Heading3"/>
      </w:pPr>
      <w:r>
        <w:t>Border processing</w:t>
      </w:r>
    </w:p>
    <w:p w14:paraId="236344AD" w14:textId="77777777" w:rsidR="00342018" w:rsidRPr="00B90A4B" w:rsidRDefault="00342018" w:rsidP="00342018">
      <w:pPr>
        <w:pStyle w:val="ListNumber2"/>
        <w:ind w:hanging="578"/>
      </w:pPr>
      <w:r w:rsidRPr="00B90A4B">
        <w:t xml:space="preserve">The department uses </w:t>
      </w:r>
      <w:r w:rsidRPr="004C6B2D">
        <w:t>word-based</w:t>
      </w:r>
      <w:r w:rsidRPr="00B90A4B">
        <w:t xml:space="preserve"> profiles in the </w:t>
      </w:r>
      <w:r w:rsidRPr="001F5CE5">
        <w:t>Integrated Cargo System</w:t>
      </w:r>
      <w:r w:rsidRPr="00B90A4B">
        <w:t xml:space="preserve"> (ICS) to identify </w:t>
      </w:r>
      <w:r w:rsidRPr="00EF0991">
        <w:t>transhipped</w:t>
      </w:r>
      <w:r w:rsidRPr="00B90A4B">
        <w:t xml:space="preserve"> ships stores.</w:t>
      </w:r>
      <w:r>
        <w:t xml:space="preserve"> Profiling is undertaken against the cargo report in the ICS. </w:t>
      </w:r>
      <w:r w:rsidRPr="00B90A4B">
        <w:t>The</w:t>
      </w:r>
      <w:r w:rsidR="00384DAF">
        <w:t>se</w:t>
      </w:r>
      <w:r w:rsidRPr="00B90A4B">
        <w:t xml:space="preserve"> profiles are subject to continuous review as part of general profile quality assurance and in response to operational issues and intelligence.</w:t>
      </w:r>
    </w:p>
    <w:p w14:paraId="324E71D9" w14:textId="77777777" w:rsidR="00342018" w:rsidRDefault="00342018" w:rsidP="00342018">
      <w:pPr>
        <w:pStyle w:val="ListNumber2"/>
        <w:ind w:hanging="578"/>
      </w:pPr>
      <w:r w:rsidRPr="00B90A4B">
        <w:lastRenderedPageBreak/>
        <w:t xml:space="preserve">Where </w:t>
      </w:r>
      <w:r>
        <w:t xml:space="preserve">an </w:t>
      </w:r>
      <w:r w:rsidRPr="00B90A4B">
        <w:t>arriving cargo</w:t>
      </w:r>
      <w:r>
        <w:t xml:space="preserve"> report</w:t>
      </w:r>
      <w:r w:rsidRPr="00B90A4B">
        <w:t xml:space="preserve"> matches </w:t>
      </w:r>
      <w:r>
        <w:t>a profile,</w:t>
      </w:r>
      <w:r w:rsidRPr="00B90A4B">
        <w:t xml:space="preserve"> </w:t>
      </w:r>
      <w:r>
        <w:t>the goods are held by the system and the importer is required to create a manual quarantine entry. Once the manual quarantine entry has been created</w:t>
      </w:r>
      <w:r w:rsidR="00F3200B">
        <w:t>,</w:t>
      </w:r>
      <w:r>
        <w:t xml:space="preserve"> the ICS </w:t>
      </w:r>
      <w:r w:rsidR="00D524DC">
        <w:t xml:space="preserve">‘hold’ </w:t>
      </w:r>
      <w:r>
        <w:t>is removed and the quarantine entry is used to</w:t>
      </w:r>
      <w:r w:rsidR="00BB55D7">
        <w:t xml:space="preserve"> direct the goods appropriately to</w:t>
      </w:r>
      <w:r>
        <w:t xml:space="preserve"> manage any biosecurity risks associated with the cargo.</w:t>
      </w:r>
    </w:p>
    <w:p w14:paraId="067252E0" w14:textId="77777777" w:rsidR="00342018" w:rsidRDefault="00342018" w:rsidP="00342018">
      <w:pPr>
        <w:pStyle w:val="ListNumber2"/>
        <w:ind w:hanging="578"/>
      </w:pPr>
      <w:r>
        <w:t xml:space="preserve">Transhipped stores must be declared to the department </w:t>
      </w:r>
      <w:r w:rsidR="00DE32B7">
        <w:t>before</w:t>
      </w:r>
      <w:r>
        <w:t xml:space="preserve"> the arrival date of the goods. This declaration is usually provided using the </w:t>
      </w:r>
      <w:hyperlink r:id="rId22" w:history="1">
        <w:r w:rsidRPr="00BA65E3">
          <w:rPr>
            <w:rStyle w:val="Hyperlink"/>
          </w:rPr>
          <w:t>Ship stores lodgement cover sheet</w:t>
        </w:r>
      </w:hyperlink>
      <w:r w:rsidRPr="00D524DC">
        <w:rPr>
          <w:i/>
        </w:rPr>
        <w:t>.</w:t>
      </w:r>
      <w:r>
        <w:t xml:space="preserve"> The department provides a </w:t>
      </w:r>
      <w:hyperlink r:id="rId23" w:history="1">
        <w:r w:rsidRPr="00342018">
          <w:t>template</w:t>
        </w:r>
      </w:hyperlink>
      <w:r>
        <w:t xml:space="preserve"> for this form on its website.</w:t>
      </w:r>
    </w:p>
    <w:p w14:paraId="6AE201F6" w14:textId="77777777" w:rsidR="00342018" w:rsidRPr="001F5CE5" w:rsidRDefault="00342018" w:rsidP="00342018">
      <w:pPr>
        <w:pStyle w:val="ListNumber2"/>
        <w:ind w:hanging="578"/>
      </w:pPr>
      <w:r w:rsidRPr="001F5CE5">
        <w:t>The</w:t>
      </w:r>
      <w:r w:rsidR="001F5CE5" w:rsidRPr="00BA65E3">
        <w:t xml:space="preserve"> </w:t>
      </w:r>
      <w:r w:rsidRPr="001F5CE5">
        <w:t>following information must be provide</w:t>
      </w:r>
      <w:r w:rsidR="00BB55D7">
        <w:t>d</w:t>
      </w:r>
      <w:r w:rsidRPr="001F5CE5">
        <w:t xml:space="preserve"> to facilitate clearance of transhipped stores:</w:t>
      </w:r>
    </w:p>
    <w:p w14:paraId="7B72291C" w14:textId="77777777" w:rsidR="00342018" w:rsidRDefault="00656B9D" w:rsidP="00BA65E3">
      <w:pPr>
        <w:pStyle w:val="ListBullet"/>
      </w:pPr>
      <w:r>
        <w:t>a</w:t>
      </w:r>
      <w:r w:rsidR="00B75784">
        <w:t xml:space="preserve"> v</w:t>
      </w:r>
      <w:r w:rsidR="00342018">
        <w:t>alid import permit, either by quoting the import permit number or attaching a copy of a valid import permit</w:t>
      </w:r>
    </w:p>
    <w:p w14:paraId="65A002FE" w14:textId="77777777" w:rsidR="00342018" w:rsidRDefault="00342018" w:rsidP="00BA65E3">
      <w:pPr>
        <w:pStyle w:val="ListBullet"/>
      </w:pPr>
      <w:r>
        <w:t>Australian port of discharge and estimated date of arrival</w:t>
      </w:r>
    </w:p>
    <w:p w14:paraId="469FB2CC" w14:textId="77777777" w:rsidR="00342018" w:rsidRDefault="00B75784" w:rsidP="00BA65E3">
      <w:pPr>
        <w:pStyle w:val="ListBullet"/>
      </w:pPr>
      <w:r>
        <w:t>v</w:t>
      </w:r>
      <w:r w:rsidR="00342018">
        <w:t>essel/</w:t>
      </w:r>
      <w:r w:rsidR="00F3200B">
        <w:t>a</w:t>
      </w:r>
      <w:r w:rsidR="00342018">
        <w:t>ircraft identification number</w:t>
      </w:r>
    </w:p>
    <w:p w14:paraId="779B24DB" w14:textId="77777777" w:rsidR="00342018" w:rsidRDefault="00B75784" w:rsidP="00BA65E3">
      <w:pPr>
        <w:pStyle w:val="ListBullet"/>
      </w:pPr>
      <w:r>
        <w:t>c</w:t>
      </w:r>
      <w:r w:rsidR="00342018">
        <w:t xml:space="preserve">ontainer/ULD numbers and associated </w:t>
      </w:r>
      <w:r>
        <w:t>o</w:t>
      </w:r>
      <w:r w:rsidR="00342018">
        <w:t>cean/</w:t>
      </w:r>
      <w:r w:rsidR="002E7976">
        <w:t>a</w:t>
      </w:r>
      <w:r w:rsidR="00342018">
        <w:t>ir bills of lading</w:t>
      </w:r>
    </w:p>
    <w:p w14:paraId="15E1E337" w14:textId="77777777" w:rsidR="00342018" w:rsidRDefault="00B75784" w:rsidP="00BA65E3">
      <w:pPr>
        <w:pStyle w:val="ListBullet"/>
      </w:pPr>
      <w:r w:rsidRPr="004C6B2D">
        <w:t>a</w:t>
      </w:r>
      <w:r w:rsidR="00342018" w:rsidRPr="00A37EB2">
        <w:t xml:space="preserve"> manifest in the</w:t>
      </w:r>
      <w:r w:rsidR="00342018">
        <w:t xml:space="preserve"> form of a detailed packing list, listing the full contents of each container/ULD in the consignment</w:t>
      </w:r>
    </w:p>
    <w:p w14:paraId="15D67FFD" w14:textId="4F7A8EA1" w:rsidR="00342018" w:rsidRDefault="00B75784" w:rsidP="00BA65E3">
      <w:pPr>
        <w:pStyle w:val="ListBullet"/>
      </w:pPr>
      <w:r>
        <w:t>d</w:t>
      </w:r>
      <w:r w:rsidR="00342018">
        <w:t>ocument</w:t>
      </w:r>
      <w:r>
        <w:t>s</w:t>
      </w:r>
      <w:r w:rsidR="00342018">
        <w:t xml:space="preserve"> acceptable for the biosecurity barrier clearance of goods for importation into Australia</w:t>
      </w:r>
      <w:r>
        <w:t>;</w:t>
      </w:r>
      <w:r w:rsidR="00342018">
        <w:t xml:space="preserve"> for example packing/cleanliness declarations as required by the department’s Non-Commodity Information Requirements Policy (applicable to </w:t>
      </w:r>
      <w:r>
        <w:t>c</w:t>
      </w:r>
      <w:r w:rsidR="00342018">
        <w:t xml:space="preserve">ategory </w:t>
      </w:r>
      <w:r w:rsidR="00BB55D7">
        <w:t xml:space="preserve">2 </w:t>
      </w:r>
      <w:r w:rsidR="00342018">
        <w:t>goods or if deconsolidation of goods has been requested)</w:t>
      </w:r>
    </w:p>
    <w:p w14:paraId="60F8B991" w14:textId="77777777" w:rsidR="00342018" w:rsidRDefault="00B75784" w:rsidP="00BA65E3">
      <w:pPr>
        <w:pStyle w:val="ListBullet"/>
      </w:pPr>
      <w:r>
        <w:t>a</w:t>
      </w:r>
      <w:r w:rsidR="00342018" w:rsidRPr="008F2C9F">
        <w:t xml:space="preserve"> declaration stating that </w:t>
      </w:r>
      <w:r w:rsidR="003B14B3" w:rsidRPr="000D01FE">
        <w:t>‘</w:t>
      </w:r>
      <w:r w:rsidR="00342018" w:rsidRPr="00BA65E3">
        <w:t>the goods in the consignment will not be for consumption, distribution or sale within Australia</w:t>
      </w:r>
      <w:r w:rsidR="003B14B3" w:rsidRPr="000D01FE">
        <w:t>’</w:t>
      </w:r>
    </w:p>
    <w:p w14:paraId="40F3D368" w14:textId="77777777" w:rsidR="00342018" w:rsidRDefault="00B75784" w:rsidP="00BA65E3">
      <w:pPr>
        <w:pStyle w:val="ListBullet"/>
      </w:pPr>
      <w:r>
        <w:t>t</w:t>
      </w:r>
      <w:r w:rsidR="00342018">
        <w:t xml:space="preserve">he location of the wharf, cargo terminal operator (CTO) or registered </w:t>
      </w:r>
      <w:r>
        <w:t>77G </w:t>
      </w:r>
      <w:r w:rsidR="00342018">
        <w:t xml:space="preserve">customs facility within the metropolitan area of the port of arrival where </w:t>
      </w:r>
      <w:r>
        <w:t>the </w:t>
      </w:r>
      <w:r w:rsidR="00342018">
        <w:t>consignment is to be stored</w:t>
      </w:r>
    </w:p>
    <w:p w14:paraId="65020D8D" w14:textId="77777777" w:rsidR="00342018" w:rsidRDefault="00342018" w:rsidP="00BA65E3">
      <w:pPr>
        <w:pStyle w:val="ListBullet"/>
      </w:pPr>
      <w:r>
        <w:t>If goods are to be deconsolidated, the location of the registered quarantine approved premises (QAP) and the expected date for deconsolidation and inspection by biosecurity officers</w:t>
      </w:r>
    </w:p>
    <w:p w14:paraId="1ACED316" w14:textId="77777777" w:rsidR="00342018" w:rsidRDefault="00B75784" w:rsidP="00BA65E3">
      <w:pPr>
        <w:pStyle w:val="ListBullet"/>
      </w:pPr>
      <w:r>
        <w:t>t</w:t>
      </w:r>
      <w:r w:rsidR="00342018">
        <w:t>he estimated date and time the consignment is scheduled to be transferred from the wharf, CTO, registered 77G customs facility or QAP to the export vessel</w:t>
      </w:r>
    </w:p>
    <w:p w14:paraId="0B84A5F2" w14:textId="77777777" w:rsidR="00342018" w:rsidRDefault="00B75784" w:rsidP="00BA65E3">
      <w:pPr>
        <w:pStyle w:val="ListBullet"/>
      </w:pPr>
      <w:proofErr w:type="gramStart"/>
      <w:r>
        <w:t>t</w:t>
      </w:r>
      <w:r w:rsidR="00342018">
        <w:t>he</w:t>
      </w:r>
      <w:proofErr w:type="gramEnd"/>
      <w:r w:rsidR="00342018">
        <w:t xml:space="preserve"> location and scheduled date for unpack</w:t>
      </w:r>
      <w:r w:rsidR="00F3200B">
        <w:t>ing</w:t>
      </w:r>
      <w:r w:rsidR="00342018">
        <w:t xml:space="preserve"> and loading onto the export vessel.</w:t>
      </w:r>
    </w:p>
    <w:p w14:paraId="7ADEFC2B" w14:textId="77777777" w:rsidR="00C849DF" w:rsidRDefault="00C849DF" w:rsidP="00C82C84">
      <w:pPr>
        <w:pStyle w:val="ListBullet"/>
        <w:numPr>
          <w:ilvl w:val="0"/>
          <w:numId w:val="0"/>
        </w:numPr>
        <w:ind w:left="720"/>
      </w:pPr>
      <w:r>
        <w:t>This information may be provided by</w:t>
      </w:r>
      <w:r w:rsidR="00C82C84">
        <w:t xml:space="preserve"> </w:t>
      </w:r>
      <w:r w:rsidR="00C82C84" w:rsidRPr="00C82C84">
        <w:t xml:space="preserve">the </w:t>
      </w:r>
      <w:proofErr w:type="spellStart"/>
      <w:r w:rsidR="00C82C84" w:rsidRPr="00C82C84">
        <w:t>transhipper</w:t>
      </w:r>
      <w:proofErr w:type="spellEnd"/>
      <w:r w:rsidR="00C82C84" w:rsidRPr="00C82C84">
        <w:t>, freight forwarder, customs broker or agent</w:t>
      </w:r>
      <w:r w:rsidR="001216E4">
        <w:t>.</w:t>
      </w:r>
    </w:p>
    <w:p w14:paraId="577CF3DB" w14:textId="77777777" w:rsidR="00342018" w:rsidRDefault="00342018" w:rsidP="00342018">
      <w:pPr>
        <w:pStyle w:val="ListNumber2"/>
        <w:ind w:hanging="578"/>
      </w:pPr>
      <w:r>
        <w:t xml:space="preserve">The shipping manifest is the key </w:t>
      </w:r>
      <w:r w:rsidRPr="004C6B2D">
        <w:t xml:space="preserve">document </w:t>
      </w:r>
      <w:r w:rsidR="00287DC2" w:rsidRPr="00BA65E3">
        <w:t>for</w:t>
      </w:r>
      <w:r w:rsidRPr="004C6B2D">
        <w:t xml:space="preserve"> determining</w:t>
      </w:r>
      <w:r>
        <w:t xml:space="preserve"> the level of biosecurity risk associated with a particular consignment. Based on the details listed in the manifest, a biosecurity officer can determine the biosecurity risk and the category of goods present in the consignment.</w:t>
      </w:r>
    </w:p>
    <w:p w14:paraId="6FA40AAC" w14:textId="77777777" w:rsidR="00342018" w:rsidRDefault="00342018" w:rsidP="00342018">
      <w:pPr>
        <w:pStyle w:val="ListNumber2"/>
        <w:ind w:hanging="578"/>
      </w:pPr>
      <w:r>
        <w:t xml:space="preserve">Once the category of goods has been determined by a biosecurity officer, </w:t>
      </w:r>
      <w:r w:rsidR="004A24D3">
        <w:t xml:space="preserve">an </w:t>
      </w:r>
      <w:r>
        <w:t xml:space="preserve">appropriate direction can be applied to the manual quarantine entry. Category 1 goods can be released from quarantine and category 2 or 3 goods must either be inspected or held until the time of export. Consignments containing goods of mixed category are handled </w:t>
      </w:r>
      <w:r w:rsidR="00905042">
        <w:t>in the same way as</w:t>
      </w:r>
      <w:r>
        <w:t xml:space="preserve"> the highest risk category.</w:t>
      </w:r>
    </w:p>
    <w:p w14:paraId="033A5AD4" w14:textId="67373338" w:rsidR="00342018" w:rsidRDefault="00342018" w:rsidP="00342018">
      <w:pPr>
        <w:pStyle w:val="ListNumber2"/>
        <w:ind w:hanging="578"/>
      </w:pPr>
      <w:r>
        <w:lastRenderedPageBreak/>
        <w:t xml:space="preserve">Category 2 goods may be deconsolidated at the request of the owner or their agent. If this is requested, the goods must be moved to a QAP of a </w:t>
      </w:r>
      <w:r w:rsidR="00F3200B">
        <w:t xml:space="preserve">category </w:t>
      </w:r>
      <w:r>
        <w:t>suitable for handling the type of risk material present in the consignment. Once at the premise</w:t>
      </w:r>
      <w:r w:rsidR="00F3200B">
        <w:t>s,</w:t>
      </w:r>
      <w:r>
        <w:t xml:space="preserve"> the goods are inspected by a biosecurity officer to ensure the</w:t>
      </w:r>
      <w:r w:rsidR="00DD74ED">
        <w:t xml:space="preserve">re are no items </w:t>
      </w:r>
      <w:r>
        <w:t>of biosecurity concern or that any immediate or potential biosecurity concerns that may be present are mitigated or contained.</w:t>
      </w:r>
    </w:p>
    <w:p w14:paraId="70BB31AF" w14:textId="77777777" w:rsidR="00342018" w:rsidRDefault="00342018" w:rsidP="00342018">
      <w:pPr>
        <w:pStyle w:val="ListNumber2"/>
        <w:ind w:hanging="578"/>
      </w:pPr>
      <w:r w:rsidRPr="008F5CEC">
        <w:t>If a biosecurity risk cannot be contained, poses an immediate threat or is considered unacceptably high by the department, risk mitigation measures must be immediately put in place to adequately address the risk. If this cannot be achieved, the consignment must be immediately exported from Australia as cargo, not ships stores, or destroyed using a method approved by the department.</w:t>
      </w:r>
    </w:p>
    <w:p w14:paraId="586DE908" w14:textId="77777777" w:rsidR="00342018" w:rsidRDefault="00342018" w:rsidP="00342018">
      <w:pPr>
        <w:pStyle w:val="ListNumber2"/>
        <w:ind w:hanging="578"/>
      </w:pPr>
      <w:r>
        <w:t xml:space="preserve">Any transhipped goods waiting to be exported, whether inspected or not, must be held at a Customs 77G </w:t>
      </w:r>
      <w:r w:rsidR="002B5F47">
        <w:t>depot</w:t>
      </w:r>
      <w:r>
        <w:t xml:space="preserve">. The 77G </w:t>
      </w:r>
      <w:r w:rsidR="002B5F47">
        <w:t xml:space="preserve">depot </w:t>
      </w:r>
      <w:r>
        <w:t xml:space="preserve">must be within the same metropolitan area as the arrival and export port. Goods at a 77G </w:t>
      </w:r>
      <w:r w:rsidR="002B5F47">
        <w:t xml:space="preserve">depot </w:t>
      </w:r>
      <w:r>
        <w:t xml:space="preserve">are under </w:t>
      </w:r>
      <w:r w:rsidR="001216E4">
        <w:t>C</w:t>
      </w:r>
      <w:r>
        <w:t>ustoms bond and must be held securely to ensure that they cannot be diverted for use in Australia.</w:t>
      </w:r>
    </w:p>
    <w:p w14:paraId="0B91BC63" w14:textId="77777777" w:rsidR="00342018" w:rsidRDefault="00342018" w:rsidP="00342018">
      <w:pPr>
        <w:pStyle w:val="ListNumber2"/>
        <w:ind w:hanging="578"/>
      </w:pPr>
      <w:r>
        <w:t xml:space="preserve">All transhipped goods will be moved directly from the Customs 77G </w:t>
      </w:r>
      <w:r w:rsidR="002B5F47">
        <w:t>depot</w:t>
      </w:r>
      <w:r>
        <w:t xml:space="preserve"> to an export wharf for loading onto the departing vessel.</w:t>
      </w:r>
    </w:p>
    <w:p w14:paraId="70F4EBB1" w14:textId="77777777" w:rsidR="00342018" w:rsidRDefault="00342018" w:rsidP="00342018">
      <w:pPr>
        <w:pStyle w:val="ListNumber2"/>
        <w:ind w:hanging="578"/>
      </w:pPr>
      <w:r>
        <w:t>Upon arrival at the export wharf, unpacking and loading of the transhipped goods is supervised by a biosecurity officer. Where goods have been stored seals intact</w:t>
      </w:r>
      <w:r w:rsidR="003A1779">
        <w:t>,</w:t>
      </w:r>
      <w:r>
        <w:t xml:space="preserve"> the officer will verify that the original import seals are unbroken. Where goods were not sealed, the inspecting officer verif</w:t>
      </w:r>
      <w:r w:rsidR="00B07579">
        <w:t>ies</w:t>
      </w:r>
      <w:r>
        <w:t xml:space="preserve"> that </w:t>
      </w:r>
      <w:r w:rsidRPr="00FC6098">
        <w:t xml:space="preserve">the volume of goods exported matches </w:t>
      </w:r>
      <w:r w:rsidR="00B07579" w:rsidRPr="00BA65E3">
        <w:t>the volume that was</w:t>
      </w:r>
      <w:r w:rsidR="00B07579" w:rsidRPr="00FC6098">
        <w:t xml:space="preserve"> </w:t>
      </w:r>
      <w:r w:rsidRPr="00FC6098">
        <w:t>imported</w:t>
      </w:r>
      <w:r w:rsidRPr="00B07579">
        <w:t xml:space="preserve"> and t</w:t>
      </w:r>
      <w:r>
        <w:t>hat the goods have not been tampered with.</w:t>
      </w:r>
    </w:p>
    <w:p w14:paraId="7F02DB4F" w14:textId="77777777" w:rsidR="00342018" w:rsidRDefault="00342018" w:rsidP="00342018">
      <w:pPr>
        <w:pStyle w:val="Heading3"/>
      </w:pPr>
      <w:r>
        <w:t>Land bridging</w:t>
      </w:r>
    </w:p>
    <w:p w14:paraId="2BA46933" w14:textId="77777777" w:rsidR="00342018" w:rsidRDefault="00342018" w:rsidP="00342018">
      <w:pPr>
        <w:pStyle w:val="ListNumber2"/>
        <w:ind w:hanging="578"/>
      </w:pPr>
      <w:r>
        <w:t xml:space="preserve">Ships stores are usually imported into the </w:t>
      </w:r>
      <w:r w:rsidRPr="004C6B2D">
        <w:t xml:space="preserve">port </w:t>
      </w:r>
      <w:r w:rsidRPr="00A37EB2">
        <w:t>they</w:t>
      </w:r>
      <w:r>
        <w:t xml:space="preserve"> are intended to be exported</w:t>
      </w:r>
      <w:r w:rsidR="006D03C5">
        <w:t xml:space="preserve"> from</w:t>
      </w:r>
      <w:r>
        <w:t xml:space="preserve">. This </w:t>
      </w:r>
      <w:r w:rsidR="00B07579">
        <w:t xml:space="preserve">is both </w:t>
      </w:r>
      <w:r>
        <w:t>logistic</w:t>
      </w:r>
      <w:r w:rsidR="00B07579">
        <w:t>ally efficient</w:t>
      </w:r>
      <w:r>
        <w:t xml:space="preserve"> and a </w:t>
      </w:r>
      <w:r w:rsidR="00B07579">
        <w:t xml:space="preserve">department </w:t>
      </w:r>
      <w:r>
        <w:t>requirement. The department requires that transhipped goods may only be transhipped between ports within the same metropolitan area. R</w:t>
      </w:r>
      <w:r w:rsidRPr="00A5124D">
        <w:t>equests to move goods intrastate and/or interstate may be considered case by case</w:t>
      </w:r>
      <w:r w:rsidR="00C849DF">
        <w:t>,</w:t>
      </w:r>
      <w:r w:rsidRPr="00A5124D">
        <w:t xml:space="preserve"> and only </w:t>
      </w:r>
      <w:r w:rsidR="0083572F">
        <w:t>in</w:t>
      </w:r>
      <w:r w:rsidRPr="00A5124D">
        <w:t xml:space="preserve"> exceptional circumstances.</w:t>
      </w:r>
    </w:p>
    <w:p w14:paraId="5D649AF9" w14:textId="77777777" w:rsidR="00342018" w:rsidRDefault="00342018" w:rsidP="00342018">
      <w:pPr>
        <w:pStyle w:val="ListNumber2"/>
        <w:ind w:hanging="578"/>
      </w:pPr>
      <w:r>
        <w:t xml:space="preserve">The movement of stores between different locations in Australia is termed ‘land bridging’. </w:t>
      </w:r>
      <w:r w:rsidR="0083572F">
        <w:t>L</w:t>
      </w:r>
      <w:r>
        <w:t xml:space="preserve">and bridging occurs when stores have arrived in one port but are required at a different port. The most common reason for this occurring with ships stores is where a vessel has </w:t>
      </w:r>
      <w:r w:rsidR="0083572F">
        <w:t>not</w:t>
      </w:r>
      <w:r>
        <w:t xml:space="preserve"> berth</w:t>
      </w:r>
      <w:r w:rsidR="0083572F">
        <w:t>ed</w:t>
      </w:r>
      <w:r>
        <w:t xml:space="preserve"> according to its original voyage schedule. For example, poor weather may slow a vessel’s progress or prevent entry to a port.</w:t>
      </w:r>
    </w:p>
    <w:p w14:paraId="779A2D4D" w14:textId="3D5F52BE" w:rsidR="00342018" w:rsidRDefault="00342018" w:rsidP="00342018">
      <w:pPr>
        <w:pStyle w:val="ListNumber2"/>
        <w:ind w:hanging="578"/>
      </w:pPr>
      <w:r>
        <w:t xml:space="preserve">Land bridging refers to the transport of cargo via road, rail or air within Australia. Any request to land bridge cargo must be </w:t>
      </w:r>
      <w:r w:rsidR="00DD74ED">
        <w:t>approved</w:t>
      </w:r>
      <w:r>
        <w:t xml:space="preserve"> by the department’s relevant operational region</w:t>
      </w:r>
      <w:r w:rsidR="00BB55D7">
        <w:t>.</w:t>
      </w:r>
      <w:r>
        <w:t xml:space="preserve"> Approval by regions ensures that any land bridge movement can be verified by regional biosecurity staff.</w:t>
      </w:r>
    </w:p>
    <w:p w14:paraId="70C8E3EC" w14:textId="77777777" w:rsidR="00342018" w:rsidRDefault="00342018" w:rsidP="00342018">
      <w:pPr>
        <w:pStyle w:val="ListNumber2"/>
        <w:ind w:hanging="578"/>
      </w:pPr>
      <w:r>
        <w:t xml:space="preserve">Land bridging is a type of movement under bond, regulated by the </w:t>
      </w:r>
      <w:r w:rsidR="004A24D3">
        <w:rPr>
          <w:rFonts w:cs="Segoe UI"/>
          <w:color w:val="000000"/>
        </w:rPr>
        <w:t>Department of Immigration and Border Protection</w:t>
      </w:r>
      <w:r w:rsidR="00257534">
        <w:rPr>
          <w:rFonts w:cs="Segoe UI"/>
          <w:color w:val="000000"/>
        </w:rPr>
        <w:t xml:space="preserve"> (Customs)</w:t>
      </w:r>
      <w:r>
        <w:t xml:space="preserve">. Under bond movements allow cargo subject to </w:t>
      </w:r>
      <w:r w:rsidR="003A1779" w:rsidRPr="00257534">
        <w:t>C</w:t>
      </w:r>
      <w:r w:rsidRPr="00257534">
        <w:t>ustoms</w:t>
      </w:r>
      <w:r>
        <w:t xml:space="preserve"> control to be moved between 77G depots. Customs regulations do not differentiate between 77G locations in different metropolitan areas. This is an issue for the department because movement between 77G depots </w:t>
      </w:r>
      <w:r w:rsidR="000464B8">
        <w:t>could</w:t>
      </w:r>
      <w:r>
        <w:t xml:space="preserve"> involve movement through rural areas.</w:t>
      </w:r>
      <w:r w:rsidR="000464B8">
        <w:t xml:space="preserve"> Therefore the department requires prior notification to </w:t>
      </w:r>
      <w:r w:rsidR="003A1779">
        <w:t>ensure that</w:t>
      </w:r>
      <w:r w:rsidR="000464B8">
        <w:t xml:space="preserve"> any risks posed by the transit route are addressed.</w:t>
      </w:r>
    </w:p>
    <w:p w14:paraId="65DCC5CD" w14:textId="0CF60C4F" w:rsidR="00342018" w:rsidRDefault="00342018" w:rsidP="00342018">
      <w:pPr>
        <w:pStyle w:val="ListNumber2"/>
        <w:ind w:hanging="578"/>
      </w:pPr>
      <w:r>
        <w:lastRenderedPageBreak/>
        <w:t>Under bond movements are secure, controlled movements</w:t>
      </w:r>
      <w:r w:rsidR="00251E06">
        <w:t xml:space="preserve"> that involve</w:t>
      </w:r>
      <w:r>
        <w:t xml:space="preserve"> cargo being moved under </w:t>
      </w:r>
      <w:r w:rsidR="00BB55D7">
        <w:t xml:space="preserve">department </w:t>
      </w:r>
      <w:r>
        <w:t>seal. Goods leaving a 77G depot must have a seal applied to ensure that the goods are not interfered with during transit. Although this limits the risk of the cargo being exposed to the Australian environment, an accident involving the vehicle carrying the cargo may lead to environmental exposure. This has occurred on a few</w:t>
      </w:r>
      <w:r w:rsidR="003A1779">
        <w:t xml:space="preserve"> rare </w:t>
      </w:r>
      <w:r>
        <w:t xml:space="preserve">occasions. </w:t>
      </w:r>
      <w:r w:rsidR="00CD2C62">
        <w:t xml:space="preserve">In the most recent </w:t>
      </w:r>
      <w:r>
        <w:t xml:space="preserve">example, </w:t>
      </w:r>
      <w:r w:rsidR="003A1779">
        <w:t xml:space="preserve">a consignment of </w:t>
      </w:r>
      <w:r>
        <w:t>imported pig meat was spilled in 1998</w:t>
      </w:r>
      <w:r w:rsidR="00CD2C62">
        <w:t xml:space="preserve"> when a truck overturned</w:t>
      </w:r>
      <w:r>
        <w:t xml:space="preserve"> in regional </w:t>
      </w:r>
      <w:r w:rsidR="00CD2C62">
        <w:t>New South Wales</w:t>
      </w:r>
      <w:r>
        <w:t xml:space="preserve">. In this case all cartons </w:t>
      </w:r>
      <w:r w:rsidR="00CF0577">
        <w:t>except</w:t>
      </w:r>
      <w:r>
        <w:t xml:space="preserve"> one were recovered from the site of the accident. The IIGB is not aware of a</w:t>
      </w:r>
      <w:r w:rsidR="00CF0577">
        <w:t>ny</w:t>
      </w:r>
      <w:r>
        <w:t xml:space="preserve"> similar incident since </w:t>
      </w:r>
      <w:r w:rsidR="00CD2C62">
        <w:t>then</w:t>
      </w:r>
      <w:r>
        <w:t>.</w:t>
      </w:r>
      <w:r w:rsidR="00BB55D7">
        <w:t xml:space="preserve"> Although unlikely, the department recognises that an accident may occur and has emergency procedures in place to address any potential issue should this </w:t>
      </w:r>
      <w:r w:rsidR="009010DD">
        <w:t xml:space="preserve">eventuate. </w:t>
      </w:r>
      <w:r w:rsidR="00BB55D7">
        <w:t xml:space="preserve"> </w:t>
      </w:r>
    </w:p>
    <w:p w14:paraId="619D270E" w14:textId="5D79F58E" w:rsidR="00342018" w:rsidRDefault="004C3A55" w:rsidP="00342018">
      <w:pPr>
        <w:pStyle w:val="ListNumber2"/>
        <w:ind w:hanging="578"/>
      </w:pPr>
      <w:r>
        <w:t xml:space="preserve">Department records indicate </w:t>
      </w:r>
      <w:r w:rsidR="00342018">
        <w:t>1</w:t>
      </w:r>
      <w:r w:rsidR="00CD2C62">
        <w:t> </w:t>
      </w:r>
      <w:r w:rsidR="00CA26DF">
        <w:t xml:space="preserve">943 </w:t>
      </w:r>
      <w:r w:rsidR="00342018">
        <w:t xml:space="preserve">movements of ships stores </w:t>
      </w:r>
      <w:r>
        <w:t xml:space="preserve">took place </w:t>
      </w:r>
      <w:r w:rsidR="003D3E3D">
        <w:t xml:space="preserve">between </w:t>
      </w:r>
      <w:r w:rsidR="00342018">
        <w:t>2013</w:t>
      </w:r>
      <w:r w:rsidR="00CA26DF">
        <w:t xml:space="preserve"> </w:t>
      </w:r>
      <w:r w:rsidR="003D3E3D">
        <w:t xml:space="preserve">and </w:t>
      </w:r>
      <w:r w:rsidR="00CA26DF">
        <w:t>20</w:t>
      </w:r>
      <w:r w:rsidR="00342018">
        <w:t xml:space="preserve">15. Most </w:t>
      </w:r>
      <w:r w:rsidR="00CF0577">
        <w:t xml:space="preserve">of these </w:t>
      </w:r>
      <w:r w:rsidR="00342018">
        <w:t xml:space="preserve">movements </w:t>
      </w:r>
      <w:r w:rsidR="00CF0577">
        <w:t>were</w:t>
      </w:r>
      <w:r w:rsidR="00342018">
        <w:t xml:space="preserve"> within the same metropolitan area and did not require approval from the department. </w:t>
      </w:r>
      <w:r w:rsidR="003E4C5F">
        <w:t xml:space="preserve">During this period </w:t>
      </w:r>
      <w:r w:rsidR="00511052">
        <w:t>nine</w:t>
      </w:r>
      <w:r w:rsidR="003E4C5F">
        <w:t xml:space="preserve"> per cent of transhipped stores movements appear to involve an interstate movement</w:t>
      </w:r>
      <w:r w:rsidR="00511052">
        <w:t>,</w:t>
      </w:r>
      <w:r w:rsidR="003E4C5F">
        <w:t xml:space="preserve"> but not all movements involved transport by land.   </w:t>
      </w:r>
      <w:r w:rsidR="00352E31">
        <w:t xml:space="preserve">In </w:t>
      </w:r>
      <w:r w:rsidR="003E4C5F">
        <w:t>the</w:t>
      </w:r>
      <w:r w:rsidR="00352E31">
        <w:t xml:space="preserve"> cases,</w:t>
      </w:r>
      <w:r w:rsidR="00342018">
        <w:t xml:space="preserve"> where movement outside </w:t>
      </w:r>
      <w:r w:rsidR="00CF0577">
        <w:t>a</w:t>
      </w:r>
      <w:r w:rsidR="00342018">
        <w:t xml:space="preserve"> metropolitan area was required</w:t>
      </w:r>
      <w:r w:rsidR="00CF0577">
        <w:t>,</w:t>
      </w:r>
      <w:r w:rsidR="00342018">
        <w:t xml:space="preserve"> the department approved all requests </w:t>
      </w:r>
      <w:r w:rsidR="00352E31">
        <w:t xml:space="preserve">after </w:t>
      </w:r>
      <w:r w:rsidR="00342018">
        <w:t>the person in control of the cargo</w:t>
      </w:r>
      <w:r w:rsidR="00352E31">
        <w:t xml:space="preserve"> supplied the required information</w:t>
      </w:r>
      <w:r w:rsidR="00342018">
        <w:t xml:space="preserve">. </w:t>
      </w:r>
      <w:r w:rsidR="00352E31" w:rsidRPr="007A4BF8">
        <w:t>The IIGB could find n</w:t>
      </w:r>
      <w:r w:rsidR="00342018" w:rsidRPr="007A4BF8">
        <w:t xml:space="preserve">o </w:t>
      </w:r>
      <w:r w:rsidR="00511052">
        <w:t>evidence</w:t>
      </w:r>
      <w:r w:rsidR="00352E31" w:rsidRPr="007A4BF8">
        <w:t xml:space="preserve"> of problems</w:t>
      </w:r>
      <w:r w:rsidR="00342018" w:rsidRPr="007A4BF8">
        <w:t xml:space="preserve"> relat</w:t>
      </w:r>
      <w:r w:rsidR="00352E31" w:rsidRPr="007A4BF8">
        <w:t>ing</w:t>
      </w:r>
      <w:r w:rsidR="00342018" w:rsidRPr="007A4BF8">
        <w:t xml:space="preserve"> to </w:t>
      </w:r>
      <w:r w:rsidR="007A4BF8" w:rsidRPr="00BA65E3">
        <w:t xml:space="preserve">the department’s </w:t>
      </w:r>
      <w:r w:rsidR="00342018" w:rsidRPr="007A4BF8">
        <w:t>processes for regulating land bridging</w:t>
      </w:r>
      <w:r w:rsidR="00511052">
        <w:t xml:space="preserve"> of stores</w:t>
      </w:r>
      <w:r w:rsidR="00342018" w:rsidRPr="007A4BF8">
        <w:t>.</w:t>
      </w:r>
    </w:p>
    <w:p w14:paraId="64F03F44" w14:textId="77777777" w:rsidR="00342018" w:rsidRDefault="00342018" w:rsidP="00342018">
      <w:pPr>
        <w:pStyle w:val="Heading3"/>
      </w:pPr>
      <w:r>
        <w:t>Waste management</w:t>
      </w:r>
    </w:p>
    <w:p w14:paraId="6FB80538" w14:textId="77777777" w:rsidR="00342018" w:rsidRDefault="00342018" w:rsidP="00342018">
      <w:pPr>
        <w:pStyle w:val="ListNumber2"/>
        <w:ind w:hanging="578"/>
      </w:pPr>
      <w:r>
        <w:t xml:space="preserve">The management of waste generated on a vessel is regulated under the </w:t>
      </w:r>
      <w:r w:rsidRPr="0086556B">
        <w:rPr>
          <w:i/>
        </w:rPr>
        <w:t>Quarantine Act</w:t>
      </w:r>
      <w:r w:rsidRPr="00342018">
        <w:t xml:space="preserve"> </w:t>
      </w:r>
      <w:r w:rsidRPr="00E12868">
        <w:rPr>
          <w:i/>
        </w:rPr>
        <w:t>1908</w:t>
      </w:r>
      <w:r>
        <w:t xml:space="preserve"> and </w:t>
      </w:r>
      <w:r w:rsidRPr="0086556B">
        <w:rPr>
          <w:i/>
        </w:rPr>
        <w:t xml:space="preserve">Protection of the Sea (Prevention of Pollution from </w:t>
      </w:r>
      <w:r w:rsidR="0093669E">
        <w:rPr>
          <w:i/>
        </w:rPr>
        <w:t>S</w:t>
      </w:r>
      <w:r w:rsidRPr="0086556B">
        <w:rPr>
          <w:i/>
        </w:rPr>
        <w:t xml:space="preserve">hips) Act </w:t>
      </w:r>
      <w:r w:rsidRPr="00E12868">
        <w:rPr>
          <w:i/>
        </w:rPr>
        <w:t>1983</w:t>
      </w:r>
      <w:r>
        <w:t xml:space="preserve">. </w:t>
      </w:r>
      <w:r w:rsidRPr="00FC6098">
        <w:t xml:space="preserve">The </w:t>
      </w:r>
      <w:r w:rsidR="000F42A3" w:rsidRPr="00BA65E3">
        <w:t>latter Act</w:t>
      </w:r>
      <w:r w:rsidRPr="004C6B2D">
        <w:t xml:space="preserve"> gives effect to </w:t>
      </w:r>
      <w:r w:rsidR="009A71B7" w:rsidRPr="004C6B2D">
        <w:t>t</w:t>
      </w:r>
      <w:r w:rsidRPr="00A37EB2">
        <w:t xml:space="preserve">he </w:t>
      </w:r>
      <w:hyperlink r:id="rId24" w:history="1">
        <w:r w:rsidRPr="003E4C5F">
          <w:rPr>
            <w:rStyle w:val="Hyperlink"/>
          </w:rPr>
          <w:t>International Convention for the Prevention of Pollution from Ships</w:t>
        </w:r>
      </w:hyperlink>
      <w:r w:rsidRPr="00342018">
        <w:t xml:space="preserve"> (MARPOL)</w:t>
      </w:r>
      <w:r>
        <w:t>.</w:t>
      </w:r>
    </w:p>
    <w:p w14:paraId="01AD164E" w14:textId="77777777" w:rsidR="00342018" w:rsidRDefault="00342018" w:rsidP="00342018">
      <w:pPr>
        <w:pStyle w:val="ListNumber2"/>
        <w:ind w:hanging="578"/>
      </w:pPr>
      <w:r>
        <w:t>Annex V of MARPOL aims to prevent pollution by garbage from ships; food waste is one of the types of material covered.</w:t>
      </w:r>
    </w:p>
    <w:p w14:paraId="683D639C" w14:textId="77777777" w:rsidR="009A71B7" w:rsidRDefault="00342018" w:rsidP="00342018">
      <w:pPr>
        <w:pStyle w:val="ListNumber2"/>
        <w:ind w:hanging="578"/>
      </w:pPr>
      <w:r>
        <w:t>The department has developed policies for the management of biosecurity waste, both on shore and on board a vessel.</w:t>
      </w:r>
    </w:p>
    <w:p w14:paraId="16233723" w14:textId="77777777" w:rsidR="00342018" w:rsidRPr="00D9684A" w:rsidRDefault="00342018" w:rsidP="00BA65E3">
      <w:pPr>
        <w:pStyle w:val="ListNumber2"/>
        <w:ind w:hanging="578"/>
      </w:pPr>
      <w:r w:rsidRPr="00FC6098">
        <w:t>O</w:t>
      </w:r>
      <w:r w:rsidRPr="00D9684A">
        <w:t xml:space="preserve">nshore waste management </w:t>
      </w:r>
      <w:r w:rsidR="00864A01">
        <w:t>must comply with</w:t>
      </w:r>
      <w:r w:rsidRPr="00D9684A">
        <w:t xml:space="preserve"> the department’s </w:t>
      </w:r>
      <w:hyperlink r:id="rId25" w:history="1">
        <w:r w:rsidR="009A71B7" w:rsidRPr="00BA65E3">
          <w:rPr>
            <w:rStyle w:val="Hyperlink"/>
          </w:rPr>
          <w:t>Biosecurity Waste Management Business Policy</w:t>
        </w:r>
      </w:hyperlink>
      <w:r w:rsidR="00D9684A">
        <w:t xml:space="preserve"> (</w:t>
      </w:r>
      <w:r w:rsidR="003E4C5F">
        <w:t>Department of Agriculture 2016</w:t>
      </w:r>
      <w:r w:rsidR="00D31E84">
        <w:t>a</w:t>
      </w:r>
      <w:r w:rsidR="00D9684A">
        <w:t>). This</w:t>
      </w:r>
      <w:r w:rsidRPr="00FC6098">
        <w:t xml:space="preserve"> provides for either biosecurity officer supervision of th</w:t>
      </w:r>
      <w:r w:rsidRPr="00D9684A">
        <w:t xml:space="preserve">e waste handling process or operation under an </w:t>
      </w:r>
      <w:r w:rsidR="00D9684A">
        <w:t>a</w:t>
      </w:r>
      <w:r w:rsidRPr="00FC6098">
        <w:t xml:space="preserve">pproved </w:t>
      </w:r>
      <w:r w:rsidR="00D9684A">
        <w:t>a</w:t>
      </w:r>
      <w:r w:rsidRPr="00FC6098">
        <w:t xml:space="preserve">rrangement. Organisations operating under an approved arrangement are </w:t>
      </w:r>
      <w:r w:rsidR="00FC6098">
        <w:t>allowed</w:t>
      </w:r>
      <w:r w:rsidRPr="00FC6098">
        <w:t xml:space="preserve"> to undertake waste man</w:t>
      </w:r>
      <w:r w:rsidRPr="00D9684A">
        <w:t>agement proce</w:t>
      </w:r>
      <w:r w:rsidR="00511052">
        <w:t>dures</w:t>
      </w:r>
      <w:r w:rsidRPr="00D9684A">
        <w:t xml:space="preserve"> without direct departmental supervision.</w:t>
      </w:r>
    </w:p>
    <w:p w14:paraId="6006ED90" w14:textId="77777777" w:rsidR="00342018" w:rsidRDefault="00342018" w:rsidP="00342018">
      <w:pPr>
        <w:pStyle w:val="ListNumber2"/>
        <w:ind w:hanging="578"/>
      </w:pPr>
      <w:r w:rsidRPr="004C6B2D">
        <w:t>On a vessel, waste</w:t>
      </w:r>
      <w:r>
        <w:t xml:space="preserve"> management is </w:t>
      </w:r>
      <w:r w:rsidR="008F2CAB">
        <w:t xml:space="preserve">included </w:t>
      </w:r>
      <w:r>
        <w:t xml:space="preserve">as part of the department’s routine vessel inspection (RVI) protocol. </w:t>
      </w:r>
      <w:r w:rsidRPr="00A47F00">
        <w:t xml:space="preserve">International vessels arriving </w:t>
      </w:r>
      <w:r w:rsidR="00511052">
        <w:t>at</w:t>
      </w:r>
      <w:r w:rsidRPr="00A47F00">
        <w:t xml:space="preserve"> their first Australian port are subject to verification of compliance </w:t>
      </w:r>
      <w:r w:rsidR="0093669E">
        <w:t>with</w:t>
      </w:r>
      <w:r w:rsidRPr="00A47F00">
        <w:t xml:space="preserve"> waste management </w:t>
      </w:r>
      <w:r>
        <w:t>procedures</w:t>
      </w:r>
      <w:r w:rsidRPr="00A47F00">
        <w:t xml:space="preserve">. This </w:t>
      </w:r>
      <w:r>
        <w:t>requires</w:t>
      </w:r>
      <w:r w:rsidRPr="00A47F00">
        <w:t xml:space="preserve"> any waste on</w:t>
      </w:r>
      <w:r>
        <w:t xml:space="preserve"> </w:t>
      </w:r>
      <w:r w:rsidRPr="00A47F00">
        <w:t xml:space="preserve">board the vessel and waste held on the deck </w:t>
      </w:r>
      <w:r>
        <w:t>to be</w:t>
      </w:r>
      <w:r w:rsidRPr="00A47F00">
        <w:t xml:space="preserve"> appropriately secured</w:t>
      </w:r>
      <w:r w:rsidR="00FC6098">
        <w:t xml:space="preserve"> before it</w:t>
      </w:r>
      <w:r w:rsidRPr="00A47F00">
        <w:t xml:space="preserve"> </w:t>
      </w:r>
      <w:r w:rsidR="00FC6098">
        <w:t>is</w:t>
      </w:r>
      <w:r w:rsidRPr="00A47F00">
        <w:t xml:space="preserve"> offloaded for</w:t>
      </w:r>
      <w:r w:rsidR="00FC6098">
        <w:t xml:space="preserve"> collection by</w:t>
      </w:r>
      <w:r w:rsidRPr="00A47F00">
        <w:t xml:space="preserve"> onshore collection services</w:t>
      </w:r>
      <w:r>
        <w:t>.</w:t>
      </w:r>
    </w:p>
    <w:p w14:paraId="04D4A1D4" w14:textId="7363556D" w:rsidR="00342018" w:rsidRDefault="00DD74ED" w:rsidP="00342018">
      <w:pPr>
        <w:pStyle w:val="ListNumber2"/>
        <w:ind w:hanging="578"/>
      </w:pPr>
      <w:r>
        <w:t>Until recently, biosecurity officers were required to</w:t>
      </w:r>
      <w:r w:rsidR="00342018">
        <w:t xml:space="preserve"> seal galley grinders </w:t>
      </w:r>
      <w:r>
        <w:t xml:space="preserve">during a RVI inspection, </w:t>
      </w:r>
      <w:r w:rsidR="00342018">
        <w:t xml:space="preserve">to ensure that the vessel </w:t>
      </w:r>
      <w:r>
        <w:t>wa</w:t>
      </w:r>
      <w:r w:rsidR="00342018">
        <w:t xml:space="preserve">s unable to dispose of waste overboard. The seals </w:t>
      </w:r>
      <w:r>
        <w:t>could</w:t>
      </w:r>
      <w:r w:rsidR="00342018">
        <w:t xml:space="preserve"> be broken once the vessel </w:t>
      </w:r>
      <w:r>
        <w:t>wa</w:t>
      </w:r>
      <w:r w:rsidR="00342018">
        <w:t xml:space="preserve">s </w:t>
      </w:r>
      <w:r w:rsidR="00B170BA">
        <w:t xml:space="preserve">outside Australian </w:t>
      </w:r>
      <w:r w:rsidR="006316F3">
        <w:t>coastal</w:t>
      </w:r>
      <w:r w:rsidR="00B170BA">
        <w:t xml:space="preserve"> </w:t>
      </w:r>
      <w:r w:rsidR="00342018">
        <w:t xml:space="preserve">waters. The time, date and location </w:t>
      </w:r>
      <w:r w:rsidR="00F47960">
        <w:t xml:space="preserve">that </w:t>
      </w:r>
      <w:r w:rsidR="00342018">
        <w:t xml:space="preserve">seals </w:t>
      </w:r>
      <w:r w:rsidR="003E1723">
        <w:t xml:space="preserve">were </w:t>
      </w:r>
      <w:r w:rsidR="00342018">
        <w:t xml:space="preserve">broken </w:t>
      </w:r>
      <w:r w:rsidR="008A100B">
        <w:t xml:space="preserve">was </w:t>
      </w:r>
      <w:r w:rsidR="00342018">
        <w:t xml:space="preserve">recorded by the vessel’s responsible </w:t>
      </w:r>
      <w:r w:rsidR="00342018">
        <w:lastRenderedPageBreak/>
        <w:t xml:space="preserve">officer. The decision to break seals </w:t>
      </w:r>
      <w:r w:rsidR="003E1723">
        <w:t xml:space="preserve">was </w:t>
      </w:r>
      <w:r w:rsidR="00342018">
        <w:t xml:space="preserve">also </w:t>
      </w:r>
      <w:r w:rsidR="00B170BA">
        <w:t xml:space="preserve">related to </w:t>
      </w:r>
      <w:r w:rsidR="00342018">
        <w:t xml:space="preserve">the vessel’s obligations under </w:t>
      </w:r>
      <w:r w:rsidR="00257534" w:rsidRPr="004C6B2D">
        <w:t>A</w:t>
      </w:r>
      <w:r w:rsidR="00342018" w:rsidRPr="00A37EB2">
        <w:t>nnex</w:t>
      </w:r>
      <w:r w:rsidR="00342018">
        <w:t xml:space="preserve"> V of MARPOL.</w:t>
      </w:r>
    </w:p>
    <w:p w14:paraId="5F02D5CE" w14:textId="3D2040C7" w:rsidR="003E1723" w:rsidRDefault="004F4476" w:rsidP="001F15CC">
      <w:pPr>
        <w:pStyle w:val="ListNumber2"/>
        <w:ind w:hanging="578"/>
      </w:pPr>
      <w:r>
        <w:t>Since March 2016 t</w:t>
      </w:r>
      <w:r w:rsidR="003E1723">
        <w:t xml:space="preserve">he risks associated with the disposal of waste </w:t>
      </w:r>
      <w:r w:rsidR="0077290B">
        <w:t>while berthed or</w:t>
      </w:r>
      <w:r w:rsidR="003E1723">
        <w:t xml:space="preserve"> in Australian waters </w:t>
      </w:r>
      <w:r>
        <w:t>have</w:t>
      </w:r>
      <w:r w:rsidR="003E1723">
        <w:t xml:space="preserve"> be</w:t>
      </w:r>
      <w:r>
        <w:t>en</w:t>
      </w:r>
      <w:r w:rsidR="003E1723">
        <w:t xml:space="preserve"> managed through obligations imposed as part of a vessel’s Approval to Berth. An Approval to Berth is issued for </w:t>
      </w:r>
      <w:r w:rsidR="0077290B">
        <w:t xml:space="preserve">vessels entering </w:t>
      </w:r>
      <w:r w:rsidR="003E1723">
        <w:t>all Australian ports and includes a direction to the Master that ‘</w:t>
      </w:r>
      <w:r w:rsidR="003E1723" w:rsidRPr="003E1723">
        <w:t>Galley grinders, overboard waste discharge chutes and swing bins must not be used</w:t>
      </w:r>
      <w:r w:rsidR="003E1723">
        <w:t xml:space="preserve"> in Australian ports or waters’. A failure to comply with this direction is </w:t>
      </w:r>
      <w:r w:rsidR="0077290B">
        <w:t xml:space="preserve">deemed to be </w:t>
      </w:r>
      <w:r w:rsidR="003E1723">
        <w:t>an offence.</w:t>
      </w:r>
    </w:p>
    <w:p w14:paraId="6C5106CC" w14:textId="213FE07D" w:rsidR="00342018" w:rsidRDefault="00342018" w:rsidP="00342018">
      <w:pPr>
        <w:pStyle w:val="ListNumber2"/>
        <w:ind w:hanging="578"/>
      </w:pPr>
      <w:r>
        <w:t xml:space="preserve">Following an RVI at the first port of entry, a vessel may be subject to further random inspection at </w:t>
      </w:r>
      <w:r w:rsidR="00B170BA">
        <w:t xml:space="preserve">any </w:t>
      </w:r>
      <w:r w:rsidR="00A441AE">
        <w:t>other</w:t>
      </w:r>
      <w:r>
        <w:t xml:space="preserve"> Australian ports visi</w:t>
      </w:r>
      <w:r w:rsidRPr="004C6B2D">
        <w:t xml:space="preserve">ted, </w:t>
      </w:r>
      <w:r w:rsidR="00A441AE" w:rsidRPr="00A37EB2">
        <w:t>before</w:t>
      </w:r>
      <w:r w:rsidRPr="00A37EB2">
        <w:t xml:space="preserve"> </w:t>
      </w:r>
      <w:r w:rsidR="00A441AE" w:rsidRPr="00875E2E">
        <w:t>returning</w:t>
      </w:r>
      <w:r w:rsidRPr="00875E2E">
        <w:t xml:space="preserve"> overseas.</w:t>
      </w:r>
    </w:p>
    <w:p w14:paraId="7B7EB691" w14:textId="77777777" w:rsidR="00342018" w:rsidRPr="00082A2B" w:rsidRDefault="00342018" w:rsidP="00342018">
      <w:pPr>
        <w:pStyle w:val="Heading2numbered"/>
      </w:pPr>
      <w:bookmarkStart w:id="15" w:name="_Toc448492248"/>
      <w:r w:rsidRPr="00082A2B">
        <w:lastRenderedPageBreak/>
        <w:t>Observations</w:t>
      </w:r>
      <w:bookmarkEnd w:id="15"/>
    </w:p>
    <w:p w14:paraId="472EDF9F" w14:textId="77777777" w:rsidR="00342018" w:rsidRDefault="00342018" w:rsidP="00342018">
      <w:pPr>
        <w:pStyle w:val="Heading3"/>
      </w:pPr>
      <w:r>
        <w:t>Risk assessment and import conditions</w:t>
      </w:r>
    </w:p>
    <w:p w14:paraId="6C45B5D8" w14:textId="77777777" w:rsidR="00342018" w:rsidRDefault="00342018" w:rsidP="00342018">
      <w:pPr>
        <w:pStyle w:val="ListNumber2"/>
        <w:ind w:hanging="578"/>
      </w:pPr>
      <w:r>
        <w:t xml:space="preserve">Management of the risks associated with transhipping stores requires different processes to those normally used for importing goods into Australia. This was brought to the attention of the department in 2007 </w:t>
      </w:r>
      <w:r w:rsidR="00EB12B9">
        <w:t xml:space="preserve">after </w:t>
      </w:r>
      <w:r>
        <w:t>a cruise vessel company</w:t>
      </w:r>
      <w:r w:rsidR="00EB12B9">
        <w:t xml:space="preserve"> inquired</w:t>
      </w:r>
      <w:r>
        <w:t xml:space="preserve"> </w:t>
      </w:r>
      <w:r w:rsidR="00EB12B9">
        <w:t>about</w:t>
      </w:r>
      <w:r>
        <w:t xml:space="preserve"> transhipping stores. </w:t>
      </w:r>
      <w:r w:rsidR="00015782">
        <w:t>As a result,</w:t>
      </w:r>
      <w:r>
        <w:t xml:space="preserve"> the department s</w:t>
      </w:r>
      <w:r w:rsidR="00015782">
        <w:t>ought</w:t>
      </w:r>
      <w:r>
        <w:t xml:space="preserve"> legal advice</w:t>
      </w:r>
      <w:r w:rsidR="00015782">
        <w:t xml:space="preserve"> and was </w:t>
      </w:r>
      <w:r w:rsidR="00511052">
        <w:t>informed</w:t>
      </w:r>
      <w:r>
        <w:t xml:space="preserve"> that transhipped goods were subject to the </w:t>
      </w:r>
      <w:r w:rsidRPr="00E12868">
        <w:t>Quarantine Act</w:t>
      </w:r>
      <w:r>
        <w:t>.</w:t>
      </w:r>
    </w:p>
    <w:p w14:paraId="495E0C90" w14:textId="77777777" w:rsidR="00342018" w:rsidRDefault="00015782" w:rsidP="00342018">
      <w:pPr>
        <w:pStyle w:val="ListNumber2"/>
        <w:ind w:hanging="578"/>
      </w:pPr>
      <w:r>
        <w:t>T</w:t>
      </w:r>
      <w:r w:rsidR="00342018">
        <w:t xml:space="preserve">he department’s immediate response </w:t>
      </w:r>
      <w:r>
        <w:t xml:space="preserve">to the legal advice </w:t>
      </w:r>
      <w:r w:rsidR="00342018">
        <w:t>was to publish interim import conditions</w:t>
      </w:r>
      <w:r w:rsidR="00B170BA">
        <w:t>,</w:t>
      </w:r>
      <w:r w:rsidR="00342018">
        <w:t xml:space="preserve"> pending development of formal import conditions. The interim conditions allowed the transhipment of goods but only if they were not prohibited under the </w:t>
      </w:r>
      <w:r w:rsidR="00342018" w:rsidRPr="00E12868">
        <w:t>Quarantine Act</w:t>
      </w:r>
      <w:r w:rsidR="00342018">
        <w:t xml:space="preserve">. In addition, goods could only be imported in </w:t>
      </w:r>
      <w:r w:rsidR="00342018" w:rsidRPr="004C6B2D">
        <w:t>FCL</w:t>
      </w:r>
      <w:r w:rsidR="00342018">
        <w:t xml:space="preserve"> containers or unit loading devices </w:t>
      </w:r>
      <w:r w:rsidR="00785259">
        <w:t>that</w:t>
      </w:r>
      <w:r w:rsidR="00342018">
        <w:t xml:space="preserve"> were able to be held seals intact before export.</w:t>
      </w:r>
    </w:p>
    <w:p w14:paraId="3814DC23" w14:textId="224D79EF" w:rsidR="00342018" w:rsidRDefault="00342018" w:rsidP="00342018">
      <w:pPr>
        <w:pStyle w:val="ListNumber2"/>
        <w:ind w:hanging="578"/>
      </w:pPr>
      <w:r>
        <w:t xml:space="preserve">The import </w:t>
      </w:r>
      <w:r w:rsidR="00033894">
        <w:t>conditions</w:t>
      </w:r>
      <w:r>
        <w:t xml:space="preserve"> were released in August 2008</w:t>
      </w:r>
      <w:r w:rsidR="00033894">
        <w:t>,</w:t>
      </w:r>
      <w:r>
        <w:t xml:space="preserve"> requir</w:t>
      </w:r>
      <w:r w:rsidR="00033894">
        <w:t>ing</w:t>
      </w:r>
      <w:r>
        <w:t xml:space="preserve"> all transhipped goods to have an import permit. This was more stringent than the historical or interim import conditions. </w:t>
      </w:r>
      <w:r w:rsidR="00640E72">
        <w:t>In contrast to the interim conditions</w:t>
      </w:r>
      <w:r w:rsidR="00B170BA">
        <w:t>,</w:t>
      </w:r>
      <w:r>
        <w:t xml:space="preserve"> the </w:t>
      </w:r>
      <w:r w:rsidR="00396DEE">
        <w:t xml:space="preserve">revised </w:t>
      </w:r>
      <w:r>
        <w:t>import conditions allow</w:t>
      </w:r>
      <w:r w:rsidR="00EB07FD">
        <w:t>ed</w:t>
      </w:r>
      <w:r>
        <w:t xml:space="preserve"> for importation of prohibited goods.</w:t>
      </w:r>
    </w:p>
    <w:p w14:paraId="134DECCE" w14:textId="7FC6EF25" w:rsidR="00342018" w:rsidRDefault="00342018" w:rsidP="00342018">
      <w:pPr>
        <w:pStyle w:val="ListNumber2"/>
        <w:ind w:hanging="578"/>
      </w:pPr>
      <w:r>
        <w:t xml:space="preserve">Import conditions for transhipped goods changed </w:t>
      </w:r>
      <w:r w:rsidR="00EB07FD">
        <w:t>little</w:t>
      </w:r>
      <w:r>
        <w:t xml:space="preserve"> </w:t>
      </w:r>
      <w:r w:rsidR="00110872">
        <w:t>after their</w:t>
      </w:r>
      <w:r>
        <w:t xml:space="preserve"> </w:t>
      </w:r>
      <w:r w:rsidR="00B170BA">
        <w:t>initial</w:t>
      </w:r>
      <w:r w:rsidR="00EB07FD">
        <w:t xml:space="preserve"> </w:t>
      </w:r>
      <w:r>
        <w:t>publication in 2008</w:t>
      </w:r>
      <w:r w:rsidR="00110872">
        <w:t>,</w:t>
      </w:r>
      <w:r w:rsidR="00396DEE">
        <w:t xml:space="preserve"> until a full review of import conditions and procedures was conducted </w:t>
      </w:r>
      <w:r w:rsidR="002B7072">
        <w:t xml:space="preserve">in </w:t>
      </w:r>
      <w:r w:rsidR="00396DEE">
        <w:t>2012</w:t>
      </w:r>
      <w:r w:rsidR="002B7072">
        <w:t xml:space="preserve">/13. </w:t>
      </w:r>
      <w:r>
        <w:t xml:space="preserve"> </w:t>
      </w:r>
      <w:r w:rsidR="00396DEE">
        <w:t xml:space="preserve">As a result of this review, transhipped goods were categorised based on </w:t>
      </w:r>
      <w:r w:rsidR="00110872">
        <w:t xml:space="preserve">biosecurity </w:t>
      </w:r>
      <w:r w:rsidR="00396DEE">
        <w:t>risk</w:t>
      </w:r>
      <w:r w:rsidR="004424CC">
        <w:t>. The categorisation of risk allowed the introduction of</w:t>
      </w:r>
      <w:r w:rsidR="00110872">
        <w:t xml:space="preserve"> </w:t>
      </w:r>
      <w:r>
        <w:t xml:space="preserve">deconsolidation </w:t>
      </w:r>
      <w:r w:rsidR="004424CC">
        <w:t xml:space="preserve">for </w:t>
      </w:r>
      <w:r w:rsidR="00396DEE">
        <w:t>category 2</w:t>
      </w:r>
      <w:r>
        <w:t xml:space="preserve"> transhipped goods under specific circumstances</w:t>
      </w:r>
      <w:r w:rsidR="00396DEE">
        <w:t xml:space="preserve"> and land</w:t>
      </w:r>
      <w:r w:rsidR="00110872">
        <w:t xml:space="preserve"> </w:t>
      </w:r>
      <w:r w:rsidR="00396DEE">
        <w:t>bridging with prior approval.</w:t>
      </w:r>
      <w:r w:rsidR="00110872">
        <w:t xml:space="preserve"> </w:t>
      </w:r>
      <w:r w:rsidR="00396DEE">
        <w:t>These revised import conditions were implemented in March 2014 and a new ICON case was published.</w:t>
      </w:r>
      <w:r>
        <w:t xml:space="preserve"> </w:t>
      </w:r>
      <w:r w:rsidR="00396DEE">
        <w:t xml:space="preserve">These </w:t>
      </w:r>
      <w:r>
        <w:t>change</w:t>
      </w:r>
      <w:r w:rsidR="00110872">
        <w:t>s</w:t>
      </w:r>
      <w:r>
        <w:t xml:space="preserve"> w</w:t>
      </w:r>
      <w:r w:rsidR="00110872">
        <w:t>ere</w:t>
      </w:r>
      <w:r>
        <w:t xml:space="preserve"> </w:t>
      </w:r>
      <w:r w:rsidR="00110872">
        <w:t>introduced,</w:t>
      </w:r>
      <w:r>
        <w:t xml:space="preserve"> following consultation with industry.</w:t>
      </w:r>
    </w:p>
    <w:p w14:paraId="2F825641" w14:textId="4015DDD2" w:rsidR="00342018" w:rsidRDefault="00EB07FD" w:rsidP="00342018">
      <w:pPr>
        <w:pStyle w:val="ListNumber2"/>
        <w:ind w:hanging="578"/>
      </w:pPr>
      <w:r>
        <w:t>T</w:t>
      </w:r>
      <w:r w:rsidR="00342018">
        <w:t>ranshipped goods are not intended for use in Australia</w:t>
      </w:r>
      <w:r>
        <w:t>,</w:t>
      </w:r>
      <w:r w:rsidR="00342018">
        <w:t xml:space="preserve"> </w:t>
      </w:r>
      <w:r>
        <w:t xml:space="preserve">so </w:t>
      </w:r>
      <w:r w:rsidR="00D156CC">
        <w:t xml:space="preserve">if correctly controlled, </w:t>
      </w:r>
      <w:r>
        <w:t xml:space="preserve">they </w:t>
      </w:r>
      <w:r w:rsidR="00342018">
        <w:t xml:space="preserve">would not be considered a serious biosecurity risk. </w:t>
      </w:r>
      <w:r>
        <w:t>C</w:t>
      </w:r>
      <w:r w:rsidR="00342018">
        <w:t xml:space="preserve">urrent import conditions for transhipped goods aim to ensure that the goods remain isolated and are not exposed to the Australian environment. This approach is </w:t>
      </w:r>
      <w:r>
        <w:t>similar to</w:t>
      </w:r>
      <w:r w:rsidR="00342018">
        <w:t xml:space="preserve"> the export process used by the department </w:t>
      </w:r>
      <w:r w:rsidR="0000062B">
        <w:t>when goods imported for use in Australia are</w:t>
      </w:r>
      <w:r w:rsidR="0000062B" w:rsidDel="0000062B">
        <w:t xml:space="preserve"> </w:t>
      </w:r>
      <w:r w:rsidR="0000062B">
        <w:t xml:space="preserve">found to be </w:t>
      </w:r>
      <w:r w:rsidR="00342018">
        <w:t xml:space="preserve">prohibited or </w:t>
      </w:r>
      <w:r w:rsidR="0000062B">
        <w:t>cannot be</w:t>
      </w:r>
      <w:r w:rsidR="00342018">
        <w:t xml:space="preserve"> </w:t>
      </w:r>
      <w:r w:rsidR="0000062B">
        <w:t xml:space="preserve">suitably </w:t>
      </w:r>
      <w:r w:rsidR="00342018">
        <w:t>treat</w:t>
      </w:r>
      <w:r w:rsidR="0000062B">
        <w:t>ed.</w:t>
      </w:r>
    </w:p>
    <w:p w14:paraId="3633D707" w14:textId="77777777" w:rsidR="00342018" w:rsidRDefault="00342018" w:rsidP="00342018">
      <w:pPr>
        <w:pStyle w:val="ListNumber2"/>
        <w:ind w:hanging="578"/>
      </w:pPr>
      <w:r>
        <w:t>The IIGB believes that the import requirements contained in current import permits are appropriate for managing the risks posed by transhipped stores.</w:t>
      </w:r>
    </w:p>
    <w:p w14:paraId="7DCCF218" w14:textId="54C7BF7B" w:rsidR="00342018" w:rsidRDefault="0000062B" w:rsidP="00342018">
      <w:pPr>
        <w:pStyle w:val="ListNumber2"/>
        <w:ind w:hanging="578"/>
      </w:pPr>
      <w:r>
        <w:t>T</w:t>
      </w:r>
      <w:r w:rsidR="00342018">
        <w:t xml:space="preserve">he IIGB is </w:t>
      </w:r>
      <w:r w:rsidR="0004211B">
        <w:t xml:space="preserve">generally satisfied </w:t>
      </w:r>
      <w:r w:rsidR="0051689F">
        <w:t>with</w:t>
      </w:r>
      <w:r w:rsidR="0004211B">
        <w:t xml:space="preserve"> the effectiveness of </w:t>
      </w:r>
      <w:r w:rsidR="00342018">
        <w:t>the existing import conditions</w:t>
      </w:r>
      <w:r w:rsidR="0051689F">
        <w:t>. However</w:t>
      </w:r>
      <w:r w:rsidR="0004211B">
        <w:t>,</w:t>
      </w:r>
      <w:r w:rsidR="00342018">
        <w:t xml:space="preserve"> the ongoing concern from some industry </w:t>
      </w:r>
      <w:r w:rsidR="00342018" w:rsidRPr="0086097E">
        <w:t>participants</w:t>
      </w:r>
      <w:r w:rsidR="0051689F">
        <w:t xml:space="preserve"> </w:t>
      </w:r>
      <w:r w:rsidR="0086097E">
        <w:t xml:space="preserve">involved in </w:t>
      </w:r>
      <w:r w:rsidR="0051689F">
        <w:t>consult</w:t>
      </w:r>
      <w:r w:rsidR="0086097E">
        <w:t>ations</w:t>
      </w:r>
      <w:r w:rsidR="0004211B">
        <w:t xml:space="preserve"> indicate</w:t>
      </w:r>
      <w:r w:rsidR="0051689F">
        <w:t xml:space="preserve">s </w:t>
      </w:r>
      <w:r w:rsidR="0086097E">
        <w:t>that</w:t>
      </w:r>
      <w:r w:rsidR="0004211B">
        <w:t xml:space="preserve"> the department</w:t>
      </w:r>
      <w:r w:rsidR="0086097E">
        <w:t xml:space="preserve"> needs to improve its</w:t>
      </w:r>
      <w:r w:rsidR="0004211B">
        <w:t xml:space="preserve"> </w:t>
      </w:r>
      <w:r w:rsidR="00342018">
        <w:t xml:space="preserve">consultation </w:t>
      </w:r>
      <w:r w:rsidR="0004211B">
        <w:t xml:space="preserve">process </w:t>
      </w:r>
      <w:r w:rsidR="00342018">
        <w:t xml:space="preserve">and </w:t>
      </w:r>
      <w:r w:rsidR="0004211B">
        <w:t xml:space="preserve">explanation of </w:t>
      </w:r>
      <w:r w:rsidR="00143DE4">
        <w:t xml:space="preserve">any </w:t>
      </w:r>
      <w:r w:rsidR="0004211B">
        <w:t>changes</w:t>
      </w:r>
      <w:r w:rsidR="00342018">
        <w:t xml:space="preserve">. </w:t>
      </w:r>
      <w:r w:rsidR="00F44A60">
        <w:t>T</w:t>
      </w:r>
      <w:r w:rsidR="00342018">
        <w:t xml:space="preserve">he department </w:t>
      </w:r>
      <w:r w:rsidR="00F44A60">
        <w:t>appears to have underestimated</w:t>
      </w:r>
      <w:r w:rsidR="00342018">
        <w:t xml:space="preserve"> the importance of the issue to some industry</w:t>
      </w:r>
      <w:r w:rsidR="0004211B">
        <w:t xml:space="preserve"> stakeholders</w:t>
      </w:r>
      <w:r w:rsidR="00342018">
        <w:t>. Once aware of the importance of th</w:t>
      </w:r>
      <w:r w:rsidR="00143DE4">
        <w:t>is</w:t>
      </w:r>
      <w:r w:rsidR="00342018">
        <w:t xml:space="preserve"> issue</w:t>
      </w:r>
      <w:r w:rsidR="0004211B">
        <w:t>,</w:t>
      </w:r>
      <w:r w:rsidR="000518D5">
        <w:t xml:space="preserve"> t</w:t>
      </w:r>
      <w:r w:rsidR="00342018">
        <w:t xml:space="preserve">he department did undertake </w:t>
      </w:r>
      <w:r w:rsidR="000518D5">
        <w:t>more extensive</w:t>
      </w:r>
      <w:r w:rsidR="00342018">
        <w:t xml:space="preserve"> consultation when subsequently modifying the import conditions</w:t>
      </w:r>
      <w:r w:rsidR="00D31E84">
        <w:t xml:space="preserve"> for transhipped cargo</w:t>
      </w:r>
      <w:r w:rsidR="002B7072">
        <w:t xml:space="preserve"> as part of </w:t>
      </w:r>
      <w:r w:rsidR="009A50BC">
        <w:t>the review conducted in 2012/13.</w:t>
      </w:r>
    </w:p>
    <w:p w14:paraId="3A7078A8" w14:textId="77777777" w:rsidR="00342018" w:rsidRDefault="00342018" w:rsidP="00342018">
      <w:pPr>
        <w:pStyle w:val="ListNumber2"/>
        <w:ind w:hanging="578"/>
      </w:pPr>
      <w:r>
        <w:t xml:space="preserve">Consultation processes with interested parties outside the department are likely to improve </w:t>
      </w:r>
      <w:r w:rsidR="000518D5">
        <w:t>when</w:t>
      </w:r>
      <w:r>
        <w:t xml:space="preserve"> the </w:t>
      </w:r>
      <w:r w:rsidRPr="00D76820">
        <w:rPr>
          <w:i/>
        </w:rPr>
        <w:t>Biosecurity Act</w:t>
      </w:r>
      <w:r w:rsidRPr="00342018">
        <w:t xml:space="preserve"> </w:t>
      </w:r>
      <w:r w:rsidRPr="00E12868">
        <w:rPr>
          <w:i/>
        </w:rPr>
        <w:t>2015</w:t>
      </w:r>
      <w:r>
        <w:t xml:space="preserve"> </w:t>
      </w:r>
      <w:r w:rsidR="000518D5">
        <w:t xml:space="preserve">comes into force </w:t>
      </w:r>
      <w:r>
        <w:t>in June 2016</w:t>
      </w:r>
      <w:r w:rsidR="000518D5">
        <w:t xml:space="preserve">. </w:t>
      </w:r>
      <w:r w:rsidR="000518D5" w:rsidRPr="004C6B2D">
        <w:t>T</w:t>
      </w:r>
      <w:r w:rsidRPr="00A37EB2">
        <w:t xml:space="preserve">he </w:t>
      </w:r>
      <w:hyperlink r:id="rId26" w:history="1">
        <w:r w:rsidRPr="00C208A5">
          <w:t>Biosecurity Import Risk Analysis Guidelines 2015</w:t>
        </w:r>
      </w:hyperlink>
      <w:r w:rsidRPr="00C208A5">
        <w:t xml:space="preserve"> </w:t>
      </w:r>
      <w:r w:rsidR="000518D5" w:rsidRPr="00C208A5">
        <w:t>(</w:t>
      </w:r>
      <w:r w:rsidR="00C208A5">
        <w:t>Department of Agriculture 2016b</w:t>
      </w:r>
      <w:r w:rsidR="000518D5" w:rsidRPr="00C208A5">
        <w:t xml:space="preserve">) </w:t>
      </w:r>
      <w:r w:rsidRPr="00C208A5">
        <w:t>outline consultation processes</w:t>
      </w:r>
      <w:r>
        <w:t xml:space="preserve"> </w:t>
      </w:r>
      <w:r w:rsidR="0004211B">
        <w:t xml:space="preserve">required </w:t>
      </w:r>
      <w:r>
        <w:t>for non</w:t>
      </w:r>
      <w:r>
        <w:noBreakHyphen/>
        <w:t xml:space="preserve">regulated risk assessments. </w:t>
      </w:r>
      <w:r w:rsidR="00363157">
        <w:t xml:space="preserve">The non-regulated communication process would be provide a suitable mechanism for managing industry </w:t>
      </w:r>
      <w:r w:rsidR="00D156CC">
        <w:t>consultation</w:t>
      </w:r>
      <w:r w:rsidR="00363157">
        <w:t xml:space="preserve"> in the future. </w:t>
      </w:r>
      <w:r w:rsidR="00BA718B">
        <w:t xml:space="preserve">The </w:t>
      </w:r>
      <w:r w:rsidR="00E1402F">
        <w:t xml:space="preserve">guidelines </w:t>
      </w:r>
      <w:r w:rsidR="00D156CC">
        <w:t>should</w:t>
      </w:r>
      <w:r w:rsidR="00E1402F">
        <w:t xml:space="preserve"> help the </w:t>
      </w:r>
      <w:r w:rsidR="00BA718B">
        <w:t>department build i</w:t>
      </w:r>
      <w:r w:rsidR="00B93764">
        <w:t xml:space="preserve">ndustry </w:t>
      </w:r>
      <w:r w:rsidR="00B93764">
        <w:lastRenderedPageBreak/>
        <w:t xml:space="preserve">confidence </w:t>
      </w:r>
      <w:r w:rsidR="00BA718B">
        <w:t xml:space="preserve">in its risk assessments by sharing information </w:t>
      </w:r>
      <w:r>
        <w:t xml:space="preserve">and </w:t>
      </w:r>
      <w:r w:rsidR="0004211B">
        <w:t>explain</w:t>
      </w:r>
      <w:r w:rsidR="00BA718B">
        <w:t>ing</w:t>
      </w:r>
      <w:r w:rsidR="0004211B">
        <w:t xml:space="preserve"> </w:t>
      </w:r>
      <w:r w:rsidR="00BA718B">
        <w:t>how it use</w:t>
      </w:r>
      <w:r w:rsidR="00E1402F">
        <w:t>s</w:t>
      </w:r>
      <w:r w:rsidR="00BA718B">
        <w:t xml:space="preserve"> that information to reach</w:t>
      </w:r>
      <w:r w:rsidR="005057EB">
        <w:t xml:space="preserve"> </w:t>
      </w:r>
      <w:r w:rsidR="0004211B">
        <w:t>decisions</w:t>
      </w:r>
      <w:r>
        <w:t xml:space="preserve">. </w:t>
      </w:r>
      <w:r w:rsidR="00E1402F">
        <w:t>B</w:t>
      </w:r>
      <w:r>
        <w:t>uilding improved understanding</w:t>
      </w:r>
      <w:r w:rsidR="0004211B">
        <w:t xml:space="preserve"> among stakeholders</w:t>
      </w:r>
      <w:r w:rsidR="00E1402F">
        <w:t xml:space="preserve"> will benefit all parties involved</w:t>
      </w:r>
      <w:r w:rsidR="00CF0577">
        <w:t>, particularly</w:t>
      </w:r>
      <w:r w:rsidR="00E1402F">
        <w:t xml:space="preserve"> in relation to </w:t>
      </w:r>
      <w:r>
        <w:t>sensitive topics.</w:t>
      </w:r>
    </w:p>
    <w:p w14:paraId="07D19B47" w14:textId="77777777" w:rsidR="00342018" w:rsidRDefault="00342018" w:rsidP="00342018">
      <w:pPr>
        <w:pStyle w:val="Heading3"/>
      </w:pPr>
      <w:r>
        <w:t>Border activities</w:t>
      </w:r>
    </w:p>
    <w:p w14:paraId="0F3EA8E5" w14:textId="77777777" w:rsidR="00342018" w:rsidRDefault="00342018" w:rsidP="00342018">
      <w:pPr>
        <w:pStyle w:val="ListNumber2"/>
        <w:ind w:hanging="578"/>
      </w:pPr>
      <w:r>
        <w:t xml:space="preserve">Vessel stores intended for transhipping are first identified when reported in the </w:t>
      </w:r>
      <w:r w:rsidR="00F05DFA">
        <w:t>Integrated Cargo S</w:t>
      </w:r>
      <w:r>
        <w:t xml:space="preserve">ystem (ICS). Identification occurs through profiles targeting transhipped goods. These profiles place a hold on the cargo and prevent movement of the goods until </w:t>
      </w:r>
      <w:r w:rsidR="00BE0FA4">
        <w:t xml:space="preserve">they are </w:t>
      </w:r>
      <w:r>
        <w:t>released by a biosecurity officer.</w:t>
      </w:r>
    </w:p>
    <w:p w14:paraId="71E21236" w14:textId="77777777" w:rsidR="00342018" w:rsidRDefault="00342018" w:rsidP="00342018">
      <w:pPr>
        <w:pStyle w:val="ListNumber2"/>
        <w:ind w:hanging="578"/>
      </w:pPr>
      <w:r>
        <w:t xml:space="preserve">The department continually monitors the efficiency and effectiveness of ICS profiles used to target transhipped stores. </w:t>
      </w:r>
      <w:r w:rsidR="00BE0FA4">
        <w:t>The IIGB observed the department’s m</w:t>
      </w:r>
      <w:r>
        <w:t>odifications to profiles in 2014 and 2015. These changes were</w:t>
      </w:r>
      <w:r w:rsidR="00BE0FA4">
        <w:t xml:space="preserve"> made as</w:t>
      </w:r>
      <w:r>
        <w:t xml:space="preserve"> </w:t>
      </w:r>
      <w:r w:rsidR="00BE0FA4">
        <w:t>a result of</w:t>
      </w:r>
      <w:r>
        <w:t xml:space="preserve"> </w:t>
      </w:r>
      <w:r w:rsidR="00BE0FA4">
        <w:t>several</w:t>
      </w:r>
      <w:r>
        <w:t xml:space="preserve"> consignments bypassing the profile.</w:t>
      </w:r>
    </w:p>
    <w:p w14:paraId="08E1843A" w14:textId="77777777" w:rsidR="00342018" w:rsidRDefault="00342018" w:rsidP="00342018">
      <w:pPr>
        <w:pStyle w:val="ListNumber2"/>
        <w:ind w:hanging="578"/>
      </w:pPr>
      <w:r>
        <w:t>To allow transhipped stores to be moved from their initial import location</w:t>
      </w:r>
      <w:r w:rsidR="00264C4E">
        <w:t>,</w:t>
      </w:r>
      <w:r>
        <w:t xml:space="preserve"> the hold applied by the ICS profile must be removed. </w:t>
      </w:r>
      <w:r w:rsidR="00BE0FA4">
        <w:t xml:space="preserve">A biosecurity officer </w:t>
      </w:r>
      <w:r>
        <w:t xml:space="preserve">may remove </w:t>
      </w:r>
      <w:r w:rsidR="00BE0FA4">
        <w:t>the hold</w:t>
      </w:r>
      <w:r>
        <w:t xml:space="preserve"> once the importer or their agent has created a manual entry in the department’s AIMS system and presented document</w:t>
      </w:r>
      <w:r w:rsidR="00BE0FA4">
        <w:t>s</w:t>
      </w:r>
      <w:r>
        <w:t xml:space="preserve"> for assessment. During document assessment a biosecurity officer can determine appropriate import requirements based on the details contained in the cargo manifest. The manual quarantine entry is used to give effect to the import conditions and the ICS hold can be removed. The process for identifying and clearing transhipped ship</w:t>
      </w:r>
      <w:r w:rsidR="00264C4E">
        <w:t>s</w:t>
      </w:r>
      <w:r>
        <w:t xml:space="preserve"> stores is </w:t>
      </w:r>
      <w:r w:rsidRPr="004C6B2D">
        <w:t xml:space="preserve">outlined in </w:t>
      </w:r>
      <w:r w:rsidR="007965C2" w:rsidRPr="00BA65E3">
        <w:t>A</w:t>
      </w:r>
      <w:r w:rsidRPr="004C6B2D">
        <w:t>ppendix A</w:t>
      </w:r>
      <w:r>
        <w:t>.</w:t>
      </w:r>
    </w:p>
    <w:p w14:paraId="4E9A5A0B" w14:textId="77777777" w:rsidR="00342018" w:rsidRDefault="00656BE4" w:rsidP="00342018">
      <w:pPr>
        <w:pStyle w:val="ListNumber2"/>
        <w:ind w:hanging="578"/>
      </w:pPr>
      <w:r>
        <w:t>According</w:t>
      </w:r>
      <w:r w:rsidR="00363157">
        <w:t xml:space="preserve"> to</w:t>
      </w:r>
      <w:r>
        <w:t xml:space="preserve"> the department’s records, m</w:t>
      </w:r>
      <w:r w:rsidR="00342018">
        <w:t>ost transhipped stores (95</w:t>
      </w:r>
      <w:r w:rsidR="00301D75">
        <w:t xml:space="preserve"> per cent</w:t>
      </w:r>
      <w:r w:rsidR="00342018">
        <w:t>) are transported in FCL containers. Transport by FCL facilitates easy handling and risk management of the cargo</w:t>
      </w:r>
      <w:r>
        <w:t xml:space="preserve"> because</w:t>
      </w:r>
      <w:r w:rsidR="00342018">
        <w:t xml:space="preserve"> the cargo can be held seals intact. The integrity of seals </w:t>
      </w:r>
      <w:r w:rsidR="00342018" w:rsidRPr="004C6B2D">
        <w:t>intact</w:t>
      </w:r>
      <w:r w:rsidR="00342018">
        <w:t xml:space="preserve"> cargo can be </w:t>
      </w:r>
      <w:r w:rsidR="00264C4E">
        <w:t xml:space="preserve">easily </w:t>
      </w:r>
      <w:r w:rsidR="00342018">
        <w:t>verified at the point of unpacking and loading onto the departing vesse</w:t>
      </w:r>
      <w:r w:rsidR="006B4232">
        <w:t>l (</w:t>
      </w:r>
      <w:r w:rsidR="00A43EC2">
        <w:fldChar w:fldCharType="begin"/>
      </w:r>
      <w:r w:rsidR="006425DC">
        <w:instrText xml:space="preserve"> REF _Ref445203849 \h </w:instrText>
      </w:r>
      <w:r w:rsidR="00A43EC2">
        <w:fldChar w:fldCharType="separate"/>
      </w:r>
      <w:r w:rsidR="0012621F">
        <w:t xml:space="preserve">Figure </w:t>
      </w:r>
      <w:r w:rsidR="0012621F">
        <w:rPr>
          <w:noProof/>
        </w:rPr>
        <w:t>2</w:t>
      </w:r>
      <w:r w:rsidR="00A43EC2">
        <w:fldChar w:fldCharType="end"/>
      </w:r>
      <w:r w:rsidR="006425DC">
        <w:t xml:space="preserve"> and </w:t>
      </w:r>
      <w:r w:rsidR="00A43EC2">
        <w:fldChar w:fldCharType="begin"/>
      </w:r>
      <w:r w:rsidR="006425DC">
        <w:instrText xml:space="preserve"> REF _Ref445203801 \h </w:instrText>
      </w:r>
      <w:r w:rsidR="00A43EC2">
        <w:fldChar w:fldCharType="separate"/>
      </w:r>
      <w:r w:rsidR="0012621F">
        <w:t xml:space="preserve">Figure </w:t>
      </w:r>
      <w:r w:rsidR="0012621F">
        <w:rPr>
          <w:noProof/>
        </w:rPr>
        <w:t>3</w:t>
      </w:r>
      <w:r w:rsidR="00A43EC2">
        <w:fldChar w:fldCharType="end"/>
      </w:r>
      <w:r w:rsidR="006B4232">
        <w:t>)</w:t>
      </w:r>
      <w:r w:rsidR="00342018">
        <w:t>.</w:t>
      </w:r>
    </w:p>
    <w:p w14:paraId="127D41F3" w14:textId="77777777" w:rsidR="005005BE" w:rsidRDefault="00A2749F" w:rsidP="000D01FE">
      <w:pPr>
        <w:pStyle w:val="Caption"/>
      </w:pPr>
      <w:bookmarkStart w:id="16" w:name="_Ref445203849"/>
      <w:r>
        <w:t xml:space="preserve">Figure </w:t>
      </w:r>
      <w:r w:rsidR="00A43EC2">
        <w:fldChar w:fldCharType="begin"/>
      </w:r>
      <w:r w:rsidR="007725A9">
        <w:instrText xml:space="preserve"> SEQ Figure \* ARABIC </w:instrText>
      </w:r>
      <w:r w:rsidR="00A43EC2">
        <w:fldChar w:fldCharType="separate"/>
      </w:r>
      <w:r w:rsidR="0012621F">
        <w:rPr>
          <w:noProof/>
        </w:rPr>
        <w:t>2</w:t>
      </w:r>
      <w:r w:rsidR="00A43EC2">
        <w:rPr>
          <w:noProof/>
        </w:rPr>
        <w:fldChar w:fldCharType="end"/>
      </w:r>
      <w:bookmarkEnd w:id="16"/>
      <w:r w:rsidR="005005BE">
        <w:t xml:space="preserve"> </w:t>
      </w:r>
      <w:r w:rsidR="00D34F9E">
        <w:t>V</w:t>
      </w:r>
      <w:r w:rsidR="002B6082">
        <w:t>erif</w:t>
      </w:r>
      <w:r w:rsidR="00D34F9E">
        <w:t>ying</w:t>
      </w:r>
      <w:r w:rsidR="002B6082">
        <w:t xml:space="preserve"> s</w:t>
      </w:r>
      <w:r w:rsidR="005005BE">
        <w:t xml:space="preserve">eal at wharf </w:t>
      </w:r>
      <w:r w:rsidR="002B6082">
        <w:t>before</w:t>
      </w:r>
      <w:r w:rsidR="005005BE">
        <w:t xml:space="preserve"> opening </w:t>
      </w:r>
      <w:r w:rsidR="00893598">
        <w:t xml:space="preserve">a </w:t>
      </w:r>
      <w:r w:rsidR="005005BE">
        <w:t>container</w:t>
      </w:r>
    </w:p>
    <w:p w14:paraId="6A57B49B" w14:textId="77777777" w:rsidR="001A47EC" w:rsidRDefault="001A47EC" w:rsidP="001A47EC">
      <w:pPr>
        <w:pStyle w:val="ListNumber2"/>
        <w:numPr>
          <w:ilvl w:val="0"/>
          <w:numId w:val="0"/>
        </w:numPr>
        <w:ind w:left="720"/>
      </w:pPr>
      <w:r>
        <w:rPr>
          <w:noProof/>
          <w:lang w:eastAsia="en-AU"/>
        </w:rPr>
        <w:drawing>
          <wp:inline distT="0" distB="0" distL="0" distR="0" wp14:anchorId="6E0DF32C" wp14:editId="2836C08B">
            <wp:extent cx="3772800" cy="34596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2800" cy="3459600"/>
                    </a:xfrm>
                    <a:prstGeom prst="rect">
                      <a:avLst/>
                    </a:prstGeom>
                    <a:noFill/>
                    <a:ln>
                      <a:noFill/>
                    </a:ln>
                  </pic:spPr>
                </pic:pic>
              </a:graphicData>
            </a:graphic>
          </wp:inline>
        </w:drawing>
      </w:r>
    </w:p>
    <w:p w14:paraId="41B89A64" w14:textId="77777777" w:rsidR="005005BE" w:rsidRPr="00A2749F" w:rsidRDefault="00A2749F" w:rsidP="000D01FE">
      <w:pPr>
        <w:pStyle w:val="Caption"/>
      </w:pPr>
      <w:bookmarkStart w:id="17" w:name="_Ref445203801"/>
      <w:r>
        <w:lastRenderedPageBreak/>
        <w:t xml:space="preserve">Figure </w:t>
      </w:r>
      <w:r w:rsidR="00A43EC2">
        <w:fldChar w:fldCharType="begin"/>
      </w:r>
      <w:r w:rsidR="007725A9">
        <w:instrText xml:space="preserve"> SEQ Figure \* ARABIC </w:instrText>
      </w:r>
      <w:r w:rsidR="00A43EC2">
        <w:fldChar w:fldCharType="separate"/>
      </w:r>
      <w:r w:rsidR="0012621F">
        <w:rPr>
          <w:noProof/>
        </w:rPr>
        <w:t>3</w:t>
      </w:r>
      <w:r w:rsidR="00A43EC2">
        <w:rPr>
          <w:noProof/>
        </w:rPr>
        <w:fldChar w:fldCharType="end"/>
      </w:r>
      <w:bookmarkEnd w:id="17"/>
      <w:r w:rsidR="006425DC">
        <w:t xml:space="preserve"> </w:t>
      </w:r>
      <w:r w:rsidR="00D34F9E">
        <w:t>C</w:t>
      </w:r>
      <w:r w:rsidR="002B6082">
        <w:t>heck</w:t>
      </w:r>
      <w:r w:rsidR="00D34F9E">
        <w:t>ing</w:t>
      </w:r>
      <w:r w:rsidR="002B6082">
        <w:t xml:space="preserve"> c</w:t>
      </w:r>
      <w:r w:rsidR="005005BE" w:rsidRPr="00A2749F">
        <w:t>ontainer seal number against document</w:t>
      </w:r>
      <w:r w:rsidR="00D34F9E">
        <w:t>s</w:t>
      </w:r>
    </w:p>
    <w:p w14:paraId="6207C05F" w14:textId="77777777" w:rsidR="001A47EC" w:rsidRDefault="001A47EC" w:rsidP="001A47EC">
      <w:pPr>
        <w:pStyle w:val="ListNumber2"/>
        <w:numPr>
          <w:ilvl w:val="0"/>
          <w:numId w:val="0"/>
        </w:numPr>
        <w:ind w:left="720"/>
      </w:pPr>
      <w:r>
        <w:rPr>
          <w:noProof/>
          <w:lang w:eastAsia="en-AU"/>
        </w:rPr>
        <w:drawing>
          <wp:inline distT="0" distB="0" distL="0" distR="0" wp14:anchorId="57855B27" wp14:editId="3206CC06">
            <wp:extent cx="3772800" cy="3078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2800" cy="3078000"/>
                    </a:xfrm>
                    <a:prstGeom prst="rect">
                      <a:avLst/>
                    </a:prstGeom>
                    <a:noFill/>
                    <a:ln>
                      <a:noFill/>
                    </a:ln>
                  </pic:spPr>
                </pic:pic>
              </a:graphicData>
            </a:graphic>
          </wp:inline>
        </w:drawing>
      </w:r>
    </w:p>
    <w:p w14:paraId="5E6BF8BE" w14:textId="77777777" w:rsidR="00342018" w:rsidRDefault="007965C2" w:rsidP="00342018">
      <w:pPr>
        <w:pStyle w:val="ListNumber2"/>
        <w:ind w:hanging="578"/>
      </w:pPr>
      <w:r w:rsidRPr="00BA65E3">
        <w:t>When</w:t>
      </w:r>
      <w:r w:rsidR="00342018" w:rsidRPr="004C6B2D">
        <w:t xml:space="preserve"> </w:t>
      </w:r>
      <w:r w:rsidR="002B6082" w:rsidRPr="004C6B2D">
        <w:t>the IIGB</w:t>
      </w:r>
      <w:r w:rsidR="002B6082" w:rsidRPr="00A37EB2">
        <w:t xml:space="preserve"> </w:t>
      </w:r>
      <w:r w:rsidR="00342018" w:rsidRPr="00875E2E">
        <w:t>obser</w:t>
      </w:r>
      <w:r w:rsidRPr="00875E2E">
        <w:t>ved</w:t>
      </w:r>
      <w:r w:rsidR="00342018" w:rsidRPr="00875E2E">
        <w:t xml:space="preserve"> the stores loading procedure at Brisbane cruise wharf, only FCL containers were unloaded for transhipment to the departing cruise vessel. The attending biosecurity officer</w:t>
      </w:r>
      <w:r w:rsidR="00342018">
        <w:t xml:space="preserve"> had access to printed quarantine directions </w:t>
      </w:r>
      <w:r w:rsidR="002B6082">
        <w:t>that</w:t>
      </w:r>
      <w:r w:rsidR="00342018">
        <w:t xml:space="preserve"> included container numbers and container seal numbers. The officer also had access, on request, to the paperwork used to assess the goods for transhipment. This paperwork was provided by the customs brokerage representative present at the time of unpacking and transhipment.</w:t>
      </w:r>
    </w:p>
    <w:p w14:paraId="6F327101" w14:textId="77777777" w:rsidR="00342018" w:rsidRDefault="00342018" w:rsidP="00342018">
      <w:pPr>
        <w:pStyle w:val="ListNumber2"/>
        <w:ind w:hanging="578"/>
      </w:pPr>
      <w:r>
        <w:t>The environment in which transhipment occurs is secure, with the unloading area being within a security</w:t>
      </w:r>
      <w:r w:rsidR="007F17A1">
        <w:t>-</w:t>
      </w:r>
      <w:r>
        <w:t xml:space="preserve">controlled wharf zone. Access to the area is via gates or doors </w:t>
      </w:r>
      <w:r w:rsidR="007F17A1">
        <w:t>guarded</w:t>
      </w:r>
      <w:r>
        <w:t xml:space="preserve"> by security officers and access is limited to persons requir</w:t>
      </w:r>
      <w:r w:rsidR="00FC764B">
        <w:t>ing</w:t>
      </w:r>
      <w:r>
        <w:t xml:space="preserve"> access </w:t>
      </w:r>
      <w:r w:rsidR="00FC764B">
        <w:t xml:space="preserve">to </w:t>
      </w:r>
      <w:r>
        <w:t>the area. Most people in this area hold a maritime security ID card. Other</w:t>
      </w:r>
      <w:r w:rsidR="00264C4E">
        <w:t xml:space="preserve"> visitor</w:t>
      </w:r>
      <w:r>
        <w:t xml:space="preserve">s </w:t>
      </w:r>
      <w:r w:rsidR="00731B49">
        <w:t>must be</w:t>
      </w:r>
      <w:r>
        <w:t xml:space="preserve"> escorted by a </w:t>
      </w:r>
      <w:r w:rsidR="00166EF3">
        <w:t>card</w:t>
      </w:r>
      <w:r>
        <w:t xml:space="preserve">holder. The general </w:t>
      </w:r>
      <w:r w:rsidR="00CF0577">
        <w:t>wharf area</w:t>
      </w:r>
      <w:r>
        <w:t xml:space="preserve"> is surrounded by a security fence </w:t>
      </w:r>
      <w:r w:rsidR="00166EF3">
        <w:t>that</w:t>
      </w:r>
      <w:r>
        <w:t xml:space="preserve"> prevents public access.</w:t>
      </w:r>
    </w:p>
    <w:p w14:paraId="7D262759" w14:textId="77777777" w:rsidR="00342018" w:rsidRDefault="00342018" w:rsidP="00342018">
      <w:pPr>
        <w:pStyle w:val="ListNumber2"/>
        <w:ind w:hanging="578"/>
      </w:pPr>
      <w:r>
        <w:t xml:space="preserve">Security of transhipped stores between arrival in Australia and loading for export at a wharf relies on the goods being stored at a Customs 77G depot. A 77G depot licence holder is responsible for the physical security of the goods. </w:t>
      </w:r>
      <w:r w:rsidR="00166EF3">
        <w:t>Members of the public do not have</w:t>
      </w:r>
      <w:r>
        <w:t xml:space="preserve"> access to goods storage areas</w:t>
      </w:r>
      <w:r w:rsidR="00166EF3">
        <w:t>,</w:t>
      </w:r>
      <w:r>
        <w:t xml:space="preserve"> and suitable security structures </w:t>
      </w:r>
      <w:r w:rsidR="00166EF3">
        <w:t>such as</w:t>
      </w:r>
      <w:r>
        <w:t xml:space="preserve"> fencing, secure doors</w:t>
      </w:r>
      <w:r w:rsidR="00166EF3">
        <w:t xml:space="preserve"> and</w:t>
      </w:r>
      <w:r>
        <w:t xml:space="preserve"> guards are in place.</w:t>
      </w:r>
    </w:p>
    <w:p w14:paraId="3BC0886E" w14:textId="77777777" w:rsidR="00342018" w:rsidRDefault="00166EF3" w:rsidP="00342018">
      <w:pPr>
        <w:pStyle w:val="ListNumber2"/>
        <w:ind w:hanging="578"/>
      </w:pPr>
      <w:r>
        <w:t>The security measures appear to limit</w:t>
      </w:r>
      <w:r w:rsidR="00342018">
        <w:t xml:space="preserve"> opportunit</w:t>
      </w:r>
      <w:r>
        <w:t>ies</w:t>
      </w:r>
      <w:r w:rsidR="00342018">
        <w:t xml:space="preserve"> for goods to be removed or diverted from </w:t>
      </w:r>
      <w:r w:rsidR="00264C4E">
        <w:t xml:space="preserve">the </w:t>
      </w:r>
      <w:r w:rsidR="00342018">
        <w:t>transhipment pathway. Most transhipped goods are transported in sealed FCL containers</w:t>
      </w:r>
      <w:r w:rsidR="003B694D">
        <w:t xml:space="preserve"> and</w:t>
      </w:r>
      <w:r w:rsidR="00342018">
        <w:t xml:space="preserve"> the contents of </w:t>
      </w:r>
      <w:r w:rsidR="003B694D">
        <w:t xml:space="preserve">these containers </w:t>
      </w:r>
      <w:r w:rsidR="00342018">
        <w:t xml:space="preserve">are inspected by biosecurity officers and vessel staff. </w:t>
      </w:r>
      <w:r w:rsidR="003B694D">
        <w:t>V</w:t>
      </w:r>
      <w:r w:rsidR="00342018">
        <w:t xml:space="preserve">essel </w:t>
      </w:r>
      <w:r w:rsidR="003B694D">
        <w:t>owners rely</w:t>
      </w:r>
      <w:r w:rsidR="00342018">
        <w:t xml:space="preserve"> on receiving a full complement of stores</w:t>
      </w:r>
      <w:r w:rsidR="003B694D">
        <w:t>. This is</w:t>
      </w:r>
      <w:r w:rsidR="00342018">
        <w:t xml:space="preserve"> a strong incentive to ensure that all stores are loaded as planned and none </w:t>
      </w:r>
      <w:r w:rsidR="003B694D">
        <w:t>are</w:t>
      </w:r>
      <w:r w:rsidR="00342018">
        <w:t xml:space="preserve"> damaged or stolen. It is likely that any illegal diversion of transhipped goods would be discovered</w:t>
      </w:r>
      <w:r w:rsidR="00731B49">
        <w:t>,</w:t>
      </w:r>
      <w:r w:rsidR="00342018">
        <w:t xml:space="preserve"> given the </w:t>
      </w:r>
      <w:r w:rsidR="00264C4E">
        <w:t xml:space="preserve">security measures </w:t>
      </w:r>
      <w:r w:rsidR="005057EB">
        <w:t xml:space="preserve">required </w:t>
      </w:r>
      <w:r w:rsidR="00264C4E">
        <w:t>for each</w:t>
      </w:r>
      <w:r w:rsidR="00342018">
        <w:t xml:space="preserve"> shipment and the level of inspection applied to goods </w:t>
      </w:r>
      <w:r w:rsidR="00342018" w:rsidRPr="004C6B2D">
        <w:t>at the time of</w:t>
      </w:r>
      <w:r w:rsidR="00342018">
        <w:t xml:space="preserve"> </w:t>
      </w:r>
      <w:r w:rsidR="00264C4E">
        <w:t xml:space="preserve">unpacking and </w:t>
      </w:r>
      <w:r w:rsidR="00342018">
        <w:t>loading. Since the implementation of transhipment import conditions in 2008</w:t>
      </w:r>
      <w:r w:rsidR="00264C4E">
        <w:t>,</w:t>
      </w:r>
      <w:r w:rsidR="00342018">
        <w:t xml:space="preserve"> </w:t>
      </w:r>
      <w:r w:rsidR="003B694D">
        <w:t xml:space="preserve">neither the department nor industry have reported any </w:t>
      </w:r>
      <w:r w:rsidR="00264C4E">
        <w:t xml:space="preserve">incidents </w:t>
      </w:r>
      <w:r w:rsidR="00342018">
        <w:t xml:space="preserve">of diversion or </w:t>
      </w:r>
      <w:r w:rsidR="005057EB">
        <w:t>missing</w:t>
      </w:r>
      <w:r w:rsidR="00342018">
        <w:t xml:space="preserve"> material. </w:t>
      </w:r>
      <w:r w:rsidR="003B694D">
        <w:t>T</w:t>
      </w:r>
      <w:r w:rsidR="00342018">
        <w:t xml:space="preserve">he current </w:t>
      </w:r>
      <w:r w:rsidR="00264C4E">
        <w:t>security measures</w:t>
      </w:r>
      <w:r w:rsidR="00342018">
        <w:t xml:space="preserve"> </w:t>
      </w:r>
      <w:r w:rsidR="003B694D">
        <w:lastRenderedPageBreak/>
        <w:t xml:space="preserve">appear to be </w:t>
      </w:r>
      <w:r w:rsidR="00342018">
        <w:t>appropriate for managing the risk of goods being diverted from the transhipment path</w:t>
      </w:r>
      <w:r w:rsidR="00264C4E">
        <w:t>way</w:t>
      </w:r>
      <w:r w:rsidR="00342018">
        <w:t>.</w:t>
      </w:r>
    </w:p>
    <w:p w14:paraId="643EAA9E" w14:textId="77777777" w:rsidR="00342018" w:rsidRDefault="00342018" w:rsidP="00342018">
      <w:pPr>
        <w:pStyle w:val="Heading3"/>
      </w:pPr>
      <w:r>
        <w:t>Waste management</w:t>
      </w:r>
    </w:p>
    <w:p w14:paraId="53245440" w14:textId="77777777" w:rsidR="00342018" w:rsidRDefault="00074525" w:rsidP="00342018">
      <w:pPr>
        <w:pStyle w:val="ListNumber2"/>
        <w:ind w:hanging="578"/>
      </w:pPr>
      <w:r>
        <w:t>The IIGB observed o</w:t>
      </w:r>
      <w:r w:rsidR="00342018">
        <w:t>n</w:t>
      </w:r>
      <w:r w:rsidR="00487286">
        <w:t>-</w:t>
      </w:r>
      <w:r w:rsidR="00342018">
        <w:t xml:space="preserve">board waste management processes on a cruise vessel. </w:t>
      </w:r>
      <w:r>
        <w:t>S</w:t>
      </w:r>
      <w:r w:rsidR="00342018">
        <w:t xml:space="preserve">ignificant effort was put into waste management on this vessel. Much of the effort is in response to environmental concerns and cost incentives for the cruise company. Waste was separated into multiple streams to aid recycling. </w:t>
      </w:r>
      <w:r>
        <w:t>The IIGB observed s</w:t>
      </w:r>
      <w:r w:rsidR="00342018">
        <w:t>eparation of waste into:</w:t>
      </w:r>
    </w:p>
    <w:p w14:paraId="33C107D2" w14:textId="77777777" w:rsidR="00342018" w:rsidRPr="00BA65E3" w:rsidRDefault="00342018" w:rsidP="00BA65E3">
      <w:pPr>
        <w:pStyle w:val="ListBullet"/>
      </w:pPr>
      <w:r w:rsidRPr="00BA65E3">
        <w:t>food waste</w:t>
      </w:r>
      <w:r w:rsidR="006B4232" w:rsidRPr="00BA65E3">
        <w:t xml:space="preserve"> (</w:t>
      </w:r>
      <w:r w:rsidR="00F85E66">
        <w:fldChar w:fldCharType="begin"/>
      </w:r>
      <w:r w:rsidR="00F85E66">
        <w:instrText xml:space="preserve"> REF _Ref445195550 \h  \* MERGEFORMAT </w:instrText>
      </w:r>
      <w:r w:rsidR="00F85E66">
        <w:fldChar w:fldCharType="separate"/>
      </w:r>
      <w:r w:rsidR="0012621F">
        <w:t>Figure 4</w:t>
      </w:r>
      <w:r w:rsidR="00F85E66">
        <w:fldChar w:fldCharType="end"/>
      </w:r>
      <w:r w:rsidR="006B4232" w:rsidRPr="00BA65E3">
        <w:t>)</w:t>
      </w:r>
    </w:p>
    <w:p w14:paraId="0F55E4B3" w14:textId="77777777" w:rsidR="007E51AF" w:rsidRPr="007E51AF" w:rsidRDefault="007E51AF" w:rsidP="00BA65E3">
      <w:pPr>
        <w:pStyle w:val="ListBullet"/>
      </w:pPr>
      <w:r w:rsidRPr="007E51AF">
        <w:t>plastics</w:t>
      </w:r>
    </w:p>
    <w:p w14:paraId="6D335F99" w14:textId="77777777" w:rsidR="007E51AF" w:rsidRPr="007E51AF" w:rsidRDefault="007E51AF" w:rsidP="00BA65E3">
      <w:pPr>
        <w:pStyle w:val="ListBullet"/>
      </w:pPr>
      <w:r w:rsidRPr="007E51AF">
        <w:t>metals (ferrous and non-ferrous) (</w:t>
      </w:r>
      <w:r w:rsidR="00F85E66">
        <w:fldChar w:fldCharType="begin"/>
      </w:r>
      <w:r w:rsidR="00F85E66">
        <w:instrText xml:space="preserve"> REF _Ref445195586 \h  \* MERGEFORMAT </w:instrText>
      </w:r>
      <w:r w:rsidR="00F85E66">
        <w:fldChar w:fldCharType="separate"/>
      </w:r>
      <w:r w:rsidR="0012621F">
        <w:t>Figure 5</w:t>
      </w:r>
      <w:r w:rsidR="00F85E66">
        <w:fldChar w:fldCharType="end"/>
      </w:r>
      <w:r w:rsidRPr="007E51AF">
        <w:t>)</w:t>
      </w:r>
    </w:p>
    <w:p w14:paraId="66E74FBD" w14:textId="77777777" w:rsidR="007E51AF" w:rsidRPr="007E51AF" w:rsidRDefault="007E51AF" w:rsidP="00BA65E3">
      <w:pPr>
        <w:pStyle w:val="ListBullet"/>
      </w:pPr>
      <w:r w:rsidRPr="007E51AF">
        <w:t>glass (clear</w:t>
      </w:r>
      <w:r w:rsidR="00ED2A41">
        <w:t xml:space="preserve"> and</w:t>
      </w:r>
      <w:r w:rsidRPr="007E51AF">
        <w:t xml:space="preserve"> coloured) (</w:t>
      </w:r>
      <w:r w:rsidR="00F85E66">
        <w:fldChar w:fldCharType="begin"/>
      </w:r>
      <w:r w:rsidR="00F85E66">
        <w:instrText xml:space="preserve"> REF _Ref445195614 \h  \* MERGEFORMAT </w:instrText>
      </w:r>
      <w:r w:rsidR="00F85E66">
        <w:fldChar w:fldCharType="separate"/>
      </w:r>
      <w:r w:rsidR="0012621F">
        <w:t>Figure 6</w:t>
      </w:r>
      <w:r w:rsidR="00F85E66">
        <w:fldChar w:fldCharType="end"/>
      </w:r>
      <w:r w:rsidRPr="007E51AF">
        <w:t>)</w:t>
      </w:r>
    </w:p>
    <w:p w14:paraId="52EAF9E0" w14:textId="77777777" w:rsidR="007E51AF" w:rsidRPr="007E51AF" w:rsidRDefault="007E51AF" w:rsidP="00BA65E3">
      <w:pPr>
        <w:pStyle w:val="ListBullet"/>
      </w:pPr>
      <w:r w:rsidRPr="007E51AF">
        <w:t>clothing/fabric</w:t>
      </w:r>
    </w:p>
    <w:p w14:paraId="1B80D5A7" w14:textId="77777777" w:rsidR="007E51AF" w:rsidRPr="007E51AF" w:rsidRDefault="007E51AF" w:rsidP="00BA65E3">
      <w:pPr>
        <w:pStyle w:val="ListBullet"/>
      </w:pPr>
      <w:r w:rsidRPr="007E51AF">
        <w:t>technology (mobile phones, computing</w:t>
      </w:r>
      <w:r w:rsidR="00ED2A41">
        <w:t xml:space="preserve"> and</w:t>
      </w:r>
      <w:r w:rsidRPr="007E51AF">
        <w:t xml:space="preserve"> electronics)</w:t>
      </w:r>
    </w:p>
    <w:p w14:paraId="389121E3" w14:textId="77777777" w:rsidR="007E51AF" w:rsidRPr="007E51AF" w:rsidRDefault="007E51AF" w:rsidP="00BA65E3">
      <w:pPr>
        <w:pStyle w:val="ListBullet"/>
      </w:pPr>
      <w:r w:rsidRPr="007E51AF">
        <w:t>chemicals</w:t>
      </w:r>
    </w:p>
    <w:p w14:paraId="32CDE07A" w14:textId="77777777" w:rsidR="007E51AF" w:rsidRPr="007E51AF" w:rsidRDefault="007E51AF" w:rsidP="00BA65E3">
      <w:pPr>
        <w:pStyle w:val="ListBullet"/>
      </w:pPr>
      <w:r w:rsidRPr="007E51AF">
        <w:t>timber (</w:t>
      </w:r>
      <w:r w:rsidR="00F85E66">
        <w:fldChar w:fldCharType="begin"/>
      </w:r>
      <w:r w:rsidR="00F85E66">
        <w:instrText xml:space="preserve"> REF _Ref445195805 \h  \* MERGEFORMAT </w:instrText>
      </w:r>
      <w:r w:rsidR="00F85E66">
        <w:fldChar w:fldCharType="separate"/>
      </w:r>
      <w:r w:rsidR="0012621F">
        <w:t>Figure 7</w:t>
      </w:r>
      <w:r w:rsidR="00F85E66">
        <w:fldChar w:fldCharType="end"/>
      </w:r>
      <w:r w:rsidRPr="007E51AF">
        <w:t>)</w:t>
      </w:r>
    </w:p>
    <w:p w14:paraId="1F296816" w14:textId="77777777" w:rsidR="005005BE" w:rsidRDefault="00E5082B" w:rsidP="000D01FE">
      <w:pPr>
        <w:pStyle w:val="Caption"/>
      </w:pPr>
      <w:bookmarkStart w:id="18" w:name="_Ref445195550"/>
      <w:r>
        <w:t xml:space="preserve">Figure </w:t>
      </w:r>
      <w:r w:rsidR="00A43EC2">
        <w:fldChar w:fldCharType="begin"/>
      </w:r>
      <w:r w:rsidR="007725A9">
        <w:instrText xml:space="preserve"> SEQ Figure \* ARABIC </w:instrText>
      </w:r>
      <w:r w:rsidR="00A43EC2">
        <w:fldChar w:fldCharType="separate"/>
      </w:r>
      <w:r w:rsidR="0012621F">
        <w:rPr>
          <w:noProof/>
        </w:rPr>
        <w:t>4</w:t>
      </w:r>
      <w:r w:rsidR="00A43EC2">
        <w:rPr>
          <w:noProof/>
        </w:rPr>
        <w:fldChar w:fldCharType="end"/>
      </w:r>
      <w:bookmarkEnd w:id="18"/>
      <w:r>
        <w:t xml:space="preserve"> </w:t>
      </w:r>
      <w:r w:rsidR="007E51AF">
        <w:t>Separated food waste</w:t>
      </w:r>
      <w:r w:rsidR="00FA6492">
        <w:t xml:space="preserve"> for disposal</w:t>
      </w:r>
    </w:p>
    <w:p w14:paraId="128ADD93" w14:textId="77777777" w:rsidR="001A47EC" w:rsidRDefault="001A47EC" w:rsidP="001A47EC">
      <w:pPr>
        <w:pStyle w:val="ListNumber2"/>
        <w:numPr>
          <w:ilvl w:val="0"/>
          <w:numId w:val="0"/>
        </w:numPr>
        <w:ind w:left="1080"/>
      </w:pPr>
      <w:r>
        <w:rPr>
          <w:noProof/>
          <w:lang w:eastAsia="en-AU"/>
        </w:rPr>
        <w:drawing>
          <wp:inline distT="0" distB="0" distL="0" distR="0" wp14:anchorId="49CDC863" wp14:editId="768D5F5E">
            <wp:extent cx="3217653" cy="223209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7372" cy="2245772"/>
                    </a:xfrm>
                    <a:prstGeom prst="rect">
                      <a:avLst/>
                    </a:prstGeom>
                    <a:noFill/>
                    <a:ln>
                      <a:noFill/>
                    </a:ln>
                  </pic:spPr>
                </pic:pic>
              </a:graphicData>
            </a:graphic>
          </wp:inline>
        </w:drawing>
      </w:r>
    </w:p>
    <w:p w14:paraId="7463121D" w14:textId="77777777" w:rsidR="005005BE" w:rsidRDefault="007E51AF" w:rsidP="000D01FE">
      <w:pPr>
        <w:pStyle w:val="Caption"/>
      </w:pPr>
      <w:bookmarkStart w:id="19" w:name="_Ref445195586"/>
      <w:r>
        <w:t xml:space="preserve">Figure </w:t>
      </w:r>
      <w:r w:rsidR="00A43EC2">
        <w:fldChar w:fldCharType="begin"/>
      </w:r>
      <w:r w:rsidR="007725A9">
        <w:instrText xml:space="preserve"> SEQ Figure \* ARABIC </w:instrText>
      </w:r>
      <w:r w:rsidR="00A43EC2">
        <w:fldChar w:fldCharType="separate"/>
      </w:r>
      <w:r w:rsidR="0012621F">
        <w:rPr>
          <w:noProof/>
        </w:rPr>
        <w:t>5</w:t>
      </w:r>
      <w:r w:rsidR="00A43EC2">
        <w:rPr>
          <w:noProof/>
        </w:rPr>
        <w:fldChar w:fldCharType="end"/>
      </w:r>
      <w:bookmarkEnd w:id="19"/>
      <w:r>
        <w:t xml:space="preserve"> Compacted non-ferrous cans</w:t>
      </w:r>
      <w:r w:rsidR="00FA6492">
        <w:t xml:space="preserve"> for recycling</w:t>
      </w:r>
    </w:p>
    <w:p w14:paraId="17BAC7D7" w14:textId="77777777" w:rsidR="001A47EC" w:rsidRDefault="001A47EC" w:rsidP="001A47EC">
      <w:pPr>
        <w:pStyle w:val="ListNumber2"/>
        <w:numPr>
          <w:ilvl w:val="0"/>
          <w:numId w:val="0"/>
        </w:numPr>
        <w:ind w:left="1080"/>
      </w:pPr>
      <w:r>
        <w:rPr>
          <w:noProof/>
          <w:lang w:eastAsia="en-AU"/>
        </w:rPr>
        <w:drawing>
          <wp:inline distT="0" distB="0" distL="0" distR="0" wp14:anchorId="28909E73" wp14:editId="4F1B5AA6">
            <wp:extent cx="3218400" cy="219268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8400" cy="2192689"/>
                    </a:xfrm>
                    <a:prstGeom prst="rect">
                      <a:avLst/>
                    </a:prstGeom>
                    <a:noFill/>
                    <a:ln>
                      <a:noFill/>
                    </a:ln>
                  </pic:spPr>
                </pic:pic>
              </a:graphicData>
            </a:graphic>
          </wp:inline>
        </w:drawing>
      </w:r>
    </w:p>
    <w:p w14:paraId="73914CC2" w14:textId="77777777" w:rsidR="00342018" w:rsidRDefault="007E51AF" w:rsidP="001F05EE">
      <w:pPr>
        <w:pStyle w:val="Caption"/>
      </w:pPr>
      <w:bookmarkStart w:id="20" w:name="_Ref445195614"/>
      <w:r>
        <w:lastRenderedPageBreak/>
        <w:t xml:space="preserve">Figure </w:t>
      </w:r>
      <w:r w:rsidR="00A43EC2">
        <w:fldChar w:fldCharType="begin"/>
      </w:r>
      <w:r w:rsidR="007725A9">
        <w:instrText xml:space="preserve"> SEQ Figure \* ARABIC </w:instrText>
      </w:r>
      <w:r w:rsidR="00A43EC2">
        <w:fldChar w:fldCharType="separate"/>
      </w:r>
      <w:r w:rsidR="0012621F">
        <w:rPr>
          <w:noProof/>
        </w:rPr>
        <w:t>6</w:t>
      </w:r>
      <w:r w:rsidR="00A43EC2">
        <w:rPr>
          <w:noProof/>
        </w:rPr>
        <w:fldChar w:fldCharType="end"/>
      </w:r>
      <w:bookmarkEnd w:id="20"/>
      <w:r>
        <w:t xml:space="preserve"> Bulk bags of glass for recycling</w:t>
      </w:r>
    </w:p>
    <w:p w14:paraId="283A9D86" w14:textId="77777777" w:rsidR="001A47EC" w:rsidRDefault="001A47EC" w:rsidP="001A47EC">
      <w:pPr>
        <w:pStyle w:val="ListNumber2"/>
        <w:numPr>
          <w:ilvl w:val="0"/>
          <w:numId w:val="0"/>
        </w:numPr>
        <w:ind w:left="1080"/>
      </w:pPr>
      <w:r>
        <w:rPr>
          <w:noProof/>
          <w:lang w:eastAsia="en-AU"/>
        </w:rPr>
        <w:drawing>
          <wp:inline distT="0" distB="0" distL="0" distR="0" wp14:anchorId="677166F9" wp14:editId="0488420A">
            <wp:extent cx="3218400" cy="109333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8400" cy="1093332"/>
                    </a:xfrm>
                    <a:prstGeom prst="rect">
                      <a:avLst/>
                    </a:prstGeom>
                    <a:noFill/>
                    <a:ln>
                      <a:noFill/>
                    </a:ln>
                  </pic:spPr>
                </pic:pic>
              </a:graphicData>
            </a:graphic>
          </wp:inline>
        </w:drawing>
      </w:r>
    </w:p>
    <w:p w14:paraId="6BB9D8A5" w14:textId="77777777" w:rsidR="005005BE" w:rsidRDefault="001F05EE" w:rsidP="000D01FE">
      <w:pPr>
        <w:pStyle w:val="Caption"/>
      </w:pPr>
      <w:bookmarkStart w:id="21" w:name="_Ref445195805"/>
      <w:r>
        <w:t xml:space="preserve">Figure </w:t>
      </w:r>
      <w:r w:rsidR="00A43EC2">
        <w:fldChar w:fldCharType="begin"/>
      </w:r>
      <w:r w:rsidR="007725A9">
        <w:instrText xml:space="preserve"> SEQ Figure \* ARABIC </w:instrText>
      </w:r>
      <w:r w:rsidR="00A43EC2">
        <w:fldChar w:fldCharType="separate"/>
      </w:r>
      <w:r w:rsidR="0012621F">
        <w:rPr>
          <w:noProof/>
        </w:rPr>
        <w:t>7</w:t>
      </w:r>
      <w:r w:rsidR="00A43EC2">
        <w:rPr>
          <w:noProof/>
        </w:rPr>
        <w:fldChar w:fldCharType="end"/>
      </w:r>
      <w:bookmarkEnd w:id="21"/>
      <w:r>
        <w:t xml:space="preserve"> </w:t>
      </w:r>
      <w:r w:rsidR="005005BE">
        <w:t>Stacked timber pallets for recycling</w:t>
      </w:r>
    </w:p>
    <w:p w14:paraId="53B93045" w14:textId="77777777" w:rsidR="001A47EC" w:rsidRDefault="001A47EC" w:rsidP="001A47EC">
      <w:pPr>
        <w:pStyle w:val="ListNumber2"/>
        <w:numPr>
          <w:ilvl w:val="0"/>
          <w:numId w:val="0"/>
        </w:numPr>
        <w:ind w:left="1080"/>
      </w:pPr>
      <w:r>
        <w:rPr>
          <w:noProof/>
          <w:lang w:eastAsia="en-AU"/>
        </w:rPr>
        <w:drawing>
          <wp:inline distT="0" distB="0" distL="0" distR="0" wp14:anchorId="7A5A3C77" wp14:editId="72CEA254">
            <wp:extent cx="3218400" cy="3654481"/>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8400" cy="3654481"/>
                    </a:xfrm>
                    <a:prstGeom prst="rect">
                      <a:avLst/>
                    </a:prstGeom>
                    <a:noFill/>
                    <a:ln>
                      <a:noFill/>
                    </a:ln>
                  </pic:spPr>
                </pic:pic>
              </a:graphicData>
            </a:graphic>
          </wp:inline>
        </w:drawing>
      </w:r>
    </w:p>
    <w:p w14:paraId="4D272112" w14:textId="33BE568D" w:rsidR="00F47960" w:rsidRDefault="00342018" w:rsidP="00342018">
      <w:pPr>
        <w:pStyle w:val="ListNumber2"/>
        <w:ind w:hanging="578"/>
      </w:pPr>
      <w:r>
        <w:t>The food waste and timber waste streams are the primary waste streams of biosecurity concern.</w:t>
      </w:r>
      <w:r w:rsidR="00F47960">
        <w:t xml:space="preserve"> It is possible for biosecurity materials to be found in other waste streams. Where </w:t>
      </w:r>
      <w:r w:rsidR="00A56A5E">
        <w:t>th</w:t>
      </w:r>
      <w:r w:rsidR="00F47960">
        <w:t>is occurs the materials are identified and removed prior to the waste leaving the vessel. For example, the IIGB observed three small pieces of food removed from the recycled glass waste stream. The glass is crushed and raked to ensure that these materials are identified and removed.</w:t>
      </w:r>
      <w:r w:rsidR="000A4FE6">
        <w:t xml:space="preserve"> Similar processes </w:t>
      </w:r>
      <w:r w:rsidR="00C21CEB">
        <w:t>are used</w:t>
      </w:r>
      <w:r w:rsidR="000A4FE6">
        <w:t xml:space="preserve"> for other waste streams.</w:t>
      </w:r>
      <w:r w:rsidR="00F47960">
        <w:t xml:space="preserve"> </w:t>
      </w:r>
      <w:r w:rsidR="000A4FE6">
        <w:t xml:space="preserve">The amount of biosecurity material likely to remain in a waste stream under these processes </w:t>
      </w:r>
      <w:r w:rsidR="00C21CEB">
        <w:t>appears to be</w:t>
      </w:r>
      <w:r w:rsidR="000A4FE6">
        <w:t xml:space="preserve"> negligible</w:t>
      </w:r>
      <w:r w:rsidR="00C21CEB">
        <w:t>,</w:t>
      </w:r>
      <w:r w:rsidR="000A4FE6">
        <w:t xml:space="preserve"> with any residual risk addressed by processing of the waste after offloading.    </w:t>
      </w:r>
      <w:r>
        <w:t xml:space="preserve"> </w:t>
      </w:r>
    </w:p>
    <w:p w14:paraId="2A02A567" w14:textId="77777777" w:rsidR="00342018" w:rsidRDefault="00342018" w:rsidP="00342018">
      <w:pPr>
        <w:pStyle w:val="ListNumber2"/>
        <w:ind w:hanging="578"/>
      </w:pPr>
      <w:r>
        <w:t xml:space="preserve">Waste management in the passenger and deck areas also appeared to be </w:t>
      </w:r>
      <w:r w:rsidR="000C7DD0">
        <w:t xml:space="preserve">generally </w:t>
      </w:r>
      <w:r>
        <w:t>well managed. Food waste was regularly collected and separated into suitable waste receptacles before being collected and put into the waste management stream. Cutlery and crockery collec</w:t>
      </w:r>
      <w:r w:rsidR="00A83460">
        <w:t>tion areas in dining venues had</w:t>
      </w:r>
      <w:r>
        <w:t xml:space="preserve"> separate bins for food waste</w:t>
      </w:r>
      <w:r w:rsidR="00CA493B">
        <w:t xml:space="preserve"> that </w:t>
      </w:r>
      <w:r>
        <w:t>were clearly labelled.</w:t>
      </w:r>
    </w:p>
    <w:p w14:paraId="42901D0A" w14:textId="77777777" w:rsidR="00342018" w:rsidRDefault="00342018" w:rsidP="00342018">
      <w:pPr>
        <w:pStyle w:val="ListNumber2"/>
        <w:ind w:hanging="578"/>
      </w:pPr>
      <w:r>
        <w:t>The level of overall cleanliness in passenger and deck areas would appear to limit the possibility of food material being accessed by scavenging birds or rodents. The IIGB observed one small tub of mixed food waste</w:t>
      </w:r>
      <w:r w:rsidR="006B4232">
        <w:t xml:space="preserve"> (</w:t>
      </w:r>
      <w:r w:rsidR="00A43EC2">
        <w:fldChar w:fldCharType="begin"/>
      </w:r>
      <w:r w:rsidR="001F05EE">
        <w:instrText xml:space="preserve"> REF _Ref445195924 \h </w:instrText>
      </w:r>
      <w:r w:rsidR="00A43EC2">
        <w:fldChar w:fldCharType="separate"/>
      </w:r>
      <w:r w:rsidR="0012621F">
        <w:t xml:space="preserve">Figure </w:t>
      </w:r>
      <w:r w:rsidR="0012621F">
        <w:rPr>
          <w:noProof/>
        </w:rPr>
        <w:t>8</w:t>
      </w:r>
      <w:r w:rsidR="00A43EC2">
        <w:fldChar w:fldCharType="end"/>
      </w:r>
      <w:r w:rsidR="006B4232">
        <w:t>)</w:t>
      </w:r>
      <w:r>
        <w:t xml:space="preserve"> in a</w:t>
      </w:r>
      <w:r w:rsidR="00A83460">
        <w:t xml:space="preserve"> partially</w:t>
      </w:r>
      <w:r w:rsidR="002152B8">
        <w:t xml:space="preserve"> </w:t>
      </w:r>
      <w:r w:rsidR="00A83460">
        <w:t>covered</w:t>
      </w:r>
      <w:r>
        <w:t xml:space="preserve"> deck area</w:t>
      </w:r>
      <w:r w:rsidR="002152B8">
        <w:t>. The tub</w:t>
      </w:r>
      <w:r>
        <w:t xml:space="preserve"> was quickly removed by staff.</w:t>
      </w:r>
    </w:p>
    <w:p w14:paraId="2DB6D117" w14:textId="77777777" w:rsidR="005005BE" w:rsidRDefault="001F05EE" w:rsidP="000D01FE">
      <w:pPr>
        <w:pStyle w:val="Caption"/>
      </w:pPr>
      <w:bookmarkStart w:id="22" w:name="_Ref445195924"/>
      <w:r>
        <w:lastRenderedPageBreak/>
        <w:t xml:space="preserve">Figure </w:t>
      </w:r>
      <w:r w:rsidR="00A43EC2">
        <w:fldChar w:fldCharType="begin"/>
      </w:r>
      <w:r w:rsidR="007725A9">
        <w:instrText xml:space="preserve"> SEQ Figure \* ARABIC </w:instrText>
      </w:r>
      <w:r w:rsidR="00A43EC2">
        <w:fldChar w:fldCharType="separate"/>
      </w:r>
      <w:r w:rsidR="0012621F">
        <w:rPr>
          <w:noProof/>
        </w:rPr>
        <w:t>8</w:t>
      </w:r>
      <w:r w:rsidR="00A43EC2">
        <w:rPr>
          <w:noProof/>
        </w:rPr>
        <w:fldChar w:fldCharType="end"/>
      </w:r>
      <w:bookmarkEnd w:id="22"/>
      <w:r>
        <w:t xml:space="preserve"> </w:t>
      </w:r>
      <w:r w:rsidR="005005BE">
        <w:t>Food scraps collected in deck dining area</w:t>
      </w:r>
    </w:p>
    <w:p w14:paraId="59802BA2" w14:textId="77777777" w:rsidR="007C6AE5" w:rsidRDefault="007C6AE5" w:rsidP="007C6AE5">
      <w:pPr>
        <w:pStyle w:val="ListNumber2"/>
        <w:numPr>
          <w:ilvl w:val="0"/>
          <w:numId w:val="0"/>
        </w:numPr>
        <w:ind w:left="720"/>
      </w:pPr>
      <w:r>
        <w:rPr>
          <w:noProof/>
          <w:lang w:eastAsia="en-AU"/>
        </w:rPr>
        <w:drawing>
          <wp:inline distT="0" distB="0" distL="0" distR="0" wp14:anchorId="7C366F84" wp14:editId="4F6116A9">
            <wp:extent cx="3083795" cy="190831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4594" cy="1908808"/>
                    </a:xfrm>
                    <a:prstGeom prst="rect">
                      <a:avLst/>
                    </a:prstGeom>
                    <a:noFill/>
                    <a:ln>
                      <a:noFill/>
                    </a:ln>
                  </pic:spPr>
                </pic:pic>
              </a:graphicData>
            </a:graphic>
          </wp:inline>
        </w:drawing>
      </w:r>
    </w:p>
    <w:p w14:paraId="2516BC3F" w14:textId="77777777" w:rsidR="00342018" w:rsidRDefault="00875E2E" w:rsidP="00342018">
      <w:pPr>
        <w:pStyle w:val="ListNumber2"/>
        <w:ind w:hanging="578"/>
      </w:pPr>
      <w:r>
        <w:t xml:space="preserve">Under an agreement with the department, </w:t>
      </w:r>
      <w:r w:rsidR="00342018">
        <w:t xml:space="preserve">cruise vessel companies provide </w:t>
      </w:r>
      <w:r w:rsidR="00A83460">
        <w:t xml:space="preserve">all </w:t>
      </w:r>
      <w:r w:rsidR="00342018">
        <w:t xml:space="preserve">food in a form </w:t>
      </w:r>
      <w:r w:rsidR="002152B8">
        <w:t>that</w:t>
      </w:r>
      <w:r w:rsidR="00342018">
        <w:t xml:space="preserve"> is not conducive </w:t>
      </w:r>
      <w:r w:rsidR="00A83460">
        <w:t>to easy removal from the vessel</w:t>
      </w:r>
      <w:r w:rsidR="00631E13">
        <w:t>.</w:t>
      </w:r>
      <w:r>
        <w:t xml:space="preserve"> </w:t>
      </w:r>
      <w:r w:rsidR="00631E13">
        <w:t xml:space="preserve">For example, to </w:t>
      </w:r>
      <w:r>
        <w:t>help minimise the risk of food being removed from the vessel by departing passengers</w:t>
      </w:r>
      <w:r w:rsidR="00731B49">
        <w:t>,</w:t>
      </w:r>
      <w:r>
        <w:t xml:space="preserve"> all fruit is presented sliced rather than as whole pieces. </w:t>
      </w:r>
      <w:r w:rsidR="00342018">
        <w:t>This preparation is verified by bios</w:t>
      </w:r>
      <w:r w:rsidR="00A83460">
        <w:t>ecurity officers who inspect</w:t>
      </w:r>
      <w:r w:rsidR="00342018">
        <w:t xml:space="preserve"> vessel</w:t>
      </w:r>
      <w:r w:rsidR="00A83460">
        <w:t>s</w:t>
      </w:r>
      <w:r w:rsidR="00342018">
        <w:t xml:space="preserve"> as part of </w:t>
      </w:r>
      <w:r w:rsidR="00A83460">
        <w:t xml:space="preserve">the </w:t>
      </w:r>
      <w:r w:rsidR="00342018">
        <w:t>port clearance process.</w:t>
      </w:r>
    </w:p>
    <w:p w14:paraId="744080EB" w14:textId="77777777" w:rsidR="00342018" w:rsidRDefault="00342018" w:rsidP="00342018">
      <w:pPr>
        <w:pStyle w:val="ListNumber2"/>
        <w:ind w:hanging="578"/>
      </w:pPr>
      <w:r>
        <w:t xml:space="preserve">Disposal of waste on a cruise vessel </w:t>
      </w:r>
      <w:r w:rsidR="002152B8">
        <w:t>usually consists of</w:t>
      </w:r>
      <w:r>
        <w:t xml:space="preserve"> either disposal overboard or off</w:t>
      </w:r>
      <w:r w:rsidR="00631E13">
        <w:noBreakHyphen/>
      </w:r>
      <w:r>
        <w:t>loading in port.</w:t>
      </w:r>
    </w:p>
    <w:p w14:paraId="699EB4E0" w14:textId="77777777" w:rsidR="006B4232" w:rsidRDefault="00342018" w:rsidP="005005BE">
      <w:pPr>
        <w:pStyle w:val="ListNumber2"/>
        <w:ind w:hanging="578"/>
      </w:pPr>
      <w:r>
        <w:t xml:space="preserve">Destruction of waste usually occurs via </w:t>
      </w:r>
      <w:r w:rsidR="00631E13">
        <w:t>on-board</w:t>
      </w:r>
      <w:r>
        <w:t xml:space="preserve"> incinerators</w:t>
      </w:r>
      <w:r w:rsidR="0000364E">
        <w:t>,</w:t>
      </w:r>
      <w:r>
        <w:t xml:space="preserve"> which reduce materials to fine ash. Incinerators are </w:t>
      </w:r>
      <w:r w:rsidR="00A83460">
        <w:t>usually</w:t>
      </w:r>
      <w:r>
        <w:t xml:space="preserve"> used </w:t>
      </w:r>
      <w:r w:rsidR="0000364E">
        <w:t>to</w:t>
      </w:r>
      <w:r>
        <w:t xml:space="preserve"> dest</w:t>
      </w:r>
      <w:r w:rsidR="0000364E">
        <w:t>roy</w:t>
      </w:r>
      <w:r>
        <w:t xml:space="preserve"> combustible material such as paper and cardboard</w:t>
      </w:r>
      <w:r w:rsidR="006B4232">
        <w:t xml:space="preserve"> (</w:t>
      </w:r>
      <w:r w:rsidR="00A43EC2">
        <w:fldChar w:fldCharType="begin"/>
      </w:r>
      <w:r w:rsidR="001F05EE">
        <w:instrText xml:space="preserve"> REF _Ref445195950 \h </w:instrText>
      </w:r>
      <w:r w:rsidR="00A43EC2">
        <w:fldChar w:fldCharType="separate"/>
      </w:r>
      <w:r w:rsidR="0012621F">
        <w:t xml:space="preserve">Figure </w:t>
      </w:r>
      <w:r w:rsidR="0012621F">
        <w:rPr>
          <w:noProof/>
        </w:rPr>
        <w:t>9</w:t>
      </w:r>
      <w:r w:rsidR="00A43EC2">
        <w:fldChar w:fldCharType="end"/>
      </w:r>
      <w:r w:rsidR="006B4232">
        <w:t>)</w:t>
      </w:r>
      <w:r>
        <w:t>. The solid ash residue generated by the incinerator accumulate</w:t>
      </w:r>
      <w:r w:rsidR="0000364E">
        <w:t>s</w:t>
      </w:r>
      <w:r>
        <w:t xml:space="preserve"> over time and is off</w:t>
      </w:r>
      <w:r w:rsidR="00A83460">
        <w:t>-</w:t>
      </w:r>
      <w:r>
        <w:t xml:space="preserve">loaded into port waste handling facilities. Ash is not considered of biosecurity concern and may be entered directly into normal municipal waste </w:t>
      </w:r>
      <w:r w:rsidRPr="004C6B2D">
        <w:t>handling</w:t>
      </w:r>
      <w:r>
        <w:t xml:space="preserve"> processes.</w:t>
      </w:r>
    </w:p>
    <w:p w14:paraId="088DD8CF" w14:textId="77777777" w:rsidR="005005BE" w:rsidRDefault="001F05EE" w:rsidP="000D01FE">
      <w:pPr>
        <w:pStyle w:val="Caption"/>
      </w:pPr>
      <w:bookmarkStart w:id="23" w:name="_Ref445195950"/>
      <w:r>
        <w:t xml:space="preserve">Figure </w:t>
      </w:r>
      <w:r w:rsidR="00A43EC2">
        <w:fldChar w:fldCharType="begin"/>
      </w:r>
      <w:r w:rsidR="007725A9">
        <w:instrText xml:space="preserve"> SEQ Figure \* ARABIC </w:instrText>
      </w:r>
      <w:r w:rsidR="00A43EC2">
        <w:fldChar w:fldCharType="separate"/>
      </w:r>
      <w:r w:rsidR="0012621F">
        <w:rPr>
          <w:noProof/>
        </w:rPr>
        <w:t>9</w:t>
      </w:r>
      <w:r w:rsidR="00A43EC2">
        <w:rPr>
          <w:noProof/>
        </w:rPr>
        <w:fldChar w:fldCharType="end"/>
      </w:r>
      <w:bookmarkEnd w:id="23"/>
      <w:r>
        <w:t xml:space="preserve"> </w:t>
      </w:r>
      <w:r w:rsidR="00717999">
        <w:t>Cardboard being fed into on-</w:t>
      </w:r>
      <w:r w:rsidR="005005BE">
        <w:t>board incinerator</w:t>
      </w:r>
    </w:p>
    <w:p w14:paraId="44C33219" w14:textId="77777777" w:rsidR="001A47EC" w:rsidRDefault="001A47EC" w:rsidP="001A47EC">
      <w:pPr>
        <w:pStyle w:val="ListNumber2"/>
        <w:numPr>
          <w:ilvl w:val="0"/>
          <w:numId w:val="0"/>
        </w:numPr>
        <w:ind w:left="720"/>
      </w:pPr>
      <w:r>
        <w:rPr>
          <w:noProof/>
          <w:lang w:eastAsia="en-AU"/>
        </w:rPr>
        <w:drawing>
          <wp:inline distT="0" distB="0" distL="0" distR="0" wp14:anchorId="5AAF2709" wp14:editId="0C7975B7">
            <wp:extent cx="3601095" cy="29916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2291" cy="2992672"/>
                    </a:xfrm>
                    <a:prstGeom prst="rect">
                      <a:avLst/>
                    </a:prstGeom>
                    <a:noFill/>
                    <a:ln>
                      <a:noFill/>
                    </a:ln>
                  </pic:spPr>
                </pic:pic>
              </a:graphicData>
            </a:graphic>
          </wp:inline>
        </w:drawing>
      </w:r>
    </w:p>
    <w:p w14:paraId="0F65CC11" w14:textId="77777777" w:rsidR="00342018" w:rsidRDefault="00342018" w:rsidP="00342018">
      <w:pPr>
        <w:pStyle w:val="ListNumber2"/>
        <w:ind w:hanging="578"/>
      </w:pPr>
      <w:r>
        <w:t>Disposal of waste overboard is regulated by the international MARPOL Annex V obligations. Annex V allows only food, grey water and general residues (for example</w:t>
      </w:r>
      <w:r w:rsidR="00413A9B">
        <w:t>,</w:t>
      </w:r>
      <w:r>
        <w:t xml:space="preserve"> deck wash water) to be intentionally discharged at sea in non-emergency situations. Any discharges of food materials must occur </w:t>
      </w:r>
      <w:r w:rsidR="00413A9B">
        <w:t>more</w:t>
      </w:r>
      <w:r>
        <w:t xml:space="preserve"> </w:t>
      </w:r>
      <w:r w:rsidRPr="004C6B2D">
        <w:t xml:space="preserve">than </w:t>
      </w:r>
      <w:r w:rsidR="00731B49">
        <w:t>three</w:t>
      </w:r>
      <w:r w:rsidRPr="004C6B2D">
        <w:t xml:space="preserve"> nautical miles from land</w:t>
      </w:r>
      <w:r w:rsidRPr="00A37EB2">
        <w:t xml:space="preserve"> if the </w:t>
      </w:r>
      <w:r w:rsidRPr="00A37EB2">
        <w:lastRenderedPageBreak/>
        <w:t>material is ground to less than 25</w:t>
      </w:r>
      <w:r w:rsidR="00413A9B" w:rsidRPr="00B516CF">
        <w:t xml:space="preserve"> millimetres</w:t>
      </w:r>
      <w:r w:rsidRPr="00B516CF">
        <w:t xml:space="preserve"> in diameter, or at least 12</w:t>
      </w:r>
      <w:r>
        <w:t xml:space="preserve"> nautical miles from land if not ground up. Because of these distance requirements, most discharges occur while the vessel is underway. Underway discharge contributes to faster dilution of material in the environment</w:t>
      </w:r>
      <w:r w:rsidR="00A83460">
        <w:t xml:space="preserve"> because the</w:t>
      </w:r>
      <w:r>
        <w:t xml:space="preserve"> discharge is spread over a wider area.</w:t>
      </w:r>
    </w:p>
    <w:p w14:paraId="4F5259A1" w14:textId="77777777" w:rsidR="00342018" w:rsidRDefault="00342018" w:rsidP="00342018">
      <w:pPr>
        <w:pStyle w:val="ListNumber2"/>
        <w:ind w:hanging="578"/>
      </w:pPr>
      <w:r>
        <w:t xml:space="preserve">Disposal of non-aquatic origin food waste into a marine environment is unlikely to pose a biosecurity risk </w:t>
      </w:r>
      <w:r w:rsidR="002B4C13">
        <w:t>because</w:t>
      </w:r>
      <w:r>
        <w:t xml:space="preserve"> the particle size</w:t>
      </w:r>
      <w:r w:rsidR="002B4C13">
        <w:t>s are small</w:t>
      </w:r>
      <w:r>
        <w:t xml:space="preserve">, dilution </w:t>
      </w:r>
      <w:r w:rsidR="002B4C13">
        <w:t xml:space="preserve">is fast </w:t>
      </w:r>
      <w:r>
        <w:t xml:space="preserve">and </w:t>
      </w:r>
      <w:r w:rsidR="00A83460">
        <w:t>organisms liable</w:t>
      </w:r>
      <w:r>
        <w:t xml:space="preserve"> to be infected</w:t>
      </w:r>
      <w:r w:rsidR="002B4C13">
        <w:t xml:space="preserve"> are not present in that environment</w:t>
      </w:r>
      <w:r>
        <w:t>. Disposal of material derived from aquatic organisms (fish, prawns</w:t>
      </w:r>
      <w:r w:rsidR="002B4C13">
        <w:t xml:space="preserve"> or</w:t>
      </w:r>
      <w:r>
        <w:t xml:space="preserve"> shellfish) may be of a higher risk than non-aquatic origin material because of the potential for contact with viable hosts</w:t>
      </w:r>
      <w:r w:rsidR="002B4C13">
        <w:t>.</w:t>
      </w:r>
      <w:r>
        <w:t xml:space="preserve"> </w:t>
      </w:r>
      <w:r w:rsidR="002B4C13">
        <w:t>B</w:t>
      </w:r>
      <w:r>
        <w:t>ut the overall risk is considered to be low.</w:t>
      </w:r>
    </w:p>
    <w:p w14:paraId="25454AD5" w14:textId="77777777" w:rsidR="00342018" w:rsidRDefault="002B4C13" w:rsidP="00342018">
      <w:pPr>
        <w:pStyle w:val="ListNumber2"/>
        <w:ind w:hanging="578"/>
      </w:pPr>
      <w:r>
        <w:t>Industry representatives suggested to the IIGB that</w:t>
      </w:r>
      <w:r w:rsidR="00342018">
        <w:t xml:space="preserve"> prawns </w:t>
      </w:r>
      <w:r>
        <w:t>might</w:t>
      </w:r>
      <w:r w:rsidR="00342018">
        <w:t xml:space="preserve"> pose a risk if disposed of in the marine environment. Prawns provide a good example of the relative risk associated with disposal of aquatic material in a marine environment. The </w:t>
      </w:r>
      <w:r w:rsidR="009F1D03" w:rsidRPr="00342018">
        <w:t>Generic Import Risk Analysis for Prawns and Prawn Products</w:t>
      </w:r>
      <w:r w:rsidR="00342018">
        <w:t xml:space="preserve"> </w:t>
      </w:r>
      <w:r>
        <w:t>(</w:t>
      </w:r>
      <w:r w:rsidR="00342018">
        <w:t>Biosecurity Australia 2009</w:t>
      </w:r>
      <w:r w:rsidR="00581DAE">
        <w:t>)</w:t>
      </w:r>
      <w:r w:rsidR="00342018">
        <w:t xml:space="preserve"> state</w:t>
      </w:r>
      <w:r w:rsidR="00581DAE">
        <w:t>s</w:t>
      </w:r>
      <w:r w:rsidR="00342018">
        <w:t>:</w:t>
      </w:r>
    </w:p>
    <w:p w14:paraId="6E54A2F2" w14:textId="77777777" w:rsidR="00342018" w:rsidRPr="004D5725" w:rsidRDefault="00342018" w:rsidP="00FC6098">
      <w:pPr>
        <w:pStyle w:val="Quote-block"/>
      </w:pPr>
      <w:r w:rsidRPr="00FC6098">
        <w:t>Waste from imported prawns could be discarded as food scraps directly into the aquatic environment. Susceptible prawns or other crustaceans would be unlikely to become infected in this</w:t>
      </w:r>
      <w:r w:rsidRPr="004D5725">
        <w:t xml:space="preserve"> way because such scraps would not be expected to contain pathogenic agents in infective form or in high concentrations (as most would be cooked). Moreover, discarded scraps would more likely be consumed by non-susceptible than susceptible species.</w:t>
      </w:r>
    </w:p>
    <w:p w14:paraId="3FFC0863" w14:textId="45AACD79" w:rsidR="00342018" w:rsidRDefault="00342018" w:rsidP="00342018">
      <w:pPr>
        <w:pStyle w:val="ListNumber2"/>
        <w:ind w:hanging="578"/>
      </w:pPr>
      <w:r>
        <w:t xml:space="preserve">During </w:t>
      </w:r>
      <w:r w:rsidR="00D127D6">
        <w:t>on</w:t>
      </w:r>
      <w:r w:rsidR="00FE1274">
        <w:t>-</w:t>
      </w:r>
      <w:r w:rsidR="00D127D6">
        <w:t xml:space="preserve">board </w:t>
      </w:r>
      <w:r>
        <w:t>fieldwork, the IIGB observed the process for sealing the grinders and machinery used for overboard disposal</w:t>
      </w:r>
      <w:r w:rsidR="006B4232">
        <w:t xml:space="preserve"> (</w:t>
      </w:r>
      <w:r w:rsidR="00A43EC2">
        <w:fldChar w:fldCharType="begin"/>
      </w:r>
      <w:r w:rsidR="001F05EE">
        <w:instrText xml:space="preserve"> REF _Ref445195997 \h </w:instrText>
      </w:r>
      <w:r w:rsidR="00A43EC2">
        <w:fldChar w:fldCharType="separate"/>
      </w:r>
      <w:r w:rsidR="0012621F">
        <w:t xml:space="preserve">Figure </w:t>
      </w:r>
      <w:r w:rsidR="0012621F">
        <w:rPr>
          <w:noProof/>
        </w:rPr>
        <w:t>10</w:t>
      </w:r>
      <w:r w:rsidR="00A43EC2">
        <w:fldChar w:fldCharType="end"/>
      </w:r>
      <w:r w:rsidR="001F05EE">
        <w:t xml:space="preserve"> and </w:t>
      </w:r>
      <w:r w:rsidR="00A43EC2">
        <w:fldChar w:fldCharType="begin"/>
      </w:r>
      <w:r w:rsidR="001F05EE">
        <w:instrText xml:space="preserve"> REF _Ref445196006 \h </w:instrText>
      </w:r>
      <w:r w:rsidR="00A43EC2">
        <w:fldChar w:fldCharType="separate"/>
      </w:r>
      <w:r w:rsidR="0012621F">
        <w:t xml:space="preserve">Figure </w:t>
      </w:r>
      <w:r w:rsidR="0012621F">
        <w:rPr>
          <w:noProof/>
        </w:rPr>
        <w:t>11</w:t>
      </w:r>
      <w:r w:rsidR="00A43EC2">
        <w:fldChar w:fldCharType="end"/>
      </w:r>
      <w:r w:rsidR="006B4232">
        <w:t>)</w:t>
      </w:r>
      <w:r>
        <w:t xml:space="preserve">. As part of the routine vessel inspection undertaken when a vessel enters port, </w:t>
      </w:r>
      <w:r w:rsidR="00D127D6">
        <w:t xml:space="preserve">a biosecurity officer seals </w:t>
      </w:r>
      <w:r>
        <w:t>the grinders and machinery with numbered seals and record</w:t>
      </w:r>
      <w:r w:rsidR="00D127D6">
        <w:t>s</w:t>
      </w:r>
      <w:r>
        <w:t xml:space="preserve"> </w:t>
      </w:r>
      <w:r w:rsidR="00D127D6">
        <w:t>the numbers</w:t>
      </w:r>
      <w:r>
        <w:t>. These seals prevent overboard discharge while in port. The cruise vessel is also provided with a quarantine direction stipulating under what circumstances the seals may be removed.</w:t>
      </w:r>
      <w:r w:rsidR="000A4FE6">
        <w:t xml:space="preserve"> </w:t>
      </w:r>
      <w:r w:rsidR="00C21CEB">
        <w:t>It is noted that, f</w:t>
      </w:r>
      <w:r w:rsidR="000A4FE6">
        <w:t>ollowing the March 2016 changes to RVI procedures</w:t>
      </w:r>
      <w:r w:rsidR="00C21CEB">
        <w:t>,</w:t>
      </w:r>
      <w:r w:rsidR="000A4FE6">
        <w:t xml:space="preserve"> this process is no longer required.    </w:t>
      </w:r>
    </w:p>
    <w:p w14:paraId="42DA9C26" w14:textId="77777777" w:rsidR="005005BE" w:rsidRDefault="001F05EE" w:rsidP="000D01FE">
      <w:pPr>
        <w:pStyle w:val="Caption"/>
      </w:pPr>
      <w:bookmarkStart w:id="24" w:name="_Ref445195997"/>
      <w:r>
        <w:t xml:space="preserve">Figure </w:t>
      </w:r>
      <w:r w:rsidR="00A43EC2">
        <w:fldChar w:fldCharType="begin"/>
      </w:r>
      <w:r w:rsidR="007725A9">
        <w:instrText xml:space="preserve"> SEQ Figure \* ARABIC </w:instrText>
      </w:r>
      <w:r w:rsidR="00A43EC2">
        <w:fldChar w:fldCharType="separate"/>
      </w:r>
      <w:r w:rsidR="0012621F">
        <w:rPr>
          <w:noProof/>
        </w:rPr>
        <w:t>10</w:t>
      </w:r>
      <w:r w:rsidR="00A43EC2">
        <w:rPr>
          <w:noProof/>
        </w:rPr>
        <w:fldChar w:fldCharType="end"/>
      </w:r>
      <w:bookmarkEnd w:id="24"/>
      <w:r>
        <w:t xml:space="preserve"> </w:t>
      </w:r>
      <w:r w:rsidR="005005BE">
        <w:t>Seal being applied to food grinder chute</w:t>
      </w:r>
    </w:p>
    <w:p w14:paraId="57A54401" w14:textId="77777777" w:rsidR="001A47EC" w:rsidRDefault="001A47EC" w:rsidP="001A47EC">
      <w:pPr>
        <w:pStyle w:val="ListNumber2"/>
        <w:numPr>
          <w:ilvl w:val="0"/>
          <w:numId w:val="0"/>
        </w:numPr>
        <w:ind w:left="720"/>
      </w:pPr>
      <w:r>
        <w:rPr>
          <w:noProof/>
          <w:lang w:eastAsia="en-AU"/>
        </w:rPr>
        <w:drawing>
          <wp:inline distT="0" distB="0" distL="0" distR="0" wp14:anchorId="2AA5A11C" wp14:editId="2F22686B">
            <wp:extent cx="3085200" cy="2509493"/>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5200" cy="2509493"/>
                    </a:xfrm>
                    <a:prstGeom prst="rect">
                      <a:avLst/>
                    </a:prstGeom>
                    <a:noFill/>
                    <a:ln>
                      <a:noFill/>
                    </a:ln>
                  </pic:spPr>
                </pic:pic>
              </a:graphicData>
            </a:graphic>
          </wp:inline>
        </w:drawing>
      </w:r>
    </w:p>
    <w:p w14:paraId="7A2ED145" w14:textId="77777777" w:rsidR="005005BE" w:rsidRDefault="001F05EE" w:rsidP="000D01FE">
      <w:pPr>
        <w:pStyle w:val="Caption"/>
      </w:pPr>
      <w:bookmarkStart w:id="25" w:name="_Ref445196006"/>
      <w:r>
        <w:lastRenderedPageBreak/>
        <w:t xml:space="preserve">Figure </w:t>
      </w:r>
      <w:r w:rsidR="00A43EC2">
        <w:fldChar w:fldCharType="begin"/>
      </w:r>
      <w:r w:rsidR="007725A9">
        <w:instrText xml:space="preserve"> SEQ Figure \* ARABIC </w:instrText>
      </w:r>
      <w:r w:rsidR="00A43EC2">
        <w:fldChar w:fldCharType="separate"/>
      </w:r>
      <w:r w:rsidR="0012621F">
        <w:rPr>
          <w:noProof/>
        </w:rPr>
        <w:t>11</w:t>
      </w:r>
      <w:r w:rsidR="00A43EC2">
        <w:rPr>
          <w:noProof/>
        </w:rPr>
        <w:fldChar w:fldCharType="end"/>
      </w:r>
      <w:bookmarkEnd w:id="25"/>
      <w:r>
        <w:t xml:space="preserve"> </w:t>
      </w:r>
      <w:r w:rsidR="005005BE">
        <w:t>Seal being applied to overboard disposal valve of food grinder</w:t>
      </w:r>
    </w:p>
    <w:p w14:paraId="711F4E62" w14:textId="77777777" w:rsidR="001A47EC" w:rsidRDefault="001A47EC" w:rsidP="001A47EC">
      <w:pPr>
        <w:pStyle w:val="ListNumber2"/>
        <w:numPr>
          <w:ilvl w:val="0"/>
          <w:numId w:val="0"/>
        </w:numPr>
        <w:ind w:left="720"/>
      </w:pPr>
      <w:r>
        <w:rPr>
          <w:noProof/>
          <w:lang w:eastAsia="en-AU"/>
        </w:rPr>
        <w:drawing>
          <wp:inline distT="0" distB="0" distL="0" distR="0" wp14:anchorId="560CA204" wp14:editId="3DB068CB">
            <wp:extent cx="3085200" cy="312541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5200" cy="3125417"/>
                    </a:xfrm>
                    <a:prstGeom prst="rect">
                      <a:avLst/>
                    </a:prstGeom>
                    <a:noFill/>
                    <a:ln>
                      <a:noFill/>
                    </a:ln>
                  </pic:spPr>
                </pic:pic>
              </a:graphicData>
            </a:graphic>
          </wp:inline>
        </w:drawing>
      </w:r>
    </w:p>
    <w:p w14:paraId="590EEB6E" w14:textId="77777777" w:rsidR="00342018" w:rsidRDefault="00342018" w:rsidP="00342018">
      <w:pPr>
        <w:pStyle w:val="ListNumber2"/>
        <w:ind w:hanging="578"/>
      </w:pPr>
      <w:r>
        <w:t xml:space="preserve">In port, offloading of waste occurs for those materials </w:t>
      </w:r>
      <w:r w:rsidR="009C4743">
        <w:t>that</w:t>
      </w:r>
      <w:r>
        <w:t xml:space="preserve"> either cannot be disposed of at sea or have some monetary value when recycled. Many of these products are not of biosecurity concern</w:t>
      </w:r>
      <w:r w:rsidR="009C4743">
        <w:t xml:space="preserve"> because</w:t>
      </w:r>
      <w:r>
        <w:t xml:space="preserve"> the material </w:t>
      </w:r>
      <w:r w:rsidR="009C4743">
        <w:t xml:space="preserve">type does not pose a risk </w:t>
      </w:r>
      <w:r>
        <w:t xml:space="preserve">or </w:t>
      </w:r>
      <w:r w:rsidR="009C4743">
        <w:t xml:space="preserve">any risks will be removed during </w:t>
      </w:r>
      <w:r>
        <w:t xml:space="preserve">the </w:t>
      </w:r>
      <w:r w:rsidR="009C4743">
        <w:t xml:space="preserve">recycling </w:t>
      </w:r>
      <w:r>
        <w:t xml:space="preserve">process. </w:t>
      </w:r>
      <w:r w:rsidR="00A5022C">
        <w:t>O</w:t>
      </w:r>
      <w:r>
        <w:t>ff</w:t>
      </w:r>
      <w:r w:rsidR="00A5022C">
        <w:t>-</w:t>
      </w:r>
      <w:r>
        <w:t xml:space="preserve">loaded </w:t>
      </w:r>
      <w:r w:rsidR="00A5022C">
        <w:t xml:space="preserve">materials that </w:t>
      </w:r>
      <w:r>
        <w:t xml:space="preserve">are not of biosecurity concern include incinerator ash and recyclables </w:t>
      </w:r>
      <w:r w:rsidR="00A5022C">
        <w:t xml:space="preserve">such as </w:t>
      </w:r>
      <w:r>
        <w:t>clothing, glass, metals and electronic items. Any materials of biosecurity concern are managed separately by a waste process provider operating under an approved arrangement with the department.</w:t>
      </w:r>
    </w:p>
    <w:p w14:paraId="2C6AAF1B" w14:textId="77777777" w:rsidR="00342018" w:rsidRDefault="00342018" w:rsidP="00342018">
      <w:pPr>
        <w:pStyle w:val="ListNumber2"/>
        <w:ind w:hanging="578"/>
      </w:pPr>
      <w:r>
        <w:t xml:space="preserve">The </w:t>
      </w:r>
      <w:r w:rsidR="00CF0577">
        <w:t>IIGB</w:t>
      </w:r>
      <w:r>
        <w:t xml:space="preserve"> audited vessel waste management in 2009 and found that collection and transport procedures provided adequate security for biosecurity waste. </w:t>
      </w:r>
      <w:r w:rsidR="00241EFB">
        <w:t>The IIGB did not conduct a</w:t>
      </w:r>
      <w:r>
        <w:t xml:space="preserve"> full </w:t>
      </w:r>
      <w:r w:rsidR="00241EFB">
        <w:t>assessment</w:t>
      </w:r>
      <w:r>
        <w:t xml:space="preserve"> of waste </w:t>
      </w:r>
      <w:r w:rsidR="00A83460">
        <w:t xml:space="preserve">disposal </w:t>
      </w:r>
      <w:r>
        <w:t xml:space="preserve">procedures </w:t>
      </w:r>
      <w:r w:rsidR="00241EFB">
        <w:t>for</w:t>
      </w:r>
      <w:r>
        <w:t xml:space="preserve"> </w:t>
      </w:r>
      <w:r w:rsidR="00513B15">
        <w:t>this</w:t>
      </w:r>
      <w:r>
        <w:t xml:space="preserve"> review of transhipped goods</w:t>
      </w:r>
      <w:r w:rsidR="00513B15">
        <w:t>. However</w:t>
      </w:r>
      <w:r>
        <w:t>, the handling of biosecurity waste observed during this review did not raise any concerns.</w:t>
      </w:r>
    </w:p>
    <w:p w14:paraId="13CC77FA" w14:textId="77777777" w:rsidR="00342018" w:rsidRDefault="00342018" w:rsidP="00DE3E69">
      <w:pPr>
        <w:pStyle w:val="Heading2numbered"/>
      </w:pPr>
      <w:bookmarkStart w:id="26" w:name="_Toc448492249"/>
      <w:r>
        <w:lastRenderedPageBreak/>
        <w:t>Conclusion</w:t>
      </w:r>
      <w:bookmarkEnd w:id="26"/>
    </w:p>
    <w:p w14:paraId="26236B24" w14:textId="77777777" w:rsidR="00342018" w:rsidRDefault="00342018" w:rsidP="00DE3E69">
      <w:pPr>
        <w:pStyle w:val="ListNumber2"/>
        <w:ind w:hanging="578"/>
      </w:pPr>
      <w:r>
        <w:t xml:space="preserve">The primary risk </w:t>
      </w:r>
      <w:r w:rsidR="006A57E5">
        <w:t xml:space="preserve">associated with </w:t>
      </w:r>
      <w:r>
        <w:t xml:space="preserve">transhipped goods is the potential </w:t>
      </w:r>
      <w:r w:rsidR="00E45903">
        <w:t xml:space="preserve">that hosts and/or </w:t>
      </w:r>
      <w:r w:rsidR="00E45903" w:rsidRPr="005057EB">
        <w:t>growth niches</w:t>
      </w:r>
      <w:r w:rsidR="00E45903">
        <w:t xml:space="preserve"> in Australia will be </w:t>
      </w:r>
      <w:r>
        <w:t>expose</w:t>
      </w:r>
      <w:r w:rsidR="00E45903">
        <w:t>d</w:t>
      </w:r>
      <w:r>
        <w:t xml:space="preserve"> </w:t>
      </w:r>
      <w:r w:rsidR="00E45903">
        <w:t>to</w:t>
      </w:r>
      <w:r>
        <w:t xml:space="preserve"> biosecurity risk materials. Exposure could occur through intentional </w:t>
      </w:r>
      <w:r w:rsidR="006A57E5" w:rsidRPr="005057EB">
        <w:t>illegal</w:t>
      </w:r>
      <w:r w:rsidR="006A57E5">
        <w:t xml:space="preserve"> </w:t>
      </w:r>
      <w:r>
        <w:t xml:space="preserve">diversion for use in Australia or accidental introduction </w:t>
      </w:r>
      <w:r w:rsidR="00E45903">
        <w:t>resulting from</w:t>
      </w:r>
      <w:r>
        <w:t xml:space="preserve"> damage to goods during transport and storage. </w:t>
      </w:r>
      <w:r w:rsidR="00E45903">
        <w:t>T</w:t>
      </w:r>
      <w:r>
        <w:t xml:space="preserve">ranshipped goods are intended to be </w:t>
      </w:r>
      <w:r w:rsidR="006A57E5">
        <w:t xml:space="preserve">exported </w:t>
      </w:r>
      <w:r>
        <w:t>from Australia</w:t>
      </w:r>
      <w:r w:rsidR="006A57E5">
        <w:t>,</w:t>
      </w:r>
      <w:r>
        <w:t xml:space="preserve"> </w:t>
      </w:r>
      <w:r w:rsidR="00E45903">
        <w:t xml:space="preserve">so </w:t>
      </w:r>
      <w:r>
        <w:t xml:space="preserve">current biosecurity conditions focus on </w:t>
      </w:r>
      <w:r w:rsidR="00E45903">
        <w:t>preventing</w:t>
      </w:r>
      <w:r>
        <w:t xml:space="preserve"> environmental exposure.</w:t>
      </w:r>
    </w:p>
    <w:p w14:paraId="37D21C32" w14:textId="77777777" w:rsidR="00342018" w:rsidRDefault="00E45903" w:rsidP="00DE3E69">
      <w:pPr>
        <w:pStyle w:val="ListNumber2"/>
        <w:ind w:hanging="578"/>
      </w:pPr>
      <w:r>
        <w:t>C</w:t>
      </w:r>
      <w:r w:rsidR="00342018">
        <w:t xml:space="preserve">urrent import conditions </w:t>
      </w:r>
      <w:r w:rsidR="006A57E5">
        <w:t xml:space="preserve">appear to be </w:t>
      </w:r>
      <w:r w:rsidR="00342018">
        <w:t xml:space="preserve">appropriate </w:t>
      </w:r>
      <w:r w:rsidR="000D68F4">
        <w:t>for</w:t>
      </w:r>
      <w:r w:rsidR="00342018">
        <w:t xml:space="preserve"> manag</w:t>
      </w:r>
      <w:r w:rsidR="000D68F4">
        <w:t>ing</w:t>
      </w:r>
      <w:r w:rsidR="00342018">
        <w:t xml:space="preserve"> the biosecurity risks associated with transhipped goods. </w:t>
      </w:r>
      <w:r w:rsidR="000D68F4">
        <w:t>These</w:t>
      </w:r>
      <w:r w:rsidR="00342018">
        <w:t xml:space="preserve"> conditions provide negligible opportunity for the diversion of goods</w:t>
      </w:r>
      <w:r w:rsidR="000D68F4">
        <w:t>. I</w:t>
      </w:r>
      <w:r w:rsidR="00342018">
        <w:t>f diversion occur</w:t>
      </w:r>
      <w:r w:rsidR="000D68F4">
        <w:t>red</w:t>
      </w:r>
      <w:r w:rsidR="006A57E5">
        <w:t>,</w:t>
      </w:r>
      <w:r w:rsidR="00342018">
        <w:t xml:space="preserve"> </w:t>
      </w:r>
      <w:r w:rsidR="00A15569">
        <w:t xml:space="preserve">the verification and inspection procedures required by the import conditions </w:t>
      </w:r>
      <w:r w:rsidR="000D68F4">
        <w:t xml:space="preserve">should ensure that </w:t>
      </w:r>
      <w:r w:rsidR="00342018">
        <w:t>the diversion would be identified promptly and an investigation undertaken.</w:t>
      </w:r>
    </w:p>
    <w:p w14:paraId="12907505" w14:textId="77777777" w:rsidR="00342018" w:rsidRDefault="00342018" w:rsidP="00DE3E69">
      <w:pPr>
        <w:pStyle w:val="ListNumber2"/>
        <w:ind w:hanging="578"/>
      </w:pPr>
      <w:r>
        <w:t xml:space="preserve">Goods being transhipped for cruise vessels are predominately shipped </w:t>
      </w:r>
      <w:r w:rsidR="006A57E5">
        <w:t>in</w:t>
      </w:r>
      <w:r>
        <w:t xml:space="preserve"> sealed FCL</w:t>
      </w:r>
      <w:r w:rsidR="00CF0577">
        <w:t xml:space="preserve"> container</w:t>
      </w:r>
      <w:r w:rsidR="00731B49">
        <w:t>s</w:t>
      </w:r>
      <w:r>
        <w:t>. This contributes to the high level of risk management that is achieved by current import conditions.</w:t>
      </w:r>
    </w:p>
    <w:p w14:paraId="4AE605E6" w14:textId="44996DC1" w:rsidR="00342018" w:rsidRDefault="00480E42" w:rsidP="00DE3E69">
      <w:pPr>
        <w:pStyle w:val="ListNumber2"/>
        <w:ind w:hanging="578"/>
      </w:pPr>
      <w:r>
        <w:t>D</w:t>
      </w:r>
      <w:r w:rsidR="00342018">
        <w:t>isposal of waste from a vessel</w:t>
      </w:r>
      <w:r w:rsidR="006A57E5">
        <w:t xml:space="preserve"> while</w:t>
      </w:r>
      <w:r w:rsidR="00342018">
        <w:t xml:space="preserve"> in port </w:t>
      </w:r>
      <w:r w:rsidR="00BA6A55">
        <w:t>has long been recognised as</w:t>
      </w:r>
      <w:r w:rsidR="00342018">
        <w:t xml:space="preserve"> a possible pathway for biosecurity risk material to be released into the Australian environment. </w:t>
      </w:r>
      <w:r w:rsidR="00BA6A55">
        <w:t>For many years, t</w:t>
      </w:r>
      <w:r w:rsidR="00342018">
        <w:t xml:space="preserve">he department has </w:t>
      </w:r>
      <w:r w:rsidR="004424CC">
        <w:t xml:space="preserve">imposed </w:t>
      </w:r>
      <w:r w:rsidR="00342018">
        <w:t xml:space="preserve">controls to regulate removal of biosecurity risk materials from a vessel. Any waste materials </w:t>
      </w:r>
      <w:r>
        <w:t>that</w:t>
      </w:r>
      <w:r w:rsidR="00342018">
        <w:t xml:space="preserve"> may pose a biosecurity risk are removed from the vessel</w:t>
      </w:r>
      <w:r w:rsidR="006A57E5">
        <w:t>,</w:t>
      </w:r>
      <w:r w:rsidR="00342018">
        <w:t xml:space="preserve"> either under the supervision of a biosecurity officer or by a company acting under an approved arrangement with the department.</w:t>
      </w:r>
    </w:p>
    <w:p w14:paraId="757D3486" w14:textId="77777777" w:rsidR="00342018" w:rsidRDefault="00DB0917" w:rsidP="00DE3E69">
      <w:pPr>
        <w:pStyle w:val="ListNumber2"/>
        <w:ind w:hanging="578"/>
      </w:pPr>
      <w:r>
        <w:t>D</w:t>
      </w:r>
      <w:r w:rsidR="00342018">
        <w:t xml:space="preserve">isposal of waste at sea is regulated </w:t>
      </w:r>
      <w:r w:rsidR="00342018" w:rsidRPr="00DB0917">
        <w:t>under</w:t>
      </w:r>
      <w:r w:rsidR="00342018" w:rsidRPr="00C90AAA">
        <w:t xml:space="preserve"> </w:t>
      </w:r>
      <w:r w:rsidRPr="00C90AAA">
        <w:t>t</w:t>
      </w:r>
      <w:r w:rsidR="00342018" w:rsidRPr="00BA65E3">
        <w:t>he</w:t>
      </w:r>
      <w:r w:rsidR="00342018" w:rsidRPr="00BA65E3">
        <w:rPr>
          <w:rStyle w:val="Emphasis"/>
        </w:rPr>
        <w:t xml:space="preserve"> Protection of the Sea (Prevention of Pollution from </w:t>
      </w:r>
      <w:r w:rsidRPr="00BA65E3">
        <w:rPr>
          <w:rStyle w:val="Emphasis"/>
        </w:rPr>
        <w:t>S</w:t>
      </w:r>
      <w:r w:rsidR="00342018" w:rsidRPr="00BA65E3">
        <w:rPr>
          <w:rStyle w:val="Emphasis"/>
        </w:rPr>
        <w:t>hips) Act 1983</w:t>
      </w:r>
      <w:r>
        <w:rPr>
          <w:i/>
        </w:rPr>
        <w:t>,</w:t>
      </w:r>
      <w:r w:rsidR="00342018">
        <w:t xml:space="preserve"> which gives effect to </w:t>
      </w:r>
      <w:r w:rsidR="0037689F">
        <w:t>t</w:t>
      </w:r>
      <w:r w:rsidR="00342018" w:rsidRPr="00DE3E69">
        <w:t xml:space="preserve">he </w:t>
      </w:r>
      <w:hyperlink r:id="rId37" w:history="1">
        <w:r w:rsidR="00363157" w:rsidRPr="003E4C5F">
          <w:rPr>
            <w:rStyle w:val="Hyperlink"/>
          </w:rPr>
          <w:t>International Convention for the Prevention of Pollution from Ships</w:t>
        </w:r>
      </w:hyperlink>
      <w:r w:rsidR="00363157" w:rsidRPr="00DE3E69" w:rsidDel="00363157">
        <w:t xml:space="preserve"> </w:t>
      </w:r>
      <w:r w:rsidR="00342018" w:rsidRPr="00DE3E69">
        <w:t>(MARPOL)</w:t>
      </w:r>
      <w:r w:rsidR="00342018">
        <w:t>. Annex V of MARPOL regulates how food materials, the largest source of biosecurity material on a cruise vessel, may be disposed of at sea. The requirements of Annex V are sufficient to address the potential risks associated with disposal of biosecurity material at sea</w:t>
      </w:r>
      <w:r w:rsidR="009E2C9F">
        <w:t xml:space="preserve"> because</w:t>
      </w:r>
      <w:r w:rsidR="00342018">
        <w:t xml:space="preserve"> these materials may only be disposed away from land and are quickly dispersed to levels unlikely to pose a biosecurity risk.</w:t>
      </w:r>
    </w:p>
    <w:p w14:paraId="6770FD66" w14:textId="4B2A9901" w:rsidR="00CD3DBF" w:rsidRDefault="009E2C9F" w:rsidP="00CD3DBF">
      <w:pPr>
        <w:pStyle w:val="ListNumber2"/>
        <w:ind w:hanging="578"/>
      </w:pPr>
      <w:r>
        <w:t>T</w:t>
      </w:r>
      <w:r w:rsidR="00717999">
        <w:t>he department appears to be satisfactorily managing the biosecurity risks associated with transhipped stores</w:t>
      </w:r>
      <w:r>
        <w:t>. However</w:t>
      </w:r>
      <w:r w:rsidR="00717999">
        <w:t>, the IIGB note</w:t>
      </w:r>
      <w:r>
        <w:t>s</w:t>
      </w:r>
      <w:r w:rsidR="00717999">
        <w:t xml:space="preserve"> </w:t>
      </w:r>
      <w:r>
        <w:t>that</w:t>
      </w:r>
      <w:r w:rsidR="00717999">
        <w:t xml:space="preserve"> </w:t>
      </w:r>
      <w:r>
        <w:t>Australian</w:t>
      </w:r>
      <w:r w:rsidR="00717999">
        <w:t xml:space="preserve"> industry stakeholders</w:t>
      </w:r>
      <w:r>
        <w:t xml:space="preserve"> continue to be concerned about the perceived </w:t>
      </w:r>
      <w:r w:rsidR="00FE1274">
        <w:t xml:space="preserve">biosecurity </w:t>
      </w:r>
      <w:r>
        <w:t>risks</w:t>
      </w:r>
      <w:r w:rsidR="00717999">
        <w:t xml:space="preserve">.  In light of these concerns, it is desirable that the department keeps the consultation process under review, and actively explores ways in which it might be improved. </w:t>
      </w:r>
      <w:r w:rsidR="009D36B8">
        <w:t>Improved communication should</w:t>
      </w:r>
      <w:r w:rsidR="009D36B8" w:rsidRPr="00BA65E3">
        <w:t xml:space="preserve"> be more achievable once</w:t>
      </w:r>
      <w:r w:rsidR="00717999" w:rsidRPr="009D36B8">
        <w:t xml:space="preserve"> t</w:t>
      </w:r>
      <w:r w:rsidR="00717999">
        <w:t xml:space="preserve">he </w:t>
      </w:r>
      <w:r w:rsidR="00717999" w:rsidRPr="00717999">
        <w:rPr>
          <w:i/>
        </w:rPr>
        <w:t>Biosecurity Act</w:t>
      </w:r>
      <w:r w:rsidR="00717999">
        <w:t xml:space="preserve"> </w:t>
      </w:r>
      <w:r w:rsidR="00717999" w:rsidRPr="00717999">
        <w:rPr>
          <w:i/>
        </w:rPr>
        <w:t>2015</w:t>
      </w:r>
      <w:r w:rsidR="00717999">
        <w:t xml:space="preserve"> </w:t>
      </w:r>
      <w:r w:rsidR="009D36B8">
        <w:t xml:space="preserve">comes into force </w:t>
      </w:r>
      <w:r w:rsidR="00717999">
        <w:t>in June 2016.</w:t>
      </w:r>
    </w:p>
    <w:p w14:paraId="3EF084DF" w14:textId="77777777" w:rsidR="00CD3DBF" w:rsidRDefault="00CD3DBF" w:rsidP="00CD3DBF">
      <w:pPr>
        <w:spacing w:before="1440"/>
        <w:ind w:left="720"/>
      </w:pPr>
      <w:r>
        <w:t>Dr Michael Bond</w:t>
      </w:r>
      <w:r>
        <w:br/>
        <w:t>Interim Inspector-General of Biosecurity</w:t>
      </w:r>
    </w:p>
    <w:p w14:paraId="27FFFA3A" w14:textId="1F2513A8" w:rsidR="00CD3DBF" w:rsidRPr="00717999" w:rsidRDefault="00CD3DBF" w:rsidP="00CD3DBF">
      <w:pPr>
        <w:spacing w:before="0" w:after="840" w:line="240" w:lineRule="auto"/>
        <w:ind w:left="720"/>
      </w:pPr>
      <w:r>
        <w:tab/>
        <w:t>April</w:t>
      </w:r>
      <w:r w:rsidRPr="000D469A">
        <w:t xml:space="preserve"> 201</w:t>
      </w:r>
      <w:r>
        <w:t>6</w:t>
      </w:r>
    </w:p>
    <w:p w14:paraId="586438B7" w14:textId="77777777" w:rsidR="005C57D9" w:rsidRDefault="00A37AFA" w:rsidP="00A37AFA">
      <w:pPr>
        <w:pStyle w:val="Heading2"/>
      </w:pPr>
      <w:bookmarkStart w:id="27" w:name="_Toc367702828"/>
      <w:bookmarkStart w:id="28" w:name="_Toc367706541"/>
      <w:bookmarkStart w:id="29" w:name="_Toc367707121"/>
      <w:bookmarkStart w:id="30" w:name="_Toc367707302"/>
      <w:bookmarkStart w:id="31" w:name="_Toc367708184"/>
      <w:bookmarkStart w:id="32" w:name="_Toc417308606"/>
      <w:bookmarkStart w:id="33" w:name="_Toc448492250"/>
      <w:r>
        <w:lastRenderedPageBreak/>
        <w:t xml:space="preserve">Appendix A: Processing </w:t>
      </w:r>
      <w:r w:rsidR="005C57D9">
        <w:t>t</w:t>
      </w:r>
      <w:r w:rsidR="00B44A4F">
        <w:t>ranshipped</w:t>
      </w:r>
      <w:r>
        <w:t xml:space="preserve"> </w:t>
      </w:r>
      <w:r w:rsidR="005C57D9">
        <w:t>s</w:t>
      </w:r>
      <w:r>
        <w:t>hip</w:t>
      </w:r>
      <w:r w:rsidR="00B44A4F">
        <w:t>s</w:t>
      </w:r>
      <w:r>
        <w:t xml:space="preserve"> </w:t>
      </w:r>
      <w:r w:rsidR="005C57D9">
        <w:t>s</w:t>
      </w:r>
      <w:r>
        <w:t xml:space="preserve">tores </w:t>
      </w:r>
      <w:r w:rsidR="005C57D9">
        <w:t>f</w:t>
      </w:r>
      <w:r>
        <w:t xml:space="preserve">or </w:t>
      </w:r>
      <w:r w:rsidR="005C57D9">
        <w:t>c</w:t>
      </w:r>
      <w:r>
        <w:t xml:space="preserve">ruise </w:t>
      </w:r>
      <w:r w:rsidR="005C57D9">
        <w:t>a</w:t>
      </w:r>
      <w:r>
        <w:t xml:space="preserve">nd </w:t>
      </w:r>
      <w:r w:rsidR="005C57D9">
        <w:t>c</w:t>
      </w:r>
      <w:r>
        <w:t xml:space="preserve">ommercial </w:t>
      </w:r>
      <w:r w:rsidR="005C57D9">
        <w:t>v</w:t>
      </w:r>
      <w:r>
        <w:t>essels</w:t>
      </w:r>
      <w:bookmarkEnd w:id="33"/>
    </w:p>
    <w:p w14:paraId="17E0A0A5" w14:textId="77777777" w:rsidR="005C57D9" w:rsidRDefault="00E30208" w:rsidP="00BA65E3">
      <w:pPr>
        <w:pStyle w:val="Caption"/>
        <w:ind w:firstLine="0"/>
      </w:pPr>
      <w:r>
        <w:t xml:space="preserve">Figure </w:t>
      </w:r>
      <w:proofErr w:type="gramStart"/>
      <w:r>
        <w:t>A</w:t>
      </w:r>
      <w:proofErr w:type="gramEnd"/>
      <w:r w:rsidR="00A43EC2">
        <w:fldChar w:fldCharType="begin"/>
      </w:r>
      <w:r w:rsidR="007725A9">
        <w:instrText xml:space="preserve"> SEQ Figure_A \* ARABIC </w:instrText>
      </w:r>
      <w:r w:rsidR="00A43EC2">
        <w:fldChar w:fldCharType="separate"/>
      </w:r>
      <w:r w:rsidR="0012621F">
        <w:rPr>
          <w:noProof/>
        </w:rPr>
        <w:t>1</w:t>
      </w:r>
      <w:r w:rsidR="00A43EC2">
        <w:rPr>
          <w:noProof/>
        </w:rPr>
        <w:fldChar w:fldCharType="end"/>
      </w:r>
      <w:r w:rsidR="005C57D9">
        <w:t xml:space="preserve"> </w:t>
      </w:r>
      <w:r w:rsidR="00BB4306">
        <w:t xml:space="preserve">Processing </w:t>
      </w:r>
      <w:r w:rsidR="00B44A4F">
        <w:t xml:space="preserve">transhipped </w:t>
      </w:r>
      <w:r w:rsidR="00BB4306">
        <w:t>s</w:t>
      </w:r>
      <w:r w:rsidR="005C57D9" w:rsidRPr="0078670A">
        <w:t>hip</w:t>
      </w:r>
      <w:r w:rsidR="00B44A4F">
        <w:t>s</w:t>
      </w:r>
      <w:r w:rsidR="005C57D9" w:rsidRPr="0078670A">
        <w:t xml:space="preserve"> stores</w:t>
      </w:r>
      <w:r w:rsidR="00B44A4F">
        <w:t xml:space="preserve"> for </w:t>
      </w:r>
      <w:r w:rsidR="005C57D9" w:rsidRPr="0078670A">
        <w:t>cruise and commercial vessels</w:t>
      </w:r>
      <w:r w:rsidR="0071789D" w:rsidRPr="0078670A">
        <w:t>,</w:t>
      </w:r>
      <w:r w:rsidR="0078670A">
        <w:t xml:space="preserve"> Australia</w:t>
      </w:r>
    </w:p>
    <w:p w14:paraId="1F7F9D74" w14:textId="77777777" w:rsidR="00A37AFA" w:rsidRDefault="00126F0A" w:rsidP="00A37AFA">
      <w:pPr>
        <w:rPr>
          <w:lang w:eastAsia="en-AU"/>
        </w:rPr>
      </w:pPr>
      <w:r>
        <w:rPr>
          <w:noProof/>
          <w:lang w:eastAsia="en-AU"/>
        </w:rPr>
        <w:drawing>
          <wp:inline distT="0" distB="0" distL="0" distR="0" wp14:anchorId="33B0F875" wp14:editId="273869A3">
            <wp:extent cx="5852160" cy="7689509"/>
            <wp:effectExtent l="0" t="0" r="0" b="6985"/>
            <wp:docPr id="18" name="Picture 18" descr="Transhipped ships stores are profiled in the ICS system by a word matching. If a profile is successfully matched then the consignment is held in the ICS system. &#10;The hold in the ICS system is removed by a biosecurity officer once they have assessed shipping manifests to identify if any biosecurity risk material is present in the consignment.&#10;&#10;Category 1 goods may be released without further bisoecurity intervention.&#10;Category 2 goods may either be inspected to verify freefom from biosecurity risk or they can be held in their original shipping container and unpacked direct on to the departing vessel. If a biosecurity risk is identified during inspection the good must either be treated, exported (not as ship stores) or destroyed.&#10;Category 3 goods must be held seals intact and be exported as ships stores under the supervision of a biosecurity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852160" cy="7689509"/>
                    </a:xfrm>
                    <a:prstGeom prst="rect">
                      <a:avLst/>
                    </a:prstGeom>
                  </pic:spPr>
                </pic:pic>
              </a:graphicData>
            </a:graphic>
          </wp:inline>
        </w:drawing>
      </w:r>
    </w:p>
    <w:p w14:paraId="7DC837DD" w14:textId="77777777" w:rsidR="00834118" w:rsidRPr="00BA65E3" w:rsidRDefault="00834118" w:rsidP="00BA65E3">
      <w:pPr>
        <w:pStyle w:val="Figuretablenotesource"/>
        <w:ind w:firstLine="0"/>
      </w:pPr>
      <w:r w:rsidRPr="00BA65E3">
        <w:rPr>
          <w:rStyle w:val="Bold"/>
        </w:rPr>
        <w:t>77G</w:t>
      </w:r>
      <w:r w:rsidRPr="00BA65E3">
        <w:t xml:space="preserve"> </w:t>
      </w:r>
      <w:r w:rsidR="00932F8B" w:rsidRPr="00BA65E3">
        <w:t>warehouse or depot licenced to hold or pack cargo under customs control</w:t>
      </w:r>
      <w:r w:rsidRPr="00BA65E3">
        <w:t xml:space="preserve">. </w:t>
      </w:r>
      <w:r w:rsidRPr="00BA65E3">
        <w:rPr>
          <w:rStyle w:val="Bold"/>
        </w:rPr>
        <w:t>CTO</w:t>
      </w:r>
      <w:r w:rsidRPr="00BA65E3">
        <w:rPr>
          <w:rStyle w:val="Bold"/>
          <w:b w:val="0"/>
        </w:rPr>
        <w:t xml:space="preserve"> </w:t>
      </w:r>
      <w:r w:rsidR="004E4FEE">
        <w:t>C</w:t>
      </w:r>
      <w:r w:rsidR="00932F8B" w:rsidRPr="004C6B2D">
        <w:t>argo terminal operator</w:t>
      </w:r>
      <w:r w:rsidRPr="00BA65E3">
        <w:t>.</w:t>
      </w:r>
      <w:r w:rsidR="0071789D" w:rsidRPr="00BA65E3">
        <w:t xml:space="preserve"> </w:t>
      </w:r>
      <w:r w:rsidR="0071789D" w:rsidRPr="00BA65E3">
        <w:rPr>
          <w:rStyle w:val="Bold"/>
        </w:rPr>
        <w:t>ICS</w:t>
      </w:r>
      <w:r w:rsidR="0071789D" w:rsidRPr="00BA65E3">
        <w:t xml:space="preserve"> </w:t>
      </w:r>
      <w:r w:rsidR="00BB4306" w:rsidRPr="00BA65E3">
        <w:t>Integrated Cargo System, managed by the Australian Customs and Border Protection Service</w:t>
      </w:r>
      <w:r w:rsidR="00B516CF" w:rsidRPr="004E4FEE">
        <w:t>.</w:t>
      </w:r>
      <w:r w:rsidR="00BB4306" w:rsidRPr="00BA65E3" w:rsidDel="00BB4306">
        <w:t xml:space="preserve"> </w:t>
      </w:r>
    </w:p>
    <w:p w14:paraId="0514197E" w14:textId="77777777" w:rsidR="006661C4" w:rsidRDefault="003F77D8">
      <w:pPr>
        <w:pStyle w:val="Heading2"/>
      </w:pPr>
      <w:bookmarkStart w:id="34" w:name="_Toc448492251"/>
      <w:r>
        <w:lastRenderedPageBreak/>
        <w:t xml:space="preserve">Appendix </w:t>
      </w:r>
      <w:r w:rsidR="005C57D9">
        <w:t>B</w:t>
      </w:r>
      <w:r>
        <w:t>: Agency response</w:t>
      </w:r>
      <w:bookmarkEnd w:id="27"/>
      <w:bookmarkEnd w:id="28"/>
      <w:bookmarkEnd w:id="29"/>
      <w:bookmarkEnd w:id="30"/>
      <w:bookmarkEnd w:id="31"/>
      <w:bookmarkEnd w:id="32"/>
      <w:bookmarkEnd w:id="34"/>
    </w:p>
    <w:p w14:paraId="6F22A228" w14:textId="4F86B54E" w:rsidR="006661C4" w:rsidRDefault="00E30208" w:rsidP="00BA65E3">
      <w:pPr>
        <w:pStyle w:val="Caption"/>
        <w:ind w:firstLine="0"/>
      </w:pPr>
      <w:r>
        <w:t>Figure B</w:t>
      </w:r>
      <w:r w:rsidR="00A43EC2">
        <w:fldChar w:fldCharType="begin"/>
      </w:r>
      <w:r w:rsidR="007725A9">
        <w:instrText xml:space="preserve"> SEQ Figure_B \* ARABIC </w:instrText>
      </w:r>
      <w:r w:rsidR="00A43EC2">
        <w:fldChar w:fldCharType="separate"/>
      </w:r>
      <w:r w:rsidR="0012621F">
        <w:rPr>
          <w:noProof/>
        </w:rPr>
        <w:t>1</w:t>
      </w:r>
      <w:r w:rsidR="00A43EC2">
        <w:rPr>
          <w:noProof/>
        </w:rPr>
        <w:fldChar w:fldCharType="end"/>
      </w:r>
      <w:r w:rsidDel="00E30208">
        <w:t xml:space="preserve"> </w:t>
      </w:r>
    </w:p>
    <w:p w14:paraId="7DE64C85" w14:textId="303318CC" w:rsidR="001C76FB" w:rsidRPr="001C76FB" w:rsidRDefault="001C76FB" w:rsidP="001C76FB">
      <w:r>
        <w:rPr>
          <w:noProof/>
          <w:lang w:eastAsia="en-AU"/>
        </w:rPr>
        <w:drawing>
          <wp:inline distT="0" distB="0" distL="0" distR="0" wp14:anchorId="334B2573" wp14:editId="00944078">
            <wp:extent cx="5976620" cy="844613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6620" cy="8446135"/>
                    </a:xfrm>
                    <a:prstGeom prst="rect">
                      <a:avLst/>
                    </a:prstGeom>
                  </pic:spPr>
                </pic:pic>
              </a:graphicData>
            </a:graphic>
          </wp:inline>
        </w:drawing>
      </w:r>
    </w:p>
    <w:p w14:paraId="1EB3B8E4" w14:textId="77777777" w:rsidR="006661C4" w:rsidRDefault="003F77D8">
      <w:pPr>
        <w:pStyle w:val="Heading2"/>
      </w:pPr>
      <w:bookmarkStart w:id="35" w:name="_Toc367702838"/>
      <w:bookmarkStart w:id="36" w:name="_Toc367706551"/>
      <w:bookmarkStart w:id="37" w:name="_Toc367707131"/>
      <w:bookmarkStart w:id="38" w:name="_Toc367707312"/>
      <w:bookmarkStart w:id="39" w:name="_Toc367708193"/>
      <w:bookmarkStart w:id="40" w:name="_Toc417308610"/>
      <w:bookmarkStart w:id="41" w:name="_Toc448492252"/>
      <w:r>
        <w:lastRenderedPageBreak/>
        <w:t>Glossary</w:t>
      </w:r>
      <w:bookmarkEnd w:id="35"/>
      <w:bookmarkEnd w:id="36"/>
      <w:bookmarkEnd w:id="37"/>
      <w:bookmarkEnd w:id="38"/>
      <w:bookmarkEnd w:id="39"/>
      <w:bookmarkEnd w:id="40"/>
      <w:bookmarkEnd w:id="41"/>
    </w:p>
    <w:tbl>
      <w:tblPr>
        <w:tblW w:w="9226" w:type="dxa"/>
        <w:tblLayout w:type="fixed"/>
        <w:tblCellMar>
          <w:left w:w="10" w:type="dxa"/>
          <w:right w:w="10" w:type="dxa"/>
        </w:tblCellMar>
        <w:tblLook w:val="0000" w:firstRow="0" w:lastRow="0" w:firstColumn="0" w:lastColumn="0" w:noHBand="0" w:noVBand="0"/>
      </w:tblPr>
      <w:tblGrid>
        <w:gridCol w:w="2943"/>
        <w:gridCol w:w="6283"/>
      </w:tblGrid>
      <w:tr w:rsidR="006661C4" w14:paraId="46D30507" w14:textId="77777777" w:rsidTr="00BA65E3">
        <w:trPr>
          <w:cantSplit/>
          <w:trHeight w:val="379"/>
          <w:tblHeader/>
        </w:trPr>
        <w:tc>
          <w:tcPr>
            <w:tcW w:w="2943" w:type="dxa"/>
            <w:shd w:val="clear" w:color="auto" w:fill="auto"/>
            <w:tcMar>
              <w:top w:w="0" w:type="dxa"/>
              <w:left w:w="108" w:type="dxa"/>
              <w:bottom w:w="0" w:type="dxa"/>
              <w:right w:w="108" w:type="dxa"/>
            </w:tcMar>
          </w:tcPr>
          <w:p w14:paraId="6FC8CD14" w14:textId="77777777" w:rsidR="006661C4" w:rsidRDefault="003F77D8" w:rsidP="00887FD0">
            <w:r>
              <w:rPr>
                <w:rStyle w:val="Bold"/>
              </w:rPr>
              <w:t>Term</w:t>
            </w:r>
          </w:p>
        </w:tc>
        <w:tc>
          <w:tcPr>
            <w:tcW w:w="6283" w:type="dxa"/>
            <w:shd w:val="clear" w:color="auto" w:fill="auto"/>
            <w:tcMar>
              <w:top w:w="0" w:type="dxa"/>
              <w:left w:w="108" w:type="dxa"/>
              <w:bottom w:w="0" w:type="dxa"/>
              <w:right w:w="108" w:type="dxa"/>
            </w:tcMar>
          </w:tcPr>
          <w:p w14:paraId="057078B2" w14:textId="77777777" w:rsidR="006661C4" w:rsidRDefault="003F77D8" w:rsidP="00887FD0">
            <w:r w:rsidRPr="0026311B">
              <w:rPr>
                <w:rStyle w:val="Strong"/>
              </w:rPr>
              <w:t>Definition</w:t>
            </w:r>
          </w:p>
        </w:tc>
      </w:tr>
      <w:tr w:rsidR="00DE5A5D" w14:paraId="771A172D" w14:textId="77777777" w:rsidTr="00BA65E3">
        <w:trPr>
          <w:trHeight w:val="379"/>
        </w:trPr>
        <w:tc>
          <w:tcPr>
            <w:tcW w:w="2943" w:type="dxa"/>
            <w:shd w:val="clear" w:color="auto" w:fill="auto"/>
            <w:tcMar>
              <w:top w:w="0" w:type="dxa"/>
              <w:left w:w="108" w:type="dxa"/>
              <w:bottom w:w="0" w:type="dxa"/>
              <w:right w:w="108" w:type="dxa"/>
            </w:tcMar>
          </w:tcPr>
          <w:p w14:paraId="2874B882" w14:textId="77777777" w:rsidR="00DE5A5D" w:rsidRPr="008E38C1" w:rsidRDefault="00893598" w:rsidP="00887FD0">
            <w:pPr>
              <w:rPr>
                <w:color w:val="000000"/>
                <w:szCs w:val="24"/>
              </w:rPr>
            </w:pPr>
            <w:r w:rsidRPr="004C6B2D">
              <w:rPr>
                <w:color w:val="000000"/>
                <w:szCs w:val="24"/>
              </w:rPr>
              <w:t>77G d</w:t>
            </w:r>
            <w:r w:rsidR="004A24D3" w:rsidRPr="00A37EB2">
              <w:rPr>
                <w:color w:val="000000"/>
                <w:szCs w:val="24"/>
              </w:rPr>
              <w:t>epot</w:t>
            </w:r>
          </w:p>
        </w:tc>
        <w:tc>
          <w:tcPr>
            <w:tcW w:w="6283" w:type="dxa"/>
            <w:shd w:val="clear" w:color="auto" w:fill="auto"/>
            <w:tcMar>
              <w:top w:w="0" w:type="dxa"/>
              <w:left w:w="108" w:type="dxa"/>
              <w:bottom w:w="0" w:type="dxa"/>
              <w:right w:w="108" w:type="dxa"/>
            </w:tcMar>
          </w:tcPr>
          <w:p w14:paraId="20D71A56" w14:textId="77777777" w:rsidR="00DE5A5D" w:rsidRPr="008E38C1" w:rsidRDefault="0078670A" w:rsidP="00E821F2">
            <w:pPr>
              <w:rPr>
                <w:color w:val="000000"/>
                <w:szCs w:val="24"/>
              </w:rPr>
            </w:pPr>
            <w:r w:rsidRPr="00BA65E3">
              <w:rPr>
                <w:color w:val="000000"/>
                <w:szCs w:val="24"/>
              </w:rPr>
              <w:t>a</w:t>
            </w:r>
            <w:r w:rsidR="004A24D3" w:rsidRPr="00A37EB2">
              <w:rPr>
                <w:color w:val="000000"/>
                <w:szCs w:val="24"/>
              </w:rPr>
              <w:t xml:space="preserve"> warehouse or depot licenced under section 77(g) of the </w:t>
            </w:r>
            <w:r w:rsidR="004A24D3" w:rsidRPr="008E38C1">
              <w:rPr>
                <w:i/>
                <w:color w:val="000000"/>
                <w:szCs w:val="24"/>
              </w:rPr>
              <w:t>Customs Act 1901</w:t>
            </w:r>
            <w:r w:rsidR="004A24D3" w:rsidRPr="008E38C1">
              <w:rPr>
                <w:color w:val="000000"/>
                <w:szCs w:val="24"/>
              </w:rPr>
              <w:t xml:space="preserve"> to hold or pack cargo under customs control</w:t>
            </w:r>
          </w:p>
        </w:tc>
      </w:tr>
      <w:tr w:rsidR="00DE5A5D" w14:paraId="4CB27E33" w14:textId="77777777" w:rsidTr="00BA65E3">
        <w:trPr>
          <w:trHeight w:val="379"/>
        </w:trPr>
        <w:tc>
          <w:tcPr>
            <w:tcW w:w="2943" w:type="dxa"/>
            <w:shd w:val="clear" w:color="auto" w:fill="auto"/>
            <w:tcMar>
              <w:top w:w="0" w:type="dxa"/>
              <w:left w:w="108" w:type="dxa"/>
              <w:bottom w:w="0" w:type="dxa"/>
              <w:right w:w="108" w:type="dxa"/>
            </w:tcMar>
          </w:tcPr>
          <w:p w14:paraId="3EF8138E" w14:textId="77777777" w:rsidR="00DE5A5D" w:rsidRPr="00A37EB2" w:rsidRDefault="00E12868" w:rsidP="00887FD0">
            <w:pPr>
              <w:rPr>
                <w:color w:val="000000"/>
                <w:szCs w:val="24"/>
              </w:rPr>
            </w:pPr>
            <w:r w:rsidRPr="004C6B2D">
              <w:rPr>
                <w:color w:val="000000"/>
                <w:szCs w:val="24"/>
              </w:rPr>
              <w:t>AIMS</w:t>
            </w:r>
          </w:p>
        </w:tc>
        <w:tc>
          <w:tcPr>
            <w:tcW w:w="6283" w:type="dxa"/>
            <w:shd w:val="clear" w:color="auto" w:fill="auto"/>
            <w:tcMar>
              <w:top w:w="0" w:type="dxa"/>
              <w:left w:w="108" w:type="dxa"/>
              <w:bottom w:w="0" w:type="dxa"/>
              <w:right w:w="108" w:type="dxa"/>
            </w:tcMar>
          </w:tcPr>
          <w:p w14:paraId="4E131251" w14:textId="77777777" w:rsidR="00DE5A5D" w:rsidRPr="008E38C1" w:rsidRDefault="004F48B7" w:rsidP="004C6B2D">
            <w:pPr>
              <w:rPr>
                <w:color w:val="000000"/>
                <w:szCs w:val="24"/>
              </w:rPr>
            </w:pPr>
            <w:r w:rsidRPr="00A93875">
              <w:rPr>
                <w:color w:val="000000"/>
                <w:szCs w:val="24"/>
              </w:rPr>
              <w:t>Agriculture Import Management System</w:t>
            </w:r>
            <w:r>
              <w:rPr>
                <w:color w:val="000000"/>
                <w:szCs w:val="24"/>
              </w:rPr>
              <w:t xml:space="preserve"> used by the </w:t>
            </w:r>
            <w:r w:rsidRPr="00A93875">
              <w:rPr>
                <w:color w:val="000000"/>
                <w:szCs w:val="24"/>
              </w:rPr>
              <w:t>Department of Agriculture and Water Resources</w:t>
            </w:r>
            <w:r>
              <w:rPr>
                <w:color w:val="000000"/>
                <w:szCs w:val="24"/>
              </w:rPr>
              <w:t xml:space="preserve"> to store</w:t>
            </w:r>
            <w:r w:rsidRPr="00A93875">
              <w:rPr>
                <w:color w:val="000000"/>
                <w:szCs w:val="24"/>
              </w:rPr>
              <w:t xml:space="preserve"> records of</w:t>
            </w:r>
            <w:r>
              <w:rPr>
                <w:color w:val="000000"/>
                <w:szCs w:val="24"/>
              </w:rPr>
              <w:t xml:space="preserve"> imported cargo assessed</w:t>
            </w:r>
          </w:p>
        </w:tc>
      </w:tr>
      <w:tr w:rsidR="000E1D26" w14:paraId="6D511764" w14:textId="77777777" w:rsidTr="00BA65E3">
        <w:trPr>
          <w:trHeight w:val="379"/>
        </w:trPr>
        <w:tc>
          <w:tcPr>
            <w:tcW w:w="2943" w:type="dxa"/>
            <w:shd w:val="clear" w:color="auto" w:fill="auto"/>
            <w:tcMar>
              <w:top w:w="0" w:type="dxa"/>
              <w:left w:w="108" w:type="dxa"/>
              <w:bottom w:w="0" w:type="dxa"/>
              <w:right w:w="108" w:type="dxa"/>
            </w:tcMar>
          </w:tcPr>
          <w:p w14:paraId="76A03D05" w14:textId="77777777" w:rsidR="000E1D26" w:rsidRPr="00BA65E3" w:rsidRDefault="000E1D26" w:rsidP="00887FD0">
            <w:pPr>
              <w:rPr>
                <w:color w:val="000000"/>
                <w:szCs w:val="24"/>
              </w:rPr>
            </w:pPr>
            <w:r w:rsidRPr="00BA65E3">
              <w:rPr>
                <w:color w:val="000000"/>
                <w:szCs w:val="24"/>
              </w:rPr>
              <w:t>FCL</w:t>
            </w:r>
          </w:p>
        </w:tc>
        <w:tc>
          <w:tcPr>
            <w:tcW w:w="6283" w:type="dxa"/>
            <w:shd w:val="clear" w:color="auto" w:fill="auto"/>
            <w:tcMar>
              <w:top w:w="0" w:type="dxa"/>
              <w:left w:w="108" w:type="dxa"/>
              <w:bottom w:w="0" w:type="dxa"/>
              <w:right w:w="108" w:type="dxa"/>
            </w:tcMar>
          </w:tcPr>
          <w:p w14:paraId="7C51E87E" w14:textId="77777777" w:rsidR="000E1D26" w:rsidRPr="00BA65E3" w:rsidRDefault="00656B9D" w:rsidP="00943148">
            <w:pPr>
              <w:rPr>
                <w:color w:val="000000"/>
                <w:szCs w:val="24"/>
              </w:rPr>
            </w:pPr>
            <w:r w:rsidRPr="004C6B2D">
              <w:t>Full container load of one consignment from a single supplier or for a single importer</w:t>
            </w:r>
          </w:p>
        </w:tc>
      </w:tr>
      <w:tr w:rsidR="006425DC" w14:paraId="6EF7F4F5" w14:textId="77777777" w:rsidTr="00BA65E3">
        <w:trPr>
          <w:trHeight w:val="379"/>
        </w:trPr>
        <w:tc>
          <w:tcPr>
            <w:tcW w:w="2943" w:type="dxa"/>
            <w:shd w:val="clear" w:color="auto" w:fill="auto"/>
            <w:tcMar>
              <w:top w:w="0" w:type="dxa"/>
              <w:left w:w="108" w:type="dxa"/>
              <w:bottom w:w="0" w:type="dxa"/>
              <w:right w:w="108" w:type="dxa"/>
            </w:tcMar>
          </w:tcPr>
          <w:p w14:paraId="5AFB4DA3" w14:textId="77777777" w:rsidR="006425DC" w:rsidRPr="00BA65E3" w:rsidRDefault="006425DC" w:rsidP="00887FD0">
            <w:pPr>
              <w:rPr>
                <w:color w:val="000000"/>
                <w:szCs w:val="24"/>
              </w:rPr>
            </w:pPr>
            <w:r w:rsidRPr="00BA65E3">
              <w:rPr>
                <w:color w:val="000000"/>
                <w:szCs w:val="24"/>
              </w:rPr>
              <w:t>ICS</w:t>
            </w:r>
          </w:p>
        </w:tc>
        <w:tc>
          <w:tcPr>
            <w:tcW w:w="6283" w:type="dxa"/>
            <w:shd w:val="clear" w:color="auto" w:fill="auto"/>
            <w:tcMar>
              <w:top w:w="0" w:type="dxa"/>
              <w:left w:w="108" w:type="dxa"/>
              <w:bottom w:w="0" w:type="dxa"/>
              <w:right w:w="108" w:type="dxa"/>
            </w:tcMar>
          </w:tcPr>
          <w:p w14:paraId="75DE5F39" w14:textId="77777777" w:rsidR="006425DC" w:rsidRPr="00BA65E3" w:rsidRDefault="00656B9D" w:rsidP="00943148">
            <w:pPr>
              <w:rPr>
                <w:color w:val="000000"/>
                <w:szCs w:val="24"/>
              </w:rPr>
            </w:pPr>
            <w:r w:rsidRPr="004C6B2D">
              <w:rPr>
                <w:color w:val="000000"/>
                <w:szCs w:val="24"/>
              </w:rPr>
              <w:t>Integrated Cargo System, managed by the Australian Customs and Border Protection Service</w:t>
            </w:r>
          </w:p>
        </w:tc>
      </w:tr>
      <w:tr w:rsidR="006425DC" w14:paraId="4139E948" w14:textId="77777777" w:rsidTr="00BA65E3">
        <w:trPr>
          <w:trHeight w:val="379"/>
        </w:trPr>
        <w:tc>
          <w:tcPr>
            <w:tcW w:w="2943" w:type="dxa"/>
            <w:shd w:val="clear" w:color="auto" w:fill="auto"/>
            <w:tcMar>
              <w:top w:w="0" w:type="dxa"/>
              <w:left w:w="108" w:type="dxa"/>
              <w:bottom w:w="0" w:type="dxa"/>
              <w:right w:w="108" w:type="dxa"/>
            </w:tcMar>
          </w:tcPr>
          <w:p w14:paraId="397D4088" w14:textId="77777777" w:rsidR="006425DC" w:rsidRPr="00BA65E3" w:rsidRDefault="006425DC" w:rsidP="00887FD0">
            <w:pPr>
              <w:rPr>
                <w:color w:val="000000"/>
                <w:szCs w:val="24"/>
              </w:rPr>
            </w:pPr>
            <w:r w:rsidRPr="00BA65E3">
              <w:rPr>
                <w:color w:val="000000"/>
                <w:szCs w:val="24"/>
              </w:rPr>
              <w:t>QAP</w:t>
            </w:r>
          </w:p>
        </w:tc>
        <w:tc>
          <w:tcPr>
            <w:tcW w:w="6283" w:type="dxa"/>
            <w:shd w:val="clear" w:color="auto" w:fill="auto"/>
            <w:tcMar>
              <w:top w:w="0" w:type="dxa"/>
              <w:left w:w="108" w:type="dxa"/>
              <w:bottom w:w="0" w:type="dxa"/>
              <w:right w:w="108" w:type="dxa"/>
            </w:tcMar>
          </w:tcPr>
          <w:p w14:paraId="1521800B" w14:textId="77777777" w:rsidR="006425DC" w:rsidRPr="00BA65E3" w:rsidRDefault="00656B9D" w:rsidP="00943148">
            <w:pPr>
              <w:rPr>
                <w:color w:val="000000"/>
                <w:szCs w:val="24"/>
              </w:rPr>
            </w:pPr>
            <w:r w:rsidRPr="004C6B2D">
              <w:rPr>
                <w:color w:val="000000"/>
                <w:szCs w:val="24"/>
              </w:rPr>
              <w:t>Quarantine approved premises</w:t>
            </w:r>
          </w:p>
        </w:tc>
      </w:tr>
    </w:tbl>
    <w:p w14:paraId="65B74D57" w14:textId="77777777" w:rsidR="00023366" w:rsidRDefault="00023366" w:rsidP="00023366">
      <w:pPr>
        <w:pStyle w:val="Heading2"/>
      </w:pPr>
      <w:bookmarkStart w:id="42" w:name="_Toc448492253"/>
      <w:r>
        <w:lastRenderedPageBreak/>
        <w:t>References</w:t>
      </w:r>
      <w:bookmarkEnd w:id="42"/>
    </w:p>
    <w:p w14:paraId="441EE8CF" w14:textId="77777777" w:rsidR="00023366" w:rsidRPr="00CA3889" w:rsidRDefault="00023366" w:rsidP="00023366">
      <w:pPr>
        <w:autoSpaceDE w:val="0"/>
        <w:adjustRightInd w:val="0"/>
        <w:spacing w:after="0" w:line="240" w:lineRule="auto"/>
      </w:pPr>
      <w:r w:rsidRPr="00B73A3E">
        <w:t>Biosecurity Australia 2009</w:t>
      </w:r>
      <w:r>
        <w:t>,</w:t>
      </w:r>
      <w:r>
        <w:rPr>
          <w:rFonts w:ascii="TimesNewRoman" w:eastAsia="TimesNewRoman" w:hAnsiTheme="minorHAnsi" w:cs="TimesNewRoman"/>
          <w:color w:val="010101"/>
        </w:rPr>
        <w:t xml:space="preserve"> </w:t>
      </w:r>
      <w:r w:rsidRPr="00BA65E3">
        <w:rPr>
          <w:rStyle w:val="Emphasis"/>
        </w:rPr>
        <w:t xml:space="preserve">Generic </w:t>
      </w:r>
      <w:r>
        <w:rPr>
          <w:rStyle w:val="Emphasis"/>
        </w:rPr>
        <w:t>i</w:t>
      </w:r>
      <w:r w:rsidRPr="00BA65E3">
        <w:rPr>
          <w:rStyle w:val="Emphasis"/>
        </w:rPr>
        <w:t xml:space="preserve">mport </w:t>
      </w:r>
      <w:r>
        <w:rPr>
          <w:rStyle w:val="Emphasis"/>
        </w:rPr>
        <w:t>r</w:t>
      </w:r>
      <w:r w:rsidRPr="00BA65E3">
        <w:rPr>
          <w:rStyle w:val="Emphasis"/>
        </w:rPr>
        <w:t xml:space="preserve">isk </w:t>
      </w:r>
      <w:r>
        <w:rPr>
          <w:rStyle w:val="Emphasis"/>
        </w:rPr>
        <w:t>a</w:t>
      </w:r>
      <w:r w:rsidRPr="00BA65E3">
        <w:rPr>
          <w:rStyle w:val="Emphasis"/>
        </w:rPr>
        <w:t xml:space="preserve">nalysis </w:t>
      </w:r>
      <w:r>
        <w:rPr>
          <w:rStyle w:val="Emphasis"/>
        </w:rPr>
        <w:t>r</w:t>
      </w:r>
      <w:r w:rsidRPr="00BA65E3">
        <w:rPr>
          <w:rStyle w:val="Emphasis"/>
        </w:rPr>
        <w:t xml:space="preserve">eport for </w:t>
      </w:r>
      <w:r>
        <w:rPr>
          <w:rStyle w:val="Emphasis"/>
        </w:rPr>
        <w:t>p</w:t>
      </w:r>
      <w:r w:rsidRPr="00BA65E3">
        <w:rPr>
          <w:rStyle w:val="Emphasis"/>
        </w:rPr>
        <w:t xml:space="preserve">rawns and </w:t>
      </w:r>
      <w:r>
        <w:rPr>
          <w:rStyle w:val="Emphasis"/>
        </w:rPr>
        <w:t>p</w:t>
      </w:r>
      <w:r w:rsidRPr="00BA65E3">
        <w:rPr>
          <w:rStyle w:val="Emphasis"/>
        </w:rPr>
        <w:t xml:space="preserve">rawn </w:t>
      </w:r>
      <w:r>
        <w:rPr>
          <w:rStyle w:val="Emphasis"/>
        </w:rPr>
        <w:t>p</w:t>
      </w:r>
      <w:r w:rsidRPr="00BA65E3">
        <w:rPr>
          <w:rStyle w:val="Emphasis"/>
        </w:rPr>
        <w:t>roducts</w:t>
      </w:r>
      <w:r>
        <w:rPr>
          <w:rFonts w:asciiTheme="minorHAnsi" w:eastAsia="TimesNewRoman" w:hAnsiTheme="minorHAnsi" w:cs="TimesNewRoman"/>
          <w:color w:val="010101"/>
        </w:rPr>
        <w:t xml:space="preserve">, Canberra, available at </w:t>
      </w:r>
      <w:hyperlink r:id="rId40" w:history="1">
        <w:r w:rsidRPr="00BA65E3">
          <w:rPr>
            <w:rStyle w:val="Hyperlink"/>
          </w:rPr>
          <w:t>agriculture.gov.au/biosecurity/risk-analysis/ira/final-animal/prawns</w:t>
        </w:r>
      </w:hyperlink>
      <w:r>
        <w:rPr>
          <w:rStyle w:val="Hyperlink"/>
        </w:rPr>
        <w:t>.</w:t>
      </w:r>
    </w:p>
    <w:p w14:paraId="70D61DBF" w14:textId="77777777" w:rsidR="00D31E84" w:rsidRDefault="00D31E84" w:rsidP="00023366">
      <w:pPr>
        <w:spacing w:after="160" w:line="259" w:lineRule="auto"/>
        <w:rPr>
          <w:rFonts w:cs="Segoe UI"/>
          <w:color w:val="000000"/>
        </w:rPr>
      </w:pPr>
      <w:r>
        <w:rPr>
          <w:rFonts w:cs="Segoe UI"/>
          <w:color w:val="000000"/>
        </w:rPr>
        <w:t xml:space="preserve">Department of Agriculture 2016a </w:t>
      </w:r>
      <w:r w:rsidRPr="00DF4BC8">
        <w:rPr>
          <w:rFonts w:cs="Segoe UI"/>
          <w:i/>
          <w:color w:val="000000"/>
        </w:rPr>
        <w:t>Biosecurity Waste Management Business Policy</w:t>
      </w:r>
      <w:r>
        <w:rPr>
          <w:rFonts w:cs="Segoe UI"/>
          <w:color w:val="000000"/>
        </w:rPr>
        <w:t xml:space="preserve"> Canberra, available </w:t>
      </w:r>
      <w:r w:rsidRPr="00D31E84">
        <w:rPr>
          <w:rFonts w:cs="Segoe UI"/>
          <w:color w:val="000000"/>
        </w:rPr>
        <w:t>agriculture.gov.au/import/arrival/arrangements/biosecurity-waste/biosecurity-waste-management</w:t>
      </w:r>
    </w:p>
    <w:p w14:paraId="61400C57" w14:textId="77777777" w:rsidR="00D31E84" w:rsidRPr="00D31E84" w:rsidRDefault="00D31E84" w:rsidP="00023366">
      <w:pPr>
        <w:spacing w:after="160" w:line="259" w:lineRule="auto"/>
        <w:rPr>
          <w:rFonts w:cs="Segoe UI"/>
          <w:color w:val="000000"/>
        </w:rPr>
      </w:pPr>
      <w:r>
        <w:rPr>
          <w:rFonts w:cs="Segoe UI"/>
          <w:color w:val="000000"/>
        </w:rPr>
        <w:t xml:space="preserve">Department of Agriculture 2016b </w:t>
      </w:r>
      <w:hyperlink r:id="rId41" w:history="1">
        <w:r w:rsidRPr="00DF4BC8">
          <w:rPr>
            <w:i/>
          </w:rPr>
          <w:t>Biosecurity Import Risk Analysis Guidelines 2015</w:t>
        </w:r>
      </w:hyperlink>
      <w:r>
        <w:t xml:space="preserve"> Canberra, available </w:t>
      </w:r>
      <w:r w:rsidRPr="00D31E84">
        <w:t>agriculture.gov.au/biosecurity/legislation/new-biosecurity-legislation/draft-regulations/bira</w:t>
      </w:r>
    </w:p>
    <w:p w14:paraId="71264B6E" w14:textId="77777777" w:rsidR="006661C4" w:rsidRPr="00023366" w:rsidRDefault="00023366" w:rsidP="00023366">
      <w:pPr>
        <w:spacing w:after="160" w:line="259" w:lineRule="auto"/>
        <w:rPr>
          <w:rFonts w:cs="Segoe UI"/>
          <w:color w:val="000000"/>
        </w:rPr>
      </w:pPr>
      <w:r>
        <w:rPr>
          <w:rFonts w:cs="Segoe UI"/>
          <w:color w:val="000000"/>
        </w:rPr>
        <w:t>Department of Immigration and Border Protection</w:t>
      </w:r>
      <w:r w:rsidRPr="00B73EBA">
        <w:rPr>
          <w:rFonts w:cs="Segoe UI"/>
          <w:color w:val="000000"/>
        </w:rPr>
        <w:t xml:space="preserve"> </w:t>
      </w:r>
      <w:r>
        <w:rPr>
          <w:rFonts w:cs="Segoe UI"/>
          <w:color w:val="000000"/>
        </w:rPr>
        <w:t>2016</w:t>
      </w:r>
      <w:r w:rsidR="00AA2664">
        <w:rPr>
          <w:rFonts w:cs="Segoe UI"/>
          <w:color w:val="000000"/>
        </w:rPr>
        <w:t xml:space="preserve">, </w:t>
      </w:r>
      <w:r>
        <w:rPr>
          <w:rFonts w:cs="Segoe UI"/>
          <w:i/>
          <w:color w:val="000000"/>
        </w:rPr>
        <w:t>Export control</w:t>
      </w:r>
      <w:r>
        <w:rPr>
          <w:rFonts w:cs="Segoe UI"/>
          <w:color w:val="000000"/>
        </w:rPr>
        <w:t xml:space="preserve"> </w:t>
      </w:r>
      <w:r>
        <w:rPr>
          <w:rFonts w:cs="Segoe UI"/>
          <w:i/>
          <w:color w:val="000000"/>
        </w:rPr>
        <w:t>manual,</w:t>
      </w:r>
      <w:r>
        <w:rPr>
          <w:rFonts w:cs="Segoe UI"/>
          <w:color w:val="000000"/>
        </w:rPr>
        <w:t xml:space="preserve"> </w:t>
      </w:r>
      <w:r w:rsidR="00AA2664">
        <w:rPr>
          <w:rFonts w:cs="Segoe UI"/>
          <w:color w:val="000000"/>
        </w:rPr>
        <w:t xml:space="preserve">vol. 12, </w:t>
      </w:r>
      <w:r>
        <w:rPr>
          <w:rFonts w:cs="Segoe UI"/>
          <w:color w:val="000000"/>
        </w:rPr>
        <w:t xml:space="preserve">Australian Customs and Border Protection Service, Canberra, </w:t>
      </w:r>
      <w:r w:rsidR="00AA2664">
        <w:rPr>
          <w:rFonts w:cs="Segoe UI"/>
          <w:color w:val="000000"/>
        </w:rPr>
        <w:t xml:space="preserve">available at </w:t>
      </w:r>
      <w:hyperlink r:id="rId42" w:history="1">
        <w:r w:rsidRPr="000D01FE">
          <w:rPr>
            <w:rStyle w:val="Hyperlink"/>
            <w:rFonts w:cs="Segoe UI"/>
          </w:rPr>
          <w:t>border.gov.au/</w:t>
        </w:r>
        <w:proofErr w:type="spellStart"/>
        <w:r w:rsidRPr="000D01FE">
          <w:rPr>
            <w:rStyle w:val="Hyperlink"/>
            <w:rFonts w:cs="Segoe UI"/>
          </w:rPr>
          <w:t>Busi</w:t>
        </w:r>
        <w:proofErr w:type="spellEnd"/>
        <w:r w:rsidRPr="000D01FE">
          <w:rPr>
            <w:rStyle w:val="Hyperlink"/>
            <w:rFonts w:cs="Segoe UI"/>
          </w:rPr>
          <w:t>/Expo</w:t>
        </w:r>
      </w:hyperlink>
      <w:r>
        <w:rPr>
          <w:rStyle w:val="Hyperlink"/>
          <w:rFonts w:cs="Segoe UI"/>
        </w:rPr>
        <w:t>.</w:t>
      </w:r>
    </w:p>
    <w:sectPr w:rsidR="006661C4" w:rsidRPr="00023366" w:rsidSect="004C6B2D">
      <w:headerReference w:type="default" r:id="rId43"/>
      <w:footerReference w:type="default" r:id="rId44"/>
      <w:pgSz w:w="11906" w:h="16838"/>
      <w:pgMar w:top="1134" w:right="1247" w:bottom="1134" w:left="1247" w:header="567" w:footer="42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E5F60" w14:textId="77777777" w:rsidR="007118EC" w:rsidRDefault="007118EC" w:rsidP="006661C4">
      <w:pPr>
        <w:spacing w:before="0" w:after="0" w:line="240" w:lineRule="auto"/>
      </w:pPr>
      <w:r>
        <w:separator/>
      </w:r>
    </w:p>
  </w:endnote>
  <w:endnote w:type="continuationSeparator" w:id="0">
    <w:p w14:paraId="45391101" w14:textId="77777777" w:rsidR="007118EC" w:rsidRDefault="007118EC" w:rsidP="006661C4">
      <w:pPr>
        <w:spacing w:before="0" w:after="0" w:line="240" w:lineRule="auto"/>
      </w:pPr>
      <w:r>
        <w:continuationSeparator/>
      </w:r>
    </w:p>
  </w:endnote>
  <w:endnote w:type="continuationNotice" w:id="1">
    <w:p w14:paraId="05A20728" w14:textId="77777777" w:rsidR="007118EC" w:rsidRDefault="007118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272F2" w14:textId="77777777" w:rsidR="007118EC" w:rsidRDefault="007118EC" w:rsidP="00310B6C">
    <w:pPr>
      <w:pStyle w:val="Footer"/>
      <w:pBdr>
        <w:top w:val="none" w:sz="0" w:space="0" w:color="auto"/>
      </w:pBdr>
      <w:tabs>
        <w:tab w:val="clear" w:pos="567"/>
        <w:tab w:val="clear" w:pos="4536"/>
      </w:tabs>
    </w:pPr>
    <w:r>
      <w:fldChar w:fldCharType="begin"/>
    </w:r>
    <w:r>
      <w:instrText xml:space="preserve"> PAGE </w:instrText>
    </w:r>
    <w:r>
      <w:fldChar w:fldCharType="separate"/>
    </w:r>
    <w:r w:rsidR="00916D78">
      <w:rPr>
        <w:noProof/>
      </w:rPr>
      <w:t>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5CDFB" w14:textId="77777777" w:rsidR="007118EC" w:rsidRDefault="007118EC">
    <w:pPr>
      <w:pStyle w:val="Footer"/>
      <w:pBdr>
        <w:top w:val="none" w:sz="0" w:space="0" w:color="auto"/>
      </w:pBd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3B7E5" w14:textId="77777777" w:rsidR="007118EC" w:rsidRDefault="007118EC" w:rsidP="00310B6C">
    <w:pPr>
      <w:pStyle w:val="Footer"/>
      <w:pBdr>
        <w:top w:val="none" w:sz="0" w:space="0" w:color="auto"/>
      </w:pBdr>
      <w:tabs>
        <w:tab w:val="clear" w:pos="567"/>
        <w:tab w:val="clear" w:pos="4536"/>
      </w:tabs>
    </w:pPr>
    <w:r>
      <w:fldChar w:fldCharType="begin"/>
    </w:r>
    <w:r>
      <w:instrText xml:space="preserve"> PAGE </w:instrText>
    </w:r>
    <w:r>
      <w:fldChar w:fldCharType="separate"/>
    </w:r>
    <w:r w:rsidR="00916D78">
      <w:rPr>
        <w:noProof/>
      </w:rPr>
      <w:t>18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C8669" w14:textId="77777777" w:rsidR="007118EC" w:rsidRDefault="007118EC" w:rsidP="006661C4">
      <w:pPr>
        <w:spacing w:before="0" w:after="0" w:line="240" w:lineRule="auto"/>
      </w:pPr>
      <w:r w:rsidRPr="006661C4">
        <w:rPr>
          <w:color w:val="000000"/>
        </w:rPr>
        <w:separator/>
      </w:r>
    </w:p>
  </w:footnote>
  <w:footnote w:type="continuationSeparator" w:id="0">
    <w:p w14:paraId="59ABFCD4" w14:textId="77777777" w:rsidR="007118EC" w:rsidRDefault="007118EC" w:rsidP="006661C4">
      <w:pPr>
        <w:spacing w:before="0" w:after="0" w:line="240" w:lineRule="auto"/>
      </w:pPr>
      <w:r>
        <w:continuationSeparator/>
      </w:r>
    </w:p>
  </w:footnote>
  <w:footnote w:type="continuationNotice" w:id="1">
    <w:p w14:paraId="001C9787" w14:textId="77777777" w:rsidR="007118EC" w:rsidRDefault="007118EC">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62209" w14:textId="77777777" w:rsidR="007118EC" w:rsidRPr="00A14B1D" w:rsidRDefault="007118EC" w:rsidP="00A14B1D">
    <w:pPr>
      <w:pStyle w:val="Header"/>
      <w:pBdr>
        <w:bottom w:val="single" w:sz="4" w:space="0" w:color="000000"/>
      </w:pBdr>
      <w:spacing w:after="240"/>
      <w:rPr>
        <w:sz w:val="22"/>
        <w:szCs w:val="22"/>
      </w:rPr>
    </w:pPr>
    <w:r w:rsidRPr="0041562F">
      <w:rPr>
        <w:sz w:val="22"/>
        <w:szCs w:val="22"/>
      </w:rPr>
      <w:t xml:space="preserve">Management of biosecurity risks associated with </w:t>
    </w:r>
    <w:r w:rsidRPr="00AE3D12">
      <w:t xml:space="preserve">transhipped </w:t>
    </w:r>
    <w:r w:rsidRPr="00FE4108">
      <w:t>ships</w:t>
    </w:r>
    <w:r w:rsidRPr="00AE3D12">
      <w:t xml:space="preserve"> stores</w:t>
    </w:r>
    <w:r>
      <w:rPr>
        <w:sz w:val="22"/>
        <w:szCs w:val="22"/>
      </w:rPr>
      <w:t xml:space="preserve"> </w:t>
    </w:r>
    <w:r>
      <w:rPr>
        <w:sz w:val="22"/>
        <w:szCs w:val="22"/>
      </w:rPr>
      <w:tab/>
    </w:r>
    <w:r>
      <w:rPr>
        <w:sz w:val="22"/>
        <w:szCs w:val="22"/>
      </w:rPr>
      <w:tab/>
      <w:t>IIGB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25AE4" w14:textId="77777777" w:rsidR="007118EC" w:rsidRDefault="007118EC">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CC7DB" w14:textId="77777777" w:rsidR="007118EC" w:rsidRDefault="007118EC">
    <w:pPr>
      <w:pStyle w:val="Header"/>
      <w:pBdr>
        <w:bottom w:val="single" w:sz="4" w:space="0" w:color="000000"/>
      </w:pBdr>
      <w:spacing w:after="240"/>
      <w:rPr>
        <w:sz w:val="22"/>
        <w:szCs w:val="22"/>
      </w:rPr>
    </w:pPr>
    <w:r w:rsidRPr="0041562F">
      <w:rPr>
        <w:sz w:val="22"/>
        <w:szCs w:val="22"/>
      </w:rPr>
      <w:t xml:space="preserve">Management of biosecurity risks associated with </w:t>
    </w:r>
    <w:r w:rsidRPr="00AE3D12">
      <w:t xml:space="preserve">transhipped </w:t>
    </w:r>
    <w:r w:rsidRPr="00FE4108">
      <w:t>ships</w:t>
    </w:r>
    <w:r w:rsidRPr="00AE3D12">
      <w:t xml:space="preserve"> stores</w:t>
    </w:r>
    <w:r>
      <w:rPr>
        <w:sz w:val="22"/>
        <w:szCs w:val="22"/>
      </w:rPr>
      <w:t xml:space="preserve"> </w:t>
    </w:r>
    <w:r>
      <w:rPr>
        <w:sz w:val="22"/>
        <w:szCs w:val="22"/>
      </w:rPr>
      <w:tab/>
    </w:r>
    <w:r>
      <w:rPr>
        <w:sz w:val="22"/>
        <w:szCs w:val="22"/>
      </w:rPr>
      <w:tab/>
      <w:t>IIGB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25F0E072"/>
    <w:lvl w:ilvl="0">
      <w:start w:val="1"/>
      <w:numFmt w:val="decimal"/>
      <w:lvlText w:val="%1."/>
      <w:lvlJc w:val="left"/>
      <w:pPr>
        <w:tabs>
          <w:tab w:val="num" w:pos="643"/>
        </w:tabs>
        <w:ind w:left="643" w:hanging="360"/>
      </w:pPr>
    </w:lvl>
  </w:abstractNum>
  <w:abstractNum w:abstractNumId="1" w15:restartNumberingAfterBreak="0">
    <w:nsid w:val="FFFFFF81"/>
    <w:multiLevelType w:val="singleLevel"/>
    <w:tmpl w:val="7AAE0B0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7D8D4C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5C20840"/>
    <w:multiLevelType w:val="multilevel"/>
    <w:tmpl w:val="439ACA94"/>
    <w:styleLink w:val="LFO11"/>
    <w:lvl w:ilvl="0">
      <w:start w:val="1"/>
      <w:numFmt w:val="decimal"/>
      <w:pStyle w:val="ListBullet2"/>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CCF107D"/>
    <w:multiLevelType w:val="multilevel"/>
    <w:tmpl w:val="967208F8"/>
    <w:styleLink w:val="AppendixC3List"/>
    <w:lvl w:ilvl="0">
      <w:start w:val="1"/>
      <w:numFmt w:val="decimal"/>
      <w:pStyle w:val="AppendixCList3"/>
      <w:lvlText w:val="%1."/>
      <w:lvlJc w:val="left"/>
      <w:pPr>
        <w:ind w:left="567" w:hanging="567"/>
      </w:pPr>
    </w:lvl>
    <w:lvl w:ilvl="1">
      <w:start w:val="1"/>
      <w:numFmt w:val="lowerLetter"/>
      <w:lvlText w:val="%2)"/>
      <w:lvlJc w:val="left"/>
      <w:pPr>
        <w:ind w:left="1134" w:hanging="567"/>
      </w:pPr>
    </w:lvl>
    <w:lvl w:ilvl="2">
      <w:start w:val="1"/>
      <w:numFmt w:val="none"/>
      <w:lvlText w:val="– %3"/>
      <w:lvlJc w:val="left"/>
      <w:pPr>
        <w:ind w:left="1701" w:hanging="567"/>
      </w:pPr>
    </w:lvl>
    <w:lvl w:ilvl="3">
      <w:start w:val="1"/>
      <w:numFmt w:val="decimal"/>
      <w:lvlText w:val="(%4)"/>
      <w:lvlJc w:val="left"/>
      <w:pPr>
        <w:ind w:left="2268" w:hanging="567"/>
      </w:p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5" w15:restartNumberingAfterBreak="0">
    <w:nsid w:val="16EE6A9A"/>
    <w:multiLevelType w:val="multilevel"/>
    <w:tmpl w:val="D8665074"/>
    <w:styleLink w:val="LFO8"/>
    <w:lvl w:ilvl="0">
      <w:numFmt w:val="bullet"/>
      <w:lvlText w:val=""/>
      <w:lvlJc w:val="left"/>
      <w:pPr>
        <w:ind w:left="2871" w:hanging="360"/>
      </w:pPr>
      <w:rPr>
        <w:rFonts w:ascii="Symbol" w:hAnsi="Symbol"/>
      </w:rPr>
    </w:lvl>
    <w:lvl w:ilvl="1">
      <w:numFmt w:val="bullet"/>
      <w:lvlText w:val="•"/>
      <w:lvlJc w:val="left"/>
      <w:pPr>
        <w:ind w:left="2217" w:hanging="570"/>
      </w:pPr>
      <w:rPr>
        <w:rFonts w:ascii="Calibri" w:eastAsia="Calibri" w:hAnsi="Calibri" w:cs="Calibri"/>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6" w15:restartNumberingAfterBreak="0">
    <w:nsid w:val="173A4788"/>
    <w:multiLevelType w:val="hybridMultilevel"/>
    <w:tmpl w:val="CAF2367A"/>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15:restartNumberingAfterBreak="0">
    <w:nsid w:val="1927128C"/>
    <w:multiLevelType w:val="hybridMultilevel"/>
    <w:tmpl w:val="BF7ED574"/>
    <w:lvl w:ilvl="0" w:tplc="A81A6A02">
      <w:start w:val="9"/>
      <w:numFmt w:val="decimal"/>
      <w:lvlText w:val="%1."/>
      <w:lvlJc w:val="left"/>
      <w:pPr>
        <w:ind w:left="720" w:hanging="360"/>
      </w:pPr>
      <w:rPr>
        <w:rFonts w:hint="default"/>
        <w:b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6B606F"/>
    <w:multiLevelType w:val="hybridMultilevel"/>
    <w:tmpl w:val="E0560262"/>
    <w:lvl w:ilvl="0" w:tplc="2774E68A">
      <w:start w:val="1"/>
      <w:numFmt w:val="bullet"/>
      <w:pStyle w:val="TableBullet"/>
      <w:lvlText w:val=""/>
      <w:lvlJc w:val="left"/>
      <w:pPr>
        <w:ind w:left="502" w:hanging="360"/>
      </w:pPr>
      <w:rPr>
        <w:rFonts w:ascii="Symbol" w:hAnsi="Symbol" w:hint="default"/>
      </w:rPr>
    </w:lvl>
    <w:lvl w:ilvl="1" w:tplc="D7F6907A" w:tentative="1">
      <w:start w:val="1"/>
      <w:numFmt w:val="bullet"/>
      <w:lvlText w:val="o"/>
      <w:lvlJc w:val="left"/>
      <w:pPr>
        <w:ind w:left="1222" w:hanging="360"/>
      </w:pPr>
      <w:rPr>
        <w:rFonts w:ascii="Courier New" w:hAnsi="Courier New" w:cs="Courier New" w:hint="default"/>
      </w:rPr>
    </w:lvl>
    <w:lvl w:ilvl="2" w:tplc="0F860D5E" w:tentative="1">
      <w:start w:val="1"/>
      <w:numFmt w:val="bullet"/>
      <w:lvlText w:val=""/>
      <w:lvlJc w:val="left"/>
      <w:pPr>
        <w:ind w:left="1942" w:hanging="360"/>
      </w:pPr>
      <w:rPr>
        <w:rFonts w:ascii="Wingdings" w:hAnsi="Wingdings" w:hint="default"/>
      </w:rPr>
    </w:lvl>
    <w:lvl w:ilvl="3" w:tplc="0D3287B6" w:tentative="1">
      <w:start w:val="1"/>
      <w:numFmt w:val="bullet"/>
      <w:lvlText w:val=""/>
      <w:lvlJc w:val="left"/>
      <w:pPr>
        <w:ind w:left="2662" w:hanging="360"/>
      </w:pPr>
      <w:rPr>
        <w:rFonts w:ascii="Symbol" w:hAnsi="Symbol" w:hint="default"/>
      </w:rPr>
    </w:lvl>
    <w:lvl w:ilvl="4" w:tplc="F4F852D0" w:tentative="1">
      <w:start w:val="1"/>
      <w:numFmt w:val="bullet"/>
      <w:lvlText w:val="o"/>
      <w:lvlJc w:val="left"/>
      <w:pPr>
        <w:ind w:left="3382" w:hanging="360"/>
      </w:pPr>
      <w:rPr>
        <w:rFonts w:ascii="Courier New" w:hAnsi="Courier New" w:cs="Courier New" w:hint="default"/>
      </w:rPr>
    </w:lvl>
    <w:lvl w:ilvl="5" w:tplc="56C8BF6C" w:tentative="1">
      <w:start w:val="1"/>
      <w:numFmt w:val="bullet"/>
      <w:lvlText w:val=""/>
      <w:lvlJc w:val="left"/>
      <w:pPr>
        <w:ind w:left="4102" w:hanging="360"/>
      </w:pPr>
      <w:rPr>
        <w:rFonts w:ascii="Wingdings" w:hAnsi="Wingdings" w:hint="default"/>
      </w:rPr>
    </w:lvl>
    <w:lvl w:ilvl="6" w:tplc="13E81D54" w:tentative="1">
      <w:start w:val="1"/>
      <w:numFmt w:val="bullet"/>
      <w:lvlText w:val=""/>
      <w:lvlJc w:val="left"/>
      <w:pPr>
        <w:ind w:left="4822" w:hanging="360"/>
      </w:pPr>
      <w:rPr>
        <w:rFonts w:ascii="Symbol" w:hAnsi="Symbol" w:hint="default"/>
      </w:rPr>
    </w:lvl>
    <w:lvl w:ilvl="7" w:tplc="79088E44" w:tentative="1">
      <w:start w:val="1"/>
      <w:numFmt w:val="bullet"/>
      <w:lvlText w:val="o"/>
      <w:lvlJc w:val="left"/>
      <w:pPr>
        <w:ind w:left="5542" w:hanging="360"/>
      </w:pPr>
      <w:rPr>
        <w:rFonts w:ascii="Courier New" w:hAnsi="Courier New" w:cs="Courier New" w:hint="default"/>
      </w:rPr>
    </w:lvl>
    <w:lvl w:ilvl="8" w:tplc="50761258" w:tentative="1">
      <w:start w:val="1"/>
      <w:numFmt w:val="bullet"/>
      <w:lvlText w:val=""/>
      <w:lvlJc w:val="left"/>
      <w:pPr>
        <w:ind w:left="6262" w:hanging="360"/>
      </w:pPr>
      <w:rPr>
        <w:rFonts w:ascii="Wingdings" w:hAnsi="Wingdings" w:hint="default"/>
      </w:rPr>
    </w:lvl>
  </w:abstractNum>
  <w:abstractNum w:abstractNumId="9" w15:restartNumberingAfterBreak="0">
    <w:nsid w:val="272F6AC7"/>
    <w:multiLevelType w:val="multilevel"/>
    <w:tmpl w:val="58FC3E66"/>
    <w:styleLink w:val="LFO1"/>
    <w:lvl w:ilvl="0">
      <w:numFmt w:val="bullet"/>
      <w:pStyle w:val="Tabletext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FA84B43"/>
    <w:multiLevelType w:val="multilevel"/>
    <w:tmpl w:val="271CAC28"/>
    <w:styleLink w:val="Part1"/>
    <w:lvl w:ilvl="0">
      <w:start w:val="1"/>
      <w:numFmt w:val="decimal"/>
      <w:pStyle w:val="ListNumber"/>
      <w:lvlText w:val="s%1."/>
      <w:lvlJc w:val="left"/>
      <w:pPr>
        <w:ind w:left="1134" w:hanging="1134"/>
      </w:pPr>
    </w:lvl>
    <w:lvl w:ilvl="1">
      <w:start w:val="1"/>
      <w:numFmt w:val="lowerLetter"/>
      <w:lvlText w:val="%2."/>
      <w:lvlJc w:val="left"/>
      <w:pPr>
        <w:ind w:left="1701" w:hanging="1134"/>
      </w:pPr>
    </w:lvl>
    <w:lvl w:ilvl="2">
      <w:start w:val="1"/>
      <w:numFmt w:val="lowerRoman"/>
      <w:lvlText w:val="%3."/>
      <w:lvlJc w:val="right"/>
      <w:pPr>
        <w:ind w:left="2268" w:hanging="1134"/>
      </w:pPr>
    </w:lvl>
    <w:lvl w:ilvl="3">
      <w:start w:val="1"/>
      <w:numFmt w:val="decimal"/>
      <w:lvlText w:val="%4."/>
      <w:lvlJc w:val="left"/>
      <w:pPr>
        <w:ind w:left="2835" w:hanging="1134"/>
      </w:pPr>
    </w:lvl>
    <w:lvl w:ilvl="4">
      <w:start w:val="1"/>
      <w:numFmt w:val="lowerLetter"/>
      <w:lvlText w:val="%5."/>
      <w:lvlJc w:val="left"/>
      <w:pPr>
        <w:ind w:left="3402" w:hanging="1134"/>
      </w:pPr>
    </w:lvl>
    <w:lvl w:ilvl="5">
      <w:start w:val="1"/>
      <w:numFmt w:val="lowerRoman"/>
      <w:lvlText w:val="%6."/>
      <w:lvlJc w:val="right"/>
      <w:pPr>
        <w:ind w:left="3969" w:hanging="1134"/>
      </w:pPr>
    </w:lvl>
    <w:lvl w:ilvl="6">
      <w:start w:val="1"/>
      <w:numFmt w:val="decimal"/>
      <w:lvlText w:val="%7."/>
      <w:lvlJc w:val="left"/>
      <w:pPr>
        <w:ind w:left="4536" w:hanging="1134"/>
      </w:pPr>
    </w:lvl>
    <w:lvl w:ilvl="7">
      <w:start w:val="1"/>
      <w:numFmt w:val="lowerLetter"/>
      <w:lvlText w:val="%8."/>
      <w:lvlJc w:val="left"/>
      <w:pPr>
        <w:ind w:left="5103" w:hanging="1134"/>
      </w:pPr>
    </w:lvl>
    <w:lvl w:ilvl="8">
      <w:start w:val="1"/>
      <w:numFmt w:val="lowerRoman"/>
      <w:lvlText w:val="%9."/>
      <w:lvlJc w:val="right"/>
      <w:pPr>
        <w:ind w:left="5670" w:hanging="1134"/>
      </w:pPr>
    </w:lvl>
  </w:abstractNum>
  <w:abstractNum w:abstractNumId="11" w15:restartNumberingAfterBreak="0">
    <w:nsid w:val="49CB292B"/>
    <w:multiLevelType w:val="hybridMultilevel"/>
    <w:tmpl w:val="47C82760"/>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C71489E"/>
    <w:multiLevelType w:val="hybridMultilevel"/>
    <w:tmpl w:val="215E7A9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51C37D4B"/>
    <w:multiLevelType w:val="hybridMultilevel"/>
    <w:tmpl w:val="12DCD1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4685899"/>
    <w:multiLevelType w:val="multilevel"/>
    <w:tmpl w:val="4330180C"/>
    <w:lvl w:ilvl="0">
      <w:start w:val="1"/>
      <w:numFmt w:val="decimal"/>
      <w:lvlText w:val="%1"/>
      <w:lvlJc w:val="left"/>
      <w:pPr>
        <w:ind w:left="851" w:hanging="851"/>
      </w:pPr>
      <w:rPr>
        <w:rFonts w:hint="default"/>
        <w:b/>
        <w:sz w:val="36"/>
      </w:rPr>
    </w:lvl>
    <w:lvl w:ilvl="1">
      <w:start w:val="1"/>
      <w:numFmt w:val="bullet"/>
      <w:lvlText w:val=""/>
      <w:lvlJc w:val="left"/>
      <w:pPr>
        <w:ind w:left="720" w:hanging="360"/>
      </w:pPr>
      <w:rPr>
        <w:rFonts w:ascii="Symbol"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79A4857"/>
    <w:multiLevelType w:val="hybridMultilevel"/>
    <w:tmpl w:val="F712EED6"/>
    <w:lvl w:ilvl="0" w:tplc="1D664BF8">
      <w:start w:val="1"/>
      <w:numFmt w:val="bullet"/>
      <w:pStyle w:val="ListBullet"/>
      <w:lvlText w:val=""/>
      <w:lvlJc w:val="left"/>
      <w:pPr>
        <w:ind w:left="2304" w:hanging="360"/>
      </w:pPr>
      <w:rPr>
        <w:rFonts w:ascii="Symbol" w:hAnsi="Symbol" w:hint="default"/>
      </w:rPr>
    </w:lvl>
    <w:lvl w:ilvl="1" w:tplc="A33CA92E">
      <w:numFmt w:val="bullet"/>
      <w:lvlText w:val="•"/>
      <w:lvlJc w:val="left"/>
      <w:pPr>
        <w:ind w:left="3384" w:hanging="720"/>
      </w:pPr>
      <w:rPr>
        <w:rFonts w:ascii="Calibri" w:eastAsia="Calibri" w:hAnsi="Calibri" w:cs="Times New Roman" w:hint="default"/>
      </w:rPr>
    </w:lvl>
    <w:lvl w:ilvl="2" w:tplc="0C090005" w:tentative="1">
      <w:start w:val="1"/>
      <w:numFmt w:val="bullet"/>
      <w:lvlText w:val=""/>
      <w:lvlJc w:val="left"/>
      <w:pPr>
        <w:ind w:left="3744" w:hanging="360"/>
      </w:pPr>
      <w:rPr>
        <w:rFonts w:ascii="Wingdings" w:hAnsi="Wingdings" w:hint="default"/>
      </w:rPr>
    </w:lvl>
    <w:lvl w:ilvl="3" w:tplc="0C090001" w:tentative="1">
      <w:start w:val="1"/>
      <w:numFmt w:val="bullet"/>
      <w:lvlText w:val=""/>
      <w:lvlJc w:val="left"/>
      <w:pPr>
        <w:ind w:left="4464" w:hanging="360"/>
      </w:pPr>
      <w:rPr>
        <w:rFonts w:ascii="Symbol" w:hAnsi="Symbol" w:hint="default"/>
      </w:rPr>
    </w:lvl>
    <w:lvl w:ilvl="4" w:tplc="0C090003" w:tentative="1">
      <w:start w:val="1"/>
      <w:numFmt w:val="bullet"/>
      <w:lvlText w:val="o"/>
      <w:lvlJc w:val="left"/>
      <w:pPr>
        <w:ind w:left="5184" w:hanging="360"/>
      </w:pPr>
      <w:rPr>
        <w:rFonts w:ascii="Courier New" w:hAnsi="Courier New" w:cs="Courier New" w:hint="default"/>
      </w:rPr>
    </w:lvl>
    <w:lvl w:ilvl="5" w:tplc="0C090005" w:tentative="1">
      <w:start w:val="1"/>
      <w:numFmt w:val="bullet"/>
      <w:lvlText w:val=""/>
      <w:lvlJc w:val="left"/>
      <w:pPr>
        <w:ind w:left="5904" w:hanging="360"/>
      </w:pPr>
      <w:rPr>
        <w:rFonts w:ascii="Wingdings" w:hAnsi="Wingdings" w:hint="default"/>
      </w:rPr>
    </w:lvl>
    <w:lvl w:ilvl="6" w:tplc="0C090001" w:tentative="1">
      <w:start w:val="1"/>
      <w:numFmt w:val="bullet"/>
      <w:lvlText w:val=""/>
      <w:lvlJc w:val="left"/>
      <w:pPr>
        <w:ind w:left="6624" w:hanging="360"/>
      </w:pPr>
      <w:rPr>
        <w:rFonts w:ascii="Symbol" w:hAnsi="Symbol" w:hint="default"/>
      </w:rPr>
    </w:lvl>
    <w:lvl w:ilvl="7" w:tplc="0C090003" w:tentative="1">
      <w:start w:val="1"/>
      <w:numFmt w:val="bullet"/>
      <w:lvlText w:val="o"/>
      <w:lvlJc w:val="left"/>
      <w:pPr>
        <w:ind w:left="7344" w:hanging="360"/>
      </w:pPr>
      <w:rPr>
        <w:rFonts w:ascii="Courier New" w:hAnsi="Courier New" w:cs="Courier New" w:hint="default"/>
      </w:rPr>
    </w:lvl>
    <w:lvl w:ilvl="8" w:tplc="0C090005" w:tentative="1">
      <w:start w:val="1"/>
      <w:numFmt w:val="bullet"/>
      <w:lvlText w:val=""/>
      <w:lvlJc w:val="left"/>
      <w:pPr>
        <w:ind w:left="8064" w:hanging="360"/>
      </w:pPr>
      <w:rPr>
        <w:rFonts w:ascii="Wingdings" w:hAnsi="Wingdings" w:hint="default"/>
      </w:rPr>
    </w:lvl>
  </w:abstractNum>
  <w:abstractNum w:abstractNumId="16" w15:restartNumberingAfterBreak="0">
    <w:nsid w:val="67A61789"/>
    <w:multiLevelType w:val="multilevel"/>
    <w:tmpl w:val="7CE26BD4"/>
    <w:styleLink w:val="Part2"/>
    <w:lvl w:ilvl="0">
      <w:start w:val="1"/>
      <w:numFmt w:val="decimal"/>
      <w:lvlText w:val="%1"/>
      <w:lvlJc w:val="left"/>
      <w:pPr>
        <w:ind w:left="851" w:hanging="851"/>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B44643F"/>
    <w:multiLevelType w:val="multilevel"/>
    <w:tmpl w:val="3C1EA12E"/>
    <w:lvl w:ilvl="0">
      <w:start w:val="1"/>
      <w:numFmt w:val="decimal"/>
      <w:pStyle w:val="Heading2numbered"/>
      <w:lvlText w:val="%1"/>
      <w:lvlJc w:val="left"/>
      <w:pPr>
        <w:ind w:left="851" w:hanging="851"/>
      </w:pPr>
      <w:rPr>
        <w:rFonts w:hint="default"/>
        <w:b/>
        <w:sz w:val="36"/>
      </w:rPr>
    </w:lvl>
    <w:lvl w:ilvl="1">
      <w:start w:val="1"/>
      <w:numFmt w:val="decimal"/>
      <w:pStyle w:val="ListNumber2"/>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1661696"/>
    <w:multiLevelType w:val="multilevel"/>
    <w:tmpl w:val="395283BE"/>
    <w:lvl w:ilvl="0">
      <w:start w:val="1"/>
      <w:numFmt w:val="decimal"/>
      <w:lvlText w:val="%1"/>
      <w:lvlJc w:val="left"/>
      <w:pPr>
        <w:ind w:left="851" w:hanging="851"/>
      </w:pPr>
      <w:rPr>
        <w:rFonts w:hint="default"/>
        <w:b/>
        <w:sz w:val="36"/>
      </w:rPr>
    </w:lvl>
    <w:lvl w:ilvl="1">
      <w:start w:val="1"/>
      <w:numFmt w:val="bullet"/>
      <w:lvlText w:val=""/>
      <w:lvlJc w:val="left"/>
      <w:pPr>
        <w:ind w:left="720" w:hanging="360"/>
      </w:pPr>
      <w:rPr>
        <w:rFonts w:ascii="Symbol"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3537F60"/>
    <w:multiLevelType w:val="multilevel"/>
    <w:tmpl w:val="39225A1E"/>
    <w:styleLink w:val="WWOutlineListStyle"/>
    <w:lvl w:ilvl="0">
      <w:start w:val="1"/>
      <w:numFmt w:val="none"/>
      <w:lvlText w:val="%1"/>
      <w:lvlJc w:val="left"/>
    </w:lvl>
    <w:lvl w:ilvl="1">
      <w:start w:val="1"/>
      <w:numFmt w:val="decimal"/>
      <w:lvlText w:val="%2"/>
      <w:lvlJc w:val="left"/>
      <w:pPr>
        <w:ind w:left="851" w:hanging="851"/>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9"/>
  </w:num>
  <w:num w:numId="2">
    <w:abstractNumId w:val="4"/>
  </w:num>
  <w:num w:numId="3">
    <w:abstractNumId w:val="10"/>
    <w:lvlOverride w:ilvl="0">
      <w:lvl w:ilvl="0">
        <w:start w:val="1"/>
        <w:numFmt w:val="decimal"/>
        <w:pStyle w:val="ListNumber"/>
        <w:lvlText w:val="s%1."/>
        <w:lvlJc w:val="left"/>
        <w:pPr>
          <w:ind w:left="1134" w:hanging="1134"/>
        </w:pPr>
        <w:rPr>
          <w:color w:val="auto"/>
        </w:rPr>
      </w:lvl>
    </w:lvlOverride>
  </w:num>
  <w:num w:numId="4">
    <w:abstractNumId w:val="9"/>
  </w:num>
  <w:num w:numId="5">
    <w:abstractNumId w:val="5"/>
  </w:num>
  <w:num w:numId="6">
    <w:abstractNumId w:val="3"/>
  </w:num>
  <w:num w:numId="7">
    <w:abstractNumId w:val="15"/>
  </w:num>
  <w:num w:numId="8">
    <w:abstractNumId w:val="16"/>
  </w:num>
  <w:num w:numId="9">
    <w:abstractNumId w:val="17"/>
  </w:num>
  <w:num w:numId="10">
    <w:abstractNumId w:val="2"/>
  </w:num>
  <w:num w:numId="11">
    <w:abstractNumId w:val="1"/>
  </w:num>
  <w:num w:numId="12">
    <w:abstractNumId w:val="6"/>
  </w:num>
  <w:num w:numId="13">
    <w:abstractNumId w:val="10"/>
  </w:num>
  <w:num w:numId="14">
    <w:abstractNumId w:val="8"/>
  </w:num>
  <w:num w:numId="15">
    <w:abstractNumId w:val="7"/>
  </w:num>
  <w:num w:numId="16">
    <w:abstractNumId w:val="12"/>
  </w:num>
  <w:num w:numId="17">
    <w:abstractNumId w:val="11"/>
  </w:num>
  <w:num w:numId="18">
    <w:abstractNumId w:val="14"/>
  </w:num>
  <w:num w:numId="19">
    <w:abstractNumId w:val="18"/>
  </w:num>
  <w:num w:numId="20">
    <w:abstractNumId w:val="13"/>
  </w:num>
  <w:num w:numId="21">
    <w:abstractNumId w:val="17"/>
  </w:num>
  <w:num w:numId="22">
    <w:abstractNumId w:val="0"/>
  </w:num>
  <w:num w:numId="23">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1C4"/>
    <w:rsid w:val="000000E8"/>
    <w:rsid w:val="0000062B"/>
    <w:rsid w:val="00000F42"/>
    <w:rsid w:val="000022A7"/>
    <w:rsid w:val="0000364E"/>
    <w:rsid w:val="00007A11"/>
    <w:rsid w:val="00010C0A"/>
    <w:rsid w:val="000113D3"/>
    <w:rsid w:val="00011873"/>
    <w:rsid w:val="00011A58"/>
    <w:rsid w:val="00012043"/>
    <w:rsid w:val="000127C7"/>
    <w:rsid w:val="00012D9C"/>
    <w:rsid w:val="000138B7"/>
    <w:rsid w:val="000138E8"/>
    <w:rsid w:val="00015782"/>
    <w:rsid w:val="00015DB1"/>
    <w:rsid w:val="00016362"/>
    <w:rsid w:val="0001709C"/>
    <w:rsid w:val="0001741B"/>
    <w:rsid w:val="00017AB1"/>
    <w:rsid w:val="0002030C"/>
    <w:rsid w:val="00020D0A"/>
    <w:rsid w:val="00020F79"/>
    <w:rsid w:val="00023366"/>
    <w:rsid w:val="00024E53"/>
    <w:rsid w:val="0002543E"/>
    <w:rsid w:val="00025A7E"/>
    <w:rsid w:val="000266B1"/>
    <w:rsid w:val="00030500"/>
    <w:rsid w:val="00031ABA"/>
    <w:rsid w:val="00031AF6"/>
    <w:rsid w:val="00031F4F"/>
    <w:rsid w:val="00032763"/>
    <w:rsid w:val="00032779"/>
    <w:rsid w:val="00033894"/>
    <w:rsid w:val="00036B0A"/>
    <w:rsid w:val="0003750E"/>
    <w:rsid w:val="000375F5"/>
    <w:rsid w:val="00037BDA"/>
    <w:rsid w:val="0004003A"/>
    <w:rsid w:val="000415C8"/>
    <w:rsid w:val="000416E0"/>
    <w:rsid w:val="00041A25"/>
    <w:rsid w:val="00041AE1"/>
    <w:rsid w:val="00041F1C"/>
    <w:rsid w:val="0004211B"/>
    <w:rsid w:val="00042446"/>
    <w:rsid w:val="00042C42"/>
    <w:rsid w:val="000464B8"/>
    <w:rsid w:val="00046B16"/>
    <w:rsid w:val="00047468"/>
    <w:rsid w:val="00047C87"/>
    <w:rsid w:val="00050A41"/>
    <w:rsid w:val="0005140F"/>
    <w:rsid w:val="00051803"/>
    <w:rsid w:val="000518D5"/>
    <w:rsid w:val="0005303D"/>
    <w:rsid w:val="0005316E"/>
    <w:rsid w:val="00053CB8"/>
    <w:rsid w:val="000543E9"/>
    <w:rsid w:val="00055CBD"/>
    <w:rsid w:val="000562F1"/>
    <w:rsid w:val="00057C29"/>
    <w:rsid w:val="000614B3"/>
    <w:rsid w:val="00061616"/>
    <w:rsid w:val="00061EC2"/>
    <w:rsid w:val="00062090"/>
    <w:rsid w:val="00063257"/>
    <w:rsid w:val="00063291"/>
    <w:rsid w:val="00063803"/>
    <w:rsid w:val="0006413A"/>
    <w:rsid w:val="00064AE1"/>
    <w:rsid w:val="00064EF4"/>
    <w:rsid w:val="00065189"/>
    <w:rsid w:val="0006592E"/>
    <w:rsid w:val="00065B00"/>
    <w:rsid w:val="00065E15"/>
    <w:rsid w:val="000668E8"/>
    <w:rsid w:val="00072115"/>
    <w:rsid w:val="000727F2"/>
    <w:rsid w:val="00072A03"/>
    <w:rsid w:val="00072E2B"/>
    <w:rsid w:val="000735ED"/>
    <w:rsid w:val="00073922"/>
    <w:rsid w:val="00073FFF"/>
    <w:rsid w:val="00074204"/>
    <w:rsid w:val="00074525"/>
    <w:rsid w:val="00074685"/>
    <w:rsid w:val="00075216"/>
    <w:rsid w:val="00077E67"/>
    <w:rsid w:val="00082A2B"/>
    <w:rsid w:val="00082BBB"/>
    <w:rsid w:val="00084C37"/>
    <w:rsid w:val="00085D00"/>
    <w:rsid w:val="000877BC"/>
    <w:rsid w:val="00087B8E"/>
    <w:rsid w:val="00090F1F"/>
    <w:rsid w:val="000912F0"/>
    <w:rsid w:val="00092531"/>
    <w:rsid w:val="00093A12"/>
    <w:rsid w:val="00093F12"/>
    <w:rsid w:val="0009449D"/>
    <w:rsid w:val="00095271"/>
    <w:rsid w:val="00095966"/>
    <w:rsid w:val="00095A89"/>
    <w:rsid w:val="00095E30"/>
    <w:rsid w:val="00097A65"/>
    <w:rsid w:val="000A0D85"/>
    <w:rsid w:val="000A0DD6"/>
    <w:rsid w:val="000A1607"/>
    <w:rsid w:val="000A1B3B"/>
    <w:rsid w:val="000A233C"/>
    <w:rsid w:val="000A23C4"/>
    <w:rsid w:val="000A2584"/>
    <w:rsid w:val="000A2AD4"/>
    <w:rsid w:val="000A3A72"/>
    <w:rsid w:val="000A3E01"/>
    <w:rsid w:val="000A4FE6"/>
    <w:rsid w:val="000A5F4F"/>
    <w:rsid w:val="000A778B"/>
    <w:rsid w:val="000A7FA1"/>
    <w:rsid w:val="000B0043"/>
    <w:rsid w:val="000B0D7E"/>
    <w:rsid w:val="000B1F13"/>
    <w:rsid w:val="000B3092"/>
    <w:rsid w:val="000B3799"/>
    <w:rsid w:val="000B3B10"/>
    <w:rsid w:val="000B4D5A"/>
    <w:rsid w:val="000B541C"/>
    <w:rsid w:val="000B60A2"/>
    <w:rsid w:val="000B738F"/>
    <w:rsid w:val="000B7778"/>
    <w:rsid w:val="000B7A78"/>
    <w:rsid w:val="000C050C"/>
    <w:rsid w:val="000C1488"/>
    <w:rsid w:val="000C2065"/>
    <w:rsid w:val="000C41BB"/>
    <w:rsid w:val="000C4D51"/>
    <w:rsid w:val="000C60FB"/>
    <w:rsid w:val="000C6C76"/>
    <w:rsid w:val="000C7DD0"/>
    <w:rsid w:val="000C7ED4"/>
    <w:rsid w:val="000D01FE"/>
    <w:rsid w:val="000D185B"/>
    <w:rsid w:val="000D1DC3"/>
    <w:rsid w:val="000D21B9"/>
    <w:rsid w:val="000D26F9"/>
    <w:rsid w:val="000D2BAD"/>
    <w:rsid w:val="000D468A"/>
    <w:rsid w:val="000D469A"/>
    <w:rsid w:val="000D49A3"/>
    <w:rsid w:val="000D4A1C"/>
    <w:rsid w:val="000D4B11"/>
    <w:rsid w:val="000D52AA"/>
    <w:rsid w:val="000D68F4"/>
    <w:rsid w:val="000D747F"/>
    <w:rsid w:val="000D7B49"/>
    <w:rsid w:val="000E0930"/>
    <w:rsid w:val="000E168C"/>
    <w:rsid w:val="000E16E9"/>
    <w:rsid w:val="000E19C4"/>
    <w:rsid w:val="000E1D26"/>
    <w:rsid w:val="000E244D"/>
    <w:rsid w:val="000E2482"/>
    <w:rsid w:val="000E2555"/>
    <w:rsid w:val="000E2BC5"/>
    <w:rsid w:val="000E46D5"/>
    <w:rsid w:val="000E4FD4"/>
    <w:rsid w:val="000E5A44"/>
    <w:rsid w:val="000E5C8A"/>
    <w:rsid w:val="000E63E1"/>
    <w:rsid w:val="000E74FB"/>
    <w:rsid w:val="000E765F"/>
    <w:rsid w:val="000F1E5F"/>
    <w:rsid w:val="000F3984"/>
    <w:rsid w:val="000F41EF"/>
    <w:rsid w:val="000F42A3"/>
    <w:rsid w:val="000F4E69"/>
    <w:rsid w:val="000F5DA5"/>
    <w:rsid w:val="000F6E6D"/>
    <w:rsid w:val="000F6F2B"/>
    <w:rsid w:val="000F751F"/>
    <w:rsid w:val="000F7539"/>
    <w:rsid w:val="000F78C6"/>
    <w:rsid w:val="00102744"/>
    <w:rsid w:val="001048CE"/>
    <w:rsid w:val="0010599E"/>
    <w:rsid w:val="001069E8"/>
    <w:rsid w:val="00106F1D"/>
    <w:rsid w:val="00107573"/>
    <w:rsid w:val="00107BFC"/>
    <w:rsid w:val="00107CC4"/>
    <w:rsid w:val="00110872"/>
    <w:rsid w:val="00110893"/>
    <w:rsid w:val="001120C0"/>
    <w:rsid w:val="00112216"/>
    <w:rsid w:val="001128F3"/>
    <w:rsid w:val="00112E1B"/>
    <w:rsid w:val="00112FC7"/>
    <w:rsid w:val="001131ED"/>
    <w:rsid w:val="00113C0A"/>
    <w:rsid w:val="00113D64"/>
    <w:rsid w:val="00114106"/>
    <w:rsid w:val="001148DF"/>
    <w:rsid w:val="00115C2C"/>
    <w:rsid w:val="00117269"/>
    <w:rsid w:val="001172DA"/>
    <w:rsid w:val="001216E4"/>
    <w:rsid w:val="001221CC"/>
    <w:rsid w:val="00122742"/>
    <w:rsid w:val="00122ED3"/>
    <w:rsid w:val="001237F5"/>
    <w:rsid w:val="00123F0A"/>
    <w:rsid w:val="0012418A"/>
    <w:rsid w:val="001248CC"/>
    <w:rsid w:val="00124A7A"/>
    <w:rsid w:val="00124BED"/>
    <w:rsid w:val="0012512A"/>
    <w:rsid w:val="0012621F"/>
    <w:rsid w:val="00126A90"/>
    <w:rsid w:val="00126F0A"/>
    <w:rsid w:val="00127129"/>
    <w:rsid w:val="00130283"/>
    <w:rsid w:val="00130D92"/>
    <w:rsid w:val="00131B05"/>
    <w:rsid w:val="00132B9E"/>
    <w:rsid w:val="00134F98"/>
    <w:rsid w:val="00135758"/>
    <w:rsid w:val="00135F77"/>
    <w:rsid w:val="00136D7A"/>
    <w:rsid w:val="001371CA"/>
    <w:rsid w:val="0013744B"/>
    <w:rsid w:val="00140C11"/>
    <w:rsid w:val="001427D1"/>
    <w:rsid w:val="00142E44"/>
    <w:rsid w:val="00143731"/>
    <w:rsid w:val="00143DE4"/>
    <w:rsid w:val="00145001"/>
    <w:rsid w:val="00145475"/>
    <w:rsid w:val="001467FF"/>
    <w:rsid w:val="00146A3D"/>
    <w:rsid w:val="0014747B"/>
    <w:rsid w:val="00147834"/>
    <w:rsid w:val="001510D4"/>
    <w:rsid w:val="0015182D"/>
    <w:rsid w:val="00151919"/>
    <w:rsid w:val="00151A91"/>
    <w:rsid w:val="00152042"/>
    <w:rsid w:val="00152A12"/>
    <w:rsid w:val="00152A99"/>
    <w:rsid w:val="0015432B"/>
    <w:rsid w:val="001563C8"/>
    <w:rsid w:val="00156691"/>
    <w:rsid w:val="00156D06"/>
    <w:rsid w:val="00157A66"/>
    <w:rsid w:val="0016047C"/>
    <w:rsid w:val="0016048D"/>
    <w:rsid w:val="001604BB"/>
    <w:rsid w:val="001606D3"/>
    <w:rsid w:val="00160CBB"/>
    <w:rsid w:val="00162C97"/>
    <w:rsid w:val="001641E0"/>
    <w:rsid w:val="001644B0"/>
    <w:rsid w:val="00164C16"/>
    <w:rsid w:val="00165782"/>
    <w:rsid w:val="001664EC"/>
    <w:rsid w:val="00166EF3"/>
    <w:rsid w:val="00170DB6"/>
    <w:rsid w:val="00173935"/>
    <w:rsid w:val="00173D79"/>
    <w:rsid w:val="0017402D"/>
    <w:rsid w:val="001749B5"/>
    <w:rsid w:val="001753E1"/>
    <w:rsid w:val="00176596"/>
    <w:rsid w:val="00176A27"/>
    <w:rsid w:val="0017716E"/>
    <w:rsid w:val="00180D4B"/>
    <w:rsid w:val="00180E1E"/>
    <w:rsid w:val="00182EA6"/>
    <w:rsid w:val="001877E6"/>
    <w:rsid w:val="001903CA"/>
    <w:rsid w:val="00190B14"/>
    <w:rsid w:val="001927FF"/>
    <w:rsid w:val="00192AE6"/>
    <w:rsid w:val="00193F22"/>
    <w:rsid w:val="00193F7F"/>
    <w:rsid w:val="00194562"/>
    <w:rsid w:val="00194772"/>
    <w:rsid w:val="00194EFC"/>
    <w:rsid w:val="0019716D"/>
    <w:rsid w:val="001A00BD"/>
    <w:rsid w:val="001A13A9"/>
    <w:rsid w:val="001A1A8D"/>
    <w:rsid w:val="001A1C86"/>
    <w:rsid w:val="001A21AC"/>
    <w:rsid w:val="001A2E4E"/>
    <w:rsid w:val="001A3267"/>
    <w:rsid w:val="001A3788"/>
    <w:rsid w:val="001A4446"/>
    <w:rsid w:val="001A47EC"/>
    <w:rsid w:val="001A4F85"/>
    <w:rsid w:val="001A5E32"/>
    <w:rsid w:val="001A5E62"/>
    <w:rsid w:val="001A5F79"/>
    <w:rsid w:val="001A6FC8"/>
    <w:rsid w:val="001A7184"/>
    <w:rsid w:val="001A7650"/>
    <w:rsid w:val="001B0C27"/>
    <w:rsid w:val="001B11B1"/>
    <w:rsid w:val="001B2B3E"/>
    <w:rsid w:val="001B32F6"/>
    <w:rsid w:val="001B4D59"/>
    <w:rsid w:val="001B5AA2"/>
    <w:rsid w:val="001B5BBC"/>
    <w:rsid w:val="001B6431"/>
    <w:rsid w:val="001B73DC"/>
    <w:rsid w:val="001B792F"/>
    <w:rsid w:val="001B7B09"/>
    <w:rsid w:val="001B7D6F"/>
    <w:rsid w:val="001C0A6D"/>
    <w:rsid w:val="001C17AD"/>
    <w:rsid w:val="001C20AC"/>
    <w:rsid w:val="001C47FB"/>
    <w:rsid w:val="001C52AC"/>
    <w:rsid w:val="001C698B"/>
    <w:rsid w:val="001C76FB"/>
    <w:rsid w:val="001D02FA"/>
    <w:rsid w:val="001D0F59"/>
    <w:rsid w:val="001D24F3"/>
    <w:rsid w:val="001D4B91"/>
    <w:rsid w:val="001D52AC"/>
    <w:rsid w:val="001D6C12"/>
    <w:rsid w:val="001E0968"/>
    <w:rsid w:val="001E2859"/>
    <w:rsid w:val="001E3461"/>
    <w:rsid w:val="001E3B80"/>
    <w:rsid w:val="001E3D7D"/>
    <w:rsid w:val="001E3E1D"/>
    <w:rsid w:val="001E5863"/>
    <w:rsid w:val="001E5A06"/>
    <w:rsid w:val="001E6534"/>
    <w:rsid w:val="001F05EE"/>
    <w:rsid w:val="001F15CC"/>
    <w:rsid w:val="001F183B"/>
    <w:rsid w:val="001F1849"/>
    <w:rsid w:val="001F347F"/>
    <w:rsid w:val="001F38A4"/>
    <w:rsid w:val="001F4618"/>
    <w:rsid w:val="001F48AE"/>
    <w:rsid w:val="001F4EAD"/>
    <w:rsid w:val="001F5CE5"/>
    <w:rsid w:val="001F5E54"/>
    <w:rsid w:val="001F6823"/>
    <w:rsid w:val="001F726F"/>
    <w:rsid w:val="00200B90"/>
    <w:rsid w:val="00201023"/>
    <w:rsid w:val="00203511"/>
    <w:rsid w:val="00203E20"/>
    <w:rsid w:val="00204B5C"/>
    <w:rsid w:val="00204EEC"/>
    <w:rsid w:val="002069E9"/>
    <w:rsid w:val="002075DF"/>
    <w:rsid w:val="0021086F"/>
    <w:rsid w:val="00212478"/>
    <w:rsid w:val="00213716"/>
    <w:rsid w:val="002138BE"/>
    <w:rsid w:val="00214294"/>
    <w:rsid w:val="002145D4"/>
    <w:rsid w:val="00214DDE"/>
    <w:rsid w:val="002152B8"/>
    <w:rsid w:val="002158D6"/>
    <w:rsid w:val="00215A6F"/>
    <w:rsid w:val="0021610E"/>
    <w:rsid w:val="002171DF"/>
    <w:rsid w:val="00217235"/>
    <w:rsid w:val="00220453"/>
    <w:rsid w:val="002214EE"/>
    <w:rsid w:val="002236B3"/>
    <w:rsid w:val="0022563A"/>
    <w:rsid w:val="00225FC7"/>
    <w:rsid w:val="002270DF"/>
    <w:rsid w:val="00230E31"/>
    <w:rsid w:val="00231270"/>
    <w:rsid w:val="0023230E"/>
    <w:rsid w:val="00232A41"/>
    <w:rsid w:val="00232B1C"/>
    <w:rsid w:val="00232BE5"/>
    <w:rsid w:val="002334C1"/>
    <w:rsid w:val="00233743"/>
    <w:rsid w:val="00234ECC"/>
    <w:rsid w:val="002377E4"/>
    <w:rsid w:val="00241EFB"/>
    <w:rsid w:val="002427DE"/>
    <w:rsid w:val="00242A6D"/>
    <w:rsid w:val="00244642"/>
    <w:rsid w:val="002450D4"/>
    <w:rsid w:val="002453AD"/>
    <w:rsid w:val="0024571E"/>
    <w:rsid w:val="0024662D"/>
    <w:rsid w:val="00247173"/>
    <w:rsid w:val="002503BB"/>
    <w:rsid w:val="002503F1"/>
    <w:rsid w:val="00250D9E"/>
    <w:rsid w:val="00250DC8"/>
    <w:rsid w:val="00251367"/>
    <w:rsid w:val="00251E06"/>
    <w:rsid w:val="00252625"/>
    <w:rsid w:val="00252B7E"/>
    <w:rsid w:val="00252E39"/>
    <w:rsid w:val="00253063"/>
    <w:rsid w:val="002534EB"/>
    <w:rsid w:val="00253768"/>
    <w:rsid w:val="00254343"/>
    <w:rsid w:val="00254C88"/>
    <w:rsid w:val="00254CA8"/>
    <w:rsid w:val="002554CF"/>
    <w:rsid w:val="002560AE"/>
    <w:rsid w:val="0025727F"/>
    <w:rsid w:val="00257534"/>
    <w:rsid w:val="002600E6"/>
    <w:rsid w:val="00261E54"/>
    <w:rsid w:val="00262EC9"/>
    <w:rsid w:val="0026311B"/>
    <w:rsid w:val="00264474"/>
    <w:rsid w:val="00264C4E"/>
    <w:rsid w:val="00266214"/>
    <w:rsid w:val="00267E41"/>
    <w:rsid w:val="00270A50"/>
    <w:rsid w:val="00270FD8"/>
    <w:rsid w:val="00271938"/>
    <w:rsid w:val="0027392B"/>
    <w:rsid w:val="00273A69"/>
    <w:rsid w:val="00273C10"/>
    <w:rsid w:val="00274515"/>
    <w:rsid w:val="00277493"/>
    <w:rsid w:val="00277F01"/>
    <w:rsid w:val="0028004C"/>
    <w:rsid w:val="00281174"/>
    <w:rsid w:val="002838AD"/>
    <w:rsid w:val="002849A7"/>
    <w:rsid w:val="00284C93"/>
    <w:rsid w:val="00284EFA"/>
    <w:rsid w:val="00285AC5"/>
    <w:rsid w:val="002864C2"/>
    <w:rsid w:val="002864ED"/>
    <w:rsid w:val="00287DC2"/>
    <w:rsid w:val="002927E0"/>
    <w:rsid w:val="00292B0B"/>
    <w:rsid w:val="00293180"/>
    <w:rsid w:val="002938E1"/>
    <w:rsid w:val="002945BD"/>
    <w:rsid w:val="002963C3"/>
    <w:rsid w:val="00297FC7"/>
    <w:rsid w:val="002A03A2"/>
    <w:rsid w:val="002A0CA8"/>
    <w:rsid w:val="002A1861"/>
    <w:rsid w:val="002A1EDF"/>
    <w:rsid w:val="002A2A06"/>
    <w:rsid w:val="002A2D42"/>
    <w:rsid w:val="002A377A"/>
    <w:rsid w:val="002A4DB7"/>
    <w:rsid w:val="002A53BE"/>
    <w:rsid w:val="002A59BE"/>
    <w:rsid w:val="002A5A4B"/>
    <w:rsid w:val="002B01F7"/>
    <w:rsid w:val="002B0AA3"/>
    <w:rsid w:val="002B0F03"/>
    <w:rsid w:val="002B12C5"/>
    <w:rsid w:val="002B1D95"/>
    <w:rsid w:val="002B2E84"/>
    <w:rsid w:val="002B3947"/>
    <w:rsid w:val="002B3E5C"/>
    <w:rsid w:val="002B4C13"/>
    <w:rsid w:val="002B4E26"/>
    <w:rsid w:val="002B53F2"/>
    <w:rsid w:val="002B5F47"/>
    <w:rsid w:val="002B6082"/>
    <w:rsid w:val="002B6804"/>
    <w:rsid w:val="002B69D5"/>
    <w:rsid w:val="002B7072"/>
    <w:rsid w:val="002C04B4"/>
    <w:rsid w:val="002C4ABB"/>
    <w:rsid w:val="002C644F"/>
    <w:rsid w:val="002C7E1D"/>
    <w:rsid w:val="002D0153"/>
    <w:rsid w:val="002D0897"/>
    <w:rsid w:val="002D20DA"/>
    <w:rsid w:val="002D29B7"/>
    <w:rsid w:val="002D3170"/>
    <w:rsid w:val="002D3743"/>
    <w:rsid w:val="002D4836"/>
    <w:rsid w:val="002D55D8"/>
    <w:rsid w:val="002D5830"/>
    <w:rsid w:val="002D7C36"/>
    <w:rsid w:val="002D7D01"/>
    <w:rsid w:val="002D7E7D"/>
    <w:rsid w:val="002E1381"/>
    <w:rsid w:val="002E179E"/>
    <w:rsid w:val="002E22BB"/>
    <w:rsid w:val="002E2516"/>
    <w:rsid w:val="002E3698"/>
    <w:rsid w:val="002E376F"/>
    <w:rsid w:val="002E5C78"/>
    <w:rsid w:val="002E6FA7"/>
    <w:rsid w:val="002E75E6"/>
    <w:rsid w:val="002E7689"/>
    <w:rsid w:val="002E7976"/>
    <w:rsid w:val="002E7EA9"/>
    <w:rsid w:val="002F0424"/>
    <w:rsid w:val="002F108A"/>
    <w:rsid w:val="002F2FC5"/>
    <w:rsid w:val="002F3B28"/>
    <w:rsid w:val="002F3E00"/>
    <w:rsid w:val="002F43BE"/>
    <w:rsid w:val="002F43C4"/>
    <w:rsid w:val="002F6203"/>
    <w:rsid w:val="002F621F"/>
    <w:rsid w:val="002F6661"/>
    <w:rsid w:val="002F6682"/>
    <w:rsid w:val="002F6C88"/>
    <w:rsid w:val="002F71DA"/>
    <w:rsid w:val="003001C1"/>
    <w:rsid w:val="0030076D"/>
    <w:rsid w:val="00301B9B"/>
    <w:rsid w:val="00301D75"/>
    <w:rsid w:val="0030268F"/>
    <w:rsid w:val="00302762"/>
    <w:rsid w:val="00302E67"/>
    <w:rsid w:val="0030614C"/>
    <w:rsid w:val="0030653B"/>
    <w:rsid w:val="00306DF9"/>
    <w:rsid w:val="00307935"/>
    <w:rsid w:val="00307E60"/>
    <w:rsid w:val="00310B6C"/>
    <w:rsid w:val="003119AB"/>
    <w:rsid w:val="003148D8"/>
    <w:rsid w:val="00314C2A"/>
    <w:rsid w:val="00315072"/>
    <w:rsid w:val="00315516"/>
    <w:rsid w:val="00315E68"/>
    <w:rsid w:val="003160C6"/>
    <w:rsid w:val="003179FB"/>
    <w:rsid w:val="00317B92"/>
    <w:rsid w:val="00321F0D"/>
    <w:rsid w:val="00322C51"/>
    <w:rsid w:val="00323341"/>
    <w:rsid w:val="00323672"/>
    <w:rsid w:val="003241FD"/>
    <w:rsid w:val="0032421B"/>
    <w:rsid w:val="003243F3"/>
    <w:rsid w:val="00324498"/>
    <w:rsid w:val="003252F8"/>
    <w:rsid w:val="00325980"/>
    <w:rsid w:val="00327A43"/>
    <w:rsid w:val="0033208B"/>
    <w:rsid w:val="00334E87"/>
    <w:rsid w:val="00335758"/>
    <w:rsid w:val="00335998"/>
    <w:rsid w:val="00337BB2"/>
    <w:rsid w:val="00337C28"/>
    <w:rsid w:val="0034068A"/>
    <w:rsid w:val="003406E9"/>
    <w:rsid w:val="00340807"/>
    <w:rsid w:val="00340A71"/>
    <w:rsid w:val="00342018"/>
    <w:rsid w:val="00342513"/>
    <w:rsid w:val="00345436"/>
    <w:rsid w:val="00345DF1"/>
    <w:rsid w:val="00346109"/>
    <w:rsid w:val="00350A9B"/>
    <w:rsid w:val="00350DAA"/>
    <w:rsid w:val="0035199C"/>
    <w:rsid w:val="00351B50"/>
    <w:rsid w:val="00351D18"/>
    <w:rsid w:val="0035261C"/>
    <w:rsid w:val="00352779"/>
    <w:rsid w:val="00352C6F"/>
    <w:rsid w:val="00352E31"/>
    <w:rsid w:val="0035398D"/>
    <w:rsid w:val="00353EA1"/>
    <w:rsid w:val="00354A64"/>
    <w:rsid w:val="00356620"/>
    <w:rsid w:val="00356B60"/>
    <w:rsid w:val="00357C4A"/>
    <w:rsid w:val="00360045"/>
    <w:rsid w:val="003601E5"/>
    <w:rsid w:val="003605B8"/>
    <w:rsid w:val="00360702"/>
    <w:rsid w:val="003611AA"/>
    <w:rsid w:val="003613C4"/>
    <w:rsid w:val="00362FE7"/>
    <w:rsid w:val="00363157"/>
    <w:rsid w:val="0036431C"/>
    <w:rsid w:val="003659C7"/>
    <w:rsid w:val="00366F1B"/>
    <w:rsid w:val="003670E0"/>
    <w:rsid w:val="003673D5"/>
    <w:rsid w:val="0037014B"/>
    <w:rsid w:val="00370A4F"/>
    <w:rsid w:val="003715E7"/>
    <w:rsid w:val="00371AFC"/>
    <w:rsid w:val="00371B7F"/>
    <w:rsid w:val="00371E66"/>
    <w:rsid w:val="00372EF5"/>
    <w:rsid w:val="003730E7"/>
    <w:rsid w:val="00373294"/>
    <w:rsid w:val="00373591"/>
    <w:rsid w:val="003735EC"/>
    <w:rsid w:val="00375316"/>
    <w:rsid w:val="00375D50"/>
    <w:rsid w:val="0037620F"/>
    <w:rsid w:val="0037689F"/>
    <w:rsid w:val="00380B99"/>
    <w:rsid w:val="00380D85"/>
    <w:rsid w:val="00380E87"/>
    <w:rsid w:val="003817FD"/>
    <w:rsid w:val="00381882"/>
    <w:rsid w:val="00383A27"/>
    <w:rsid w:val="0038428D"/>
    <w:rsid w:val="00384BBE"/>
    <w:rsid w:val="00384DAF"/>
    <w:rsid w:val="003854B1"/>
    <w:rsid w:val="0038551D"/>
    <w:rsid w:val="003859D2"/>
    <w:rsid w:val="00385F04"/>
    <w:rsid w:val="0038601F"/>
    <w:rsid w:val="00387582"/>
    <w:rsid w:val="00387A04"/>
    <w:rsid w:val="00390525"/>
    <w:rsid w:val="003909F8"/>
    <w:rsid w:val="00391510"/>
    <w:rsid w:val="00391CE2"/>
    <w:rsid w:val="003946FE"/>
    <w:rsid w:val="00394947"/>
    <w:rsid w:val="00394A72"/>
    <w:rsid w:val="00394CB8"/>
    <w:rsid w:val="00395F8D"/>
    <w:rsid w:val="00396DEE"/>
    <w:rsid w:val="003972CD"/>
    <w:rsid w:val="00397880"/>
    <w:rsid w:val="00397E32"/>
    <w:rsid w:val="003A06EC"/>
    <w:rsid w:val="003A0D9A"/>
    <w:rsid w:val="003A11A6"/>
    <w:rsid w:val="003A1779"/>
    <w:rsid w:val="003A23F2"/>
    <w:rsid w:val="003A2A14"/>
    <w:rsid w:val="003A4272"/>
    <w:rsid w:val="003A46F5"/>
    <w:rsid w:val="003A5181"/>
    <w:rsid w:val="003A62C9"/>
    <w:rsid w:val="003A640B"/>
    <w:rsid w:val="003A7376"/>
    <w:rsid w:val="003A7840"/>
    <w:rsid w:val="003B03F3"/>
    <w:rsid w:val="003B11EB"/>
    <w:rsid w:val="003B14B3"/>
    <w:rsid w:val="003B406C"/>
    <w:rsid w:val="003B6254"/>
    <w:rsid w:val="003B6612"/>
    <w:rsid w:val="003B673B"/>
    <w:rsid w:val="003B694D"/>
    <w:rsid w:val="003B6C77"/>
    <w:rsid w:val="003B6D3C"/>
    <w:rsid w:val="003B7546"/>
    <w:rsid w:val="003B766F"/>
    <w:rsid w:val="003C0A4C"/>
    <w:rsid w:val="003C25E7"/>
    <w:rsid w:val="003C4CDC"/>
    <w:rsid w:val="003C536D"/>
    <w:rsid w:val="003C5B03"/>
    <w:rsid w:val="003C5D52"/>
    <w:rsid w:val="003D0755"/>
    <w:rsid w:val="003D0F16"/>
    <w:rsid w:val="003D0FF0"/>
    <w:rsid w:val="003D14C5"/>
    <w:rsid w:val="003D1E5C"/>
    <w:rsid w:val="003D1EC0"/>
    <w:rsid w:val="003D235A"/>
    <w:rsid w:val="003D2609"/>
    <w:rsid w:val="003D2C76"/>
    <w:rsid w:val="003D303D"/>
    <w:rsid w:val="003D3E3D"/>
    <w:rsid w:val="003D3F7A"/>
    <w:rsid w:val="003D679B"/>
    <w:rsid w:val="003D69DD"/>
    <w:rsid w:val="003E0881"/>
    <w:rsid w:val="003E13E9"/>
    <w:rsid w:val="003E1723"/>
    <w:rsid w:val="003E1DFB"/>
    <w:rsid w:val="003E1FB5"/>
    <w:rsid w:val="003E3730"/>
    <w:rsid w:val="003E4C5F"/>
    <w:rsid w:val="003E56FD"/>
    <w:rsid w:val="003E70B4"/>
    <w:rsid w:val="003E7165"/>
    <w:rsid w:val="003F0311"/>
    <w:rsid w:val="003F0E55"/>
    <w:rsid w:val="003F1794"/>
    <w:rsid w:val="003F2376"/>
    <w:rsid w:val="003F2412"/>
    <w:rsid w:val="003F3BD1"/>
    <w:rsid w:val="003F4DC5"/>
    <w:rsid w:val="003F5B10"/>
    <w:rsid w:val="003F60B5"/>
    <w:rsid w:val="003F6332"/>
    <w:rsid w:val="003F77D8"/>
    <w:rsid w:val="003F77E4"/>
    <w:rsid w:val="004017DF"/>
    <w:rsid w:val="00402EC7"/>
    <w:rsid w:val="00402F79"/>
    <w:rsid w:val="004035C3"/>
    <w:rsid w:val="00404237"/>
    <w:rsid w:val="0040446B"/>
    <w:rsid w:val="00404E64"/>
    <w:rsid w:val="0040578F"/>
    <w:rsid w:val="00405FBA"/>
    <w:rsid w:val="004072F5"/>
    <w:rsid w:val="00407B15"/>
    <w:rsid w:val="00407CC7"/>
    <w:rsid w:val="00407CCA"/>
    <w:rsid w:val="0041015F"/>
    <w:rsid w:val="004120EC"/>
    <w:rsid w:val="004133FF"/>
    <w:rsid w:val="00413A31"/>
    <w:rsid w:val="00413A9B"/>
    <w:rsid w:val="00413CBE"/>
    <w:rsid w:val="00414D98"/>
    <w:rsid w:val="0041562F"/>
    <w:rsid w:val="00416154"/>
    <w:rsid w:val="00416304"/>
    <w:rsid w:val="00416C9B"/>
    <w:rsid w:val="0041770F"/>
    <w:rsid w:val="00417BA3"/>
    <w:rsid w:val="00420543"/>
    <w:rsid w:val="00422EB1"/>
    <w:rsid w:val="00424878"/>
    <w:rsid w:val="0042736C"/>
    <w:rsid w:val="00427682"/>
    <w:rsid w:val="004279B0"/>
    <w:rsid w:val="00431AA2"/>
    <w:rsid w:val="00431B5E"/>
    <w:rsid w:val="0043325F"/>
    <w:rsid w:val="00433D81"/>
    <w:rsid w:val="0043513B"/>
    <w:rsid w:val="00435334"/>
    <w:rsid w:val="0043657A"/>
    <w:rsid w:val="00436E88"/>
    <w:rsid w:val="0044114F"/>
    <w:rsid w:val="004424CC"/>
    <w:rsid w:val="00442B99"/>
    <w:rsid w:val="00442F11"/>
    <w:rsid w:val="004438CE"/>
    <w:rsid w:val="00443916"/>
    <w:rsid w:val="00444936"/>
    <w:rsid w:val="00446A9F"/>
    <w:rsid w:val="00447E01"/>
    <w:rsid w:val="00452257"/>
    <w:rsid w:val="00452285"/>
    <w:rsid w:val="004523A5"/>
    <w:rsid w:val="004528E9"/>
    <w:rsid w:val="00452B4F"/>
    <w:rsid w:val="00452CCD"/>
    <w:rsid w:val="004537EB"/>
    <w:rsid w:val="00453C48"/>
    <w:rsid w:val="004541F0"/>
    <w:rsid w:val="00456B1A"/>
    <w:rsid w:val="00457A54"/>
    <w:rsid w:val="004603DC"/>
    <w:rsid w:val="00460512"/>
    <w:rsid w:val="0046109F"/>
    <w:rsid w:val="00462433"/>
    <w:rsid w:val="00463E24"/>
    <w:rsid w:val="00464938"/>
    <w:rsid w:val="0046639C"/>
    <w:rsid w:val="00466FFA"/>
    <w:rsid w:val="004709B0"/>
    <w:rsid w:val="004710EF"/>
    <w:rsid w:val="00471305"/>
    <w:rsid w:val="00471348"/>
    <w:rsid w:val="0047315E"/>
    <w:rsid w:val="00473961"/>
    <w:rsid w:val="00473C24"/>
    <w:rsid w:val="00475722"/>
    <w:rsid w:val="004765D1"/>
    <w:rsid w:val="0047786F"/>
    <w:rsid w:val="004807E9"/>
    <w:rsid w:val="004808D4"/>
    <w:rsid w:val="00480E42"/>
    <w:rsid w:val="00482A1B"/>
    <w:rsid w:val="00482A41"/>
    <w:rsid w:val="00482E96"/>
    <w:rsid w:val="00484ED4"/>
    <w:rsid w:val="00485942"/>
    <w:rsid w:val="0048693A"/>
    <w:rsid w:val="00486CF5"/>
    <w:rsid w:val="00487286"/>
    <w:rsid w:val="00487457"/>
    <w:rsid w:val="00487774"/>
    <w:rsid w:val="00490D4B"/>
    <w:rsid w:val="00490F5C"/>
    <w:rsid w:val="004912A5"/>
    <w:rsid w:val="004920B4"/>
    <w:rsid w:val="0049211D"/>
    <w:rsid w:val="00493557"/>
    <w:rsid w:val="0049477E"/>
    <w:rsid w:val="004958CF"/>
    <w:rsid w:val="00496454"/>
    <w:rsid w:val="004A1092"/>
    <w:rsid w:val="004A109B"/>
    <w:rsid w:val="004A12CF"/>
    <w:rsid w:val="004A1A4C"/>
    <w:rsid w:val="004A2257"/>
    <w:rsid w:val="004A2474"/>
    <w:rsid w:val="004A24D3"/>
    <w:rsid w:val="004A2AF8"/>
    <w:rsid w:val="004A320A"/>
    <w:rsid w:val="004A46D7"/>
    <w:rsid w:val="004A5064"/>
    <w:rsid w:val="004A6387"/>
    <w:rsid w:val="004A7986"/>
    <w:rsid w:val="004B01C1"/>
    <w:rsid w:val="004B1371"/>
    <w:rsid w:val="004B197C"/>
    <w:rsid w:val="004B205A"/>
    <w:rsid w:val="004B2FF7"/>
    <w:rsid w:val="004B44C1"/>
    <w:rsid w:val="004B5D29"/>
    <w:rsid w:val="004B69A6"/>
    <w:rsid w:val="004B6E72"/>
    <w:rsid w:val="004C0F12"/>
    <w:rsid w:val="004C2D07"/>
    <w:rsid w:val="004C2D51"/>
    <w:rsid w:val="004C2F10"/>
    <w:rsid w:val="004C3330"/>
    <w:rsid w:val="004C3626"/>
    <w:rsid w:val="004C3A55"/>
    <w:rsid w:val="004C4BF0"/>
    <w:rsid w:val="004C67B0"/>
    <w:rsid w:val="004C6B2D"/>
    <w:rsid w:val="004C6DA8"/>
    <w:rsid w:val="004C6EDE"/>
    <w:rsid w:val="004C70FA"/>
    <w:rsid w:val="004D1C0B"/>
    <w:rsid w:val="004D1F9B"/>
    <w:rsid w:val="004D20F8"/>
    <w:rsid w:val="004D298C"/>
    <w:rsid w:val="004D417A"/>
    <w:rsid w:val="004D483A"/>
    <w:rsid w:val="004D5725"/>
    <w:rsid w:val="004D7EDC"/>
    <w:rsid w:val="004E0B7B"/>
    <w:rsid w:val="004E1698"/>
    <w:rsid w:val="004E21CF"/>
    <w:rsid w:val="004E28F4"/>
    <w:rsid w:val="004E294F"/>
    <w:rsid w:val="004E36A1"/>
    <w:rsid w:val="004E3780"/>
    <w:rsid w:val="004E3A8D"/>
    <w:rsid w:val="004E4FEE"/>
    <w:rsid w:val="004E5081"/>
    <w:rsid w:val="004E521B"/>
    <w:rsid w:val="004E561A"/>
    <w:rsid w:val="004E5CCD"/>
    <w:rsid w:val="004E63C0"/>
    <w:rsid w:val="004E649C"/>
    <w:rsid w:val="004E6651"/>
    <w:rsid w:val="004E6692"/>
    <w:rsid w:val="004F0586"/>
    <w:rsid w:val="004F306F"/>
    <w:rsid w:val="004F3298"/>
    <w:rsid w:val="004F36DB"/>
    <w:rsid w:val="004F39BF"/>
    <w:rsid w:val="004F43C0"/>
    <w:rsid w:val="004F4476"/>
    <w:rsid w:val="004F48B7"/>
    <w:rsid w:val="004F4C71"/>
    <w:rsid w:val="004F678D"/>
    <w:rsid w:val="004F7942"/>
    <w:rsid w:val="005005BE"/>
    <w:rsid w:val="00500D72"/>
    <w:rsid w:val="00503027"/>
    <w:rsid w:val="005030BE"/>
    <w:rsid w:val="005051B3"/>
    <w:rsid w:val="00505399"/>
    <w:rsid w:val="005057EB"/>
    <w:rsid w:val="005058ED"/>
    <w:rsid w:val="00505A3E"/>
    <w:rsid w:val="00505E26"/>
    <w:rsid w:val="0051022B"/>
    <w:rsid w:val="0051042A"/>
    <w:rsid w:val="00511052"/>
    <w:rsid w:val="00511147"/>
    <w:rsid w:val="0051186F"/>
    <w:rsid w:val="00511EAD"/>
    <w:rsid w:val="00512D00"/>
    <w:rsid w:val="00513B15"/>
    <w:rsid w:val="005144E0"/>
    <w:rsid w:val="00515EF3"/>
    <w:rsid w:val="00516751"/>
    <w:rsid w:val="0051689F"/>
    <w:rsid w:val="00517166"/>
    <w:rsid w:val="0051740F"/>
    <w:rsid w:val="00517DD3"/>
    <w:rsid w:val="005201ED"/>
    <w:rsid w:val="005206B5"/>
    <w:rsid w:val="00520746"/>
    <w:rsid w:val="00522DEC"/>
    <w:rsid w:val="00525DB4"/>
    <w:rsid w:val="005302D1"/>
    <w:rsid w:val="00530E45"/>
    <w:rsid w:val="00531FEA"/>
    <w:rsid w:val="00533004"/>
    <w:rsid w:val="005335B0"/>
    <w:rsid w:val="0053479F"/>
    <w:rsid w:val="00534FD7"/>
    <w:rsid w:val="00537A3C"/>
    <w:rsid w:val="005408D2"/>
    <w:rsid w:val="005408E9"/>
    <w:rsid w:val="0054136D"/>
    <w:rsid w:val="005413FB"/>
    <w:rsid w:val="00544465"/>
    <w:rsid w:val="005448FF"/>
    <w:rsid w:val="00545007"/>
    <w:rsid w:val="00545417"/>
    <w:rsid w:val="00545A36"/>
    <w:rsid w:val="005466C3"/>
    <w:rsid w:val="00546B3E"/>
    <w:rsid w:val="00546C81"/>
    <w:rsid w:val="00546D63"/>
    <w:rsid w:val="005475D1"/>
    <w:rsid w:val="00547780"/>
    <w:rsid w:val="00550FDE"/>
    <w:rsid w:val="00551610"/>
    <w:rsid w:val="0055293B"/>
    <w:rsid w:val="005544BA"/>
    <w:rsid w:val="00556475"/>
    <w:rsid w:val="00556B11"/>
    <w:rsid w:val="00556E17"/>
    <w:rsid w:val="00557293"/>
    <w:rsid w:val="0055753A"/>
    <w:rsid w:val="00557BDC"/>
    <w:rsid w:val="0056098F"/>
    <w:rsid w:val="00560C5D"/>
    <w:rsid w:val="00561620"/>
    <w:rsid w:val="005620C6"/>
    <w:rsid w:val="00563024"/>
    <w:rsid w:val="005633F8"/>
    <w:rsid w:val="00563401"/>
    <w:rsid w:val="00563449"/>
    <w:rsid w:val="00563E49"/>
    <w:rsid w:val="0056414F"/>
    <w:rsid w:val="00564363"/>
    <w:rsid w:val="00564CD0"/>
    <w:rsid w:val="00564F01"/>
    <w:rsid w:val="005669BD"/>
    <w:rsid w:val="00566C1F"/>
    <w:rsid w:val="00566C4D"/>
    <w:rsid w:val="00567B43"/>
    <w:rsid w:val="0057101E"/>
    <w:rsid w:val="0057132A"/>
    <w:rsid w:val="0057188B"/>
    <w:rsid w:val="005743E1"/>
    <w:rsid w:val="00576CEC"/>
    <w:rsid w:val="00577D90"/>
    <w:rsid w:val="005811A0"/>
    <w:rsid w:val="00581DAE"/>
    <w:rsid w:val="0058208C"/>
    <w:rsid w:val="005839BA"/>
    <w:rsid w:val="00583ECF"/>
    <w:rsid w:val="00584213"/>
    <w:rsid w:val="00584ADA"/>
    <w:rsid w:val="00585372"/>
    <w:rsid w:val="005862DA"/>
    <w:rsid w:val="00586FE7"/>
    <w:rsid w:val="00590C67"/>
    <w:rsid w:val="00592F8C"/>
    <w:rsid w:val="005933DB"/>
    <w:rsid w:val="0059435C"/>
    <w:rsid w:val="00594653"/>
    <w:rsid w:val="005948B5"/>
    <w:rsid w:val="00594A0C"/>
    <w:rsid w:val="00595B4C"/>
    <w:rsid w:val="00597AE1"/>
    <w:rsid w:val="005A02EA"/>
    <w:rsid w:val="005A03AA"/>
    <w:rsid w:val="005A26F5"/>
    <w:rsid w:val="005A4580"/>
    <w:rsid w:val="005A564F"/>
    <w:rsid w:val="005A7624"/>
    <w:rsid w:val="005A7BC8"/>
    <w:rsid w:val="005B0D73"/>
    <w:rsid w:val="005B17E3"/>
    <w:rsid w:val="005B1991"/>
    <w:rsid w:val="005B4EE2"/>
    <w:rsid w:val="005B62FB"/>
    <w:rsid w:val="005B6376"/>
    <w:rsid w:val="005B7265"/>
    <w:rsid w:val="005C0C43"/>
    <w:rsid w:val="005C0FD4"/>
    <w:rsid w:val="005C1E2E"/>
    <w:rsid w:val="005C247A"/>
    <w:rsid w:val="005C44E1"/>
    <w:rsid w:val="005C4A99"/>
    <w:rsid w:val="005C5781"/>
    <w:rsid w:val="005C57D9"/>
    <w:rsid w:val="005C6860"/>
    <w:rsid w:val="005C6EEA"/>
    <w:rsid w:val="005D413E"/>
    <w:rsid w:val="005D440E"/>
    <w:rsid w:val="005D453A"/>
    <w:rsid w:val="005D65E4"/>
    <w:rsid w:val="005D6AD5"/>
    <w:rsid w:val="005D6DAF"/>
    <w:rsid w:val="005D7DA5"/>
    <w:rsid w:val="005E01DE"/>
    <w:rsid w:val="005E0CA9"/>
    <w:rsid w:val="005E12FA"/>
    <w:rsid w:val="005E1D20"/>
    <w:rsid w:val="005E5489"/>
    <w:rsid w:val="005E6E7C"/>
    <w:rsid w:val="005F12FA"/>
    <w:rsid w:val="005F4B0D"/>
    <w:rsid w:val="005F5B1E"/>
    <w:rsid w:val="005F5D3C"/>
    <w:rsid w:val="005F67B6"/>
    <w:rsid w:val="005F7CEA"/>
    <w:rsid w:val="00600204"/>
    <w:rsid w:val="006018BE"/>
    <w:rsid w:val="00601DF8"/>
    <w:rsid w:val="00601F07"/>
    <w:rsid w:val="0060214F"/>
    <w:rsid w:val="006026DD"/>
    <w:rsid w:val="0060297D"/>
    <w:rsid w:val="00604306"/>
    <w:rsid w:val="006043F6"/>
    <w:rsid w:val="00604CE4"/>
    <w:rsid w:val="00605176"/>
    <w:rsid w:val="00605295"/>
    <w:rsid w:val="006058FD"/>
    <w:rsid w:val="00605A0B"/>
    <w:rsid w:val="00605AE3"/>
    <w:rsid w:val="00605AE8"/>
    <w:rsid w:val="006078BC"/>
    <w:rsid w:val="006103E4"/>
    <w:rsid w:val="00610BA9"/>
    <w:rsid w:val="00610DEF"/>
    <w:rsid w:val="00611971"/>
    <w:rsid w:val="006122B6"/>
    <w:rsid w:val="00613027"/>
    <w:rsid w:val="00614A0F"/>
    <w:rsid w:val="00616788"/>
    <w:rsid w:val="00616D3C"/>
    <w:rsid w:val="00617051"/>
    <w:rsid w:val="00621573"/>
    <w:rsid w:val="00621689"/>
    <w:rsid w:val="00622C01"/>
    <w:rsid w:val="00624FE2"/>
    <w:rsid w:val="006258DC"/>
    <w:rsid w:val="00625AAD"/>
    <w:rsid w:val="0062607E"/>
    <w:rsid w:val="006316F3"/>
    <w:rsid w:val="00631E13"/>
    <w:rsid w:val="006320B2"/>
    <w:rsid w:val="00632E18"/>
    <w:rsid w:val="00632F3E"/>
    <w:rsid w:val="00633270"/>
    <w:rsid w:val="00633E9B"/>
    <w:rsid w:val="00636894"/>
    <w:rsid w:val="006374FC"/>
    <w:rsid w:val="00637F6F"/>
    <w:rsid w:val="006404D7"/>
    <w:rsid w:val="00640E72"/>
    <w:rsid w:val="00641E06"/>
    <w:rsid w:val="006425DC"/>
    <w:rsid w:val="006425F7"/>
    <w:rsid w:val="00644DDE"/>
    <w:rsid w:val="00644ED8"/>
    <w:rsid w:val="006452B0"/>
    <w:rsid w:val="00645752"/>
    <w:rsid w:val="006459BD"/>
    <w:rsid w:val="00645B9D"/>
    <w:rsid w:val="0064640B"/>
    <w:rsid w:val="006471C2"/>
    <w:rsid w:val="00647E40"/>
    <w:rsid w:val="00650D01"/>
    <w:rsid w:val="00651A6B"/>
    <w:rsid w:val="006521D3"/>
    <w:rsid w:val="0065285B"/>
    <w:rsid w:val="006547B4"/>
    <w:rsid w:val="0065557A"/>
    <w:rsid w:val="00655A33"/>
    <w:rsid w:val="00656B9D"/>
    <w:rsid w:val="00656BE4"/>
    <w:rsid w:val="00661BD2"/>
    <w:rsid w:val="006625BC"/>
    <w:rsid w:val="00662E5E"/>
    <w:rsid w:val="00662EF6"/>
    <w:rsid w:val="00663404"/>
    <w:rsid w:val="006645C1"/>
    <w:rsid w:val="006655E1"/>
    <w:rsid w:val="00665B50"/>
    <w:rsid w:val="00665EB1"/>
    <w:rsid w:val="006661C4"/>
    <w:rsid w:val="00666846"/>
    <w:rsid w:val="00667578"/>
    <w:rsid w:val="00667D58"/>
    <w:rsid w:val="0067035D"/>
    <w:rsid w:val="00670D3B"/>
    <w:rsid w:val="00674A45"/>
    <w:rsid w:val="00675275"/>
    <w:rsid w:val="00676280"/>
    <w:rsid w:val="00676720"/>
    <w:rsid w:val="00676EB9"/>
    <w:rsid w:val="006773CE"/>
    <w:rsid w:val="00677C19"/>
    <w:rsid w:val="0068081F"/>
    <w:rsid w:val="00680E3D"/>
    <w:rsid w:val="006811F3"/>
    <w:rsid w:val="006845CE"/>
    <w:rsid w:val="00685132"/>
    <w:rsid w:val="006851B5"/>
    <w:rsid w:val="00687C0D"/>
    <w:rsid w:val="00691C2B"/>
    <w:rsid w:val="00691E5D"/>
    <w:rsid w:val="00692710"/>
    <w:rsid w:val="0069379F"/>
    <w:rsid w:val="00693A35"/>
    <w:rsid w:val="006944E5"/>
    <w:rsid w:val="00694512"/>
    <w:rsid w:val="00694F9A"/>
    <w:rsid w:val="00695AC0"/>
    <w:rsid w:val="00695F76"/>
    <w:rsid w:val="00697A97"/>
    <w:rsid w:val="00697D8A"/>
    <w:rsid w:val="006A0137"/>
    <w:rsid w:val="006A09FA"/>
    <w:rsid w:val="006A29FE"/>
    <w:rsid w:val="006A3E13"/>
    <w:rsid w:val="006A4330"/>
    <w:rsid w:val="006A57E5"/>
    <w:rsid w:val="006A5FAF"/>
    <w:rsid w:val="006A6280"/>
    <w:rsid w:val="006A6AC4"/>
    <w:rsid w:val="006A7CBD"/>
    <w:rsid w:val="006B17E5"/>
    <w:rsid w:val="006B1C8A"/>
    <w:rsid w:val="006B1D2D"/>
    <w:rsid w:val="006B2143"/>
    <w:rsid w:val="006B2EE8"/>
    <w:rsid w:val="006B3807"/>
    <w:rsid w:val="006B38CC"/>
    <w:rsid w:val="006B3DDE"/>
    <w:rsid w:val="006B4232"/>
    <w:rsid w:val="006B50D2"/>
    <w:rsid w:val="006B593E"/>
    <w:rsid w:val="006B6F3A"/>
    <w:rsid w:val="006B7033"/>
    <w:rsid w:val="006B78BB"/>
    <w:rsid w:val="006C0578"/>
    <w:rsid w:val="006C335B"/>
    <w:rsid w:val="006C5D68"/>
    <w:rsid w:val="006C6382"/>
    <w:rsid w:val="006C6A30"/>
    <w:rsid w:val="006C7191"/>
    <w:rsid w:val="006C78AE"/>
    <w:rsid w:val="006C7D11"/>
    <w:rsid w:val="006D03C5"/>
    <w:rsid w:val="006D0C3B"/>
    <w:rsid w:val="006D2390"/>
    <w:rsid w:val="006D2EE7"/>
    <w:rsid w:val="006D2F04"/>
    <w:rsid w:val="006D32C7"/>
    <w:rsid w:val="006D34CC"/>
    <w:rsid w:val="006D3BC1"/>
    <w:rsid w:val="006D774C"/>
    <w:rsid w:val="006E00CF"/>
    <w:rsid w:val="006E1ADA"/>
    <w:rsid w:val="006E3971"/>
    <w:rsid w:val="006E454B"/>
    <w:rsid w:val="006E50DB"/>
    <w:rsid w:val="006E591A"/>
    <w:rsid w:val="006E59C1"/>
    <w:rsid w:val="006E6D05"/>
    <w:rsid w:val="006F2705"/>
    <w:rsid w:val="006F3195"/>
    <w:rsid w:val="006F4B12"/>
    <w:rsid w:val="006F538B"/>
    <w:rsid w:val="006F642A"/>
    <w:rsid w:val="00700AC7"/>
    <w:rsid w:val="007019BB"/>
    <w:rsid w:val="007019D1"/>
    <w:rsid w:val="00701B26"/>
    <w:rsid w:val="0070208A"/>
    <w:rsid w:val="00702FEE"/>
    <w:rsid w:val="0070438A"/>
    <w:rsid w:val="00704A6E"/>
    <w:rsid w:val="007050E0"/>
    <w:rsid w:val="00706077"/>
    <w:rsid w:val="00706AF5"/>
    <w:rsid w:val="007077B2"/>
    <w:rsid w:val="007079BB"/>
    <w:rsid w:val="00707AE2"/>
    <w:rsid w:val="00707B82"/>
    <w:rsid w:val="00707C7E"/>
    <w:rsid w:val="00707E10"/>
    <w:rsid w:val="00710119"/>
    <w:rsid w:val="007118EC"/>
    <w:rsid w:val="00713F01"/>
    <w:rsid w:val="00715273"/>
    <w:rsid w:val="00715C28"/>
    <w:rsid w:val="00716F0C"/>
    <w:rsid w:val="0071708C"/>
    <w:rsid w:val="0071789D"/>
    <w:rsid w:val="00717999"/>
    <w:rsid w:val="00720E71"/>
    <w:rsid w:val="00721524"/>
    <w:rsid w:val="00721A35"/>
    <w:rsid w:val="00722C18"/>
    <w:rsid w:val="0072303A"/>
    <w:rsid w:val="0072377F"/>
    <w:rsid w:val="007239C4"/>
    <w:rsid w:val="007241C1"/>
    <w:rsid w:val="007247F6"/>
    <w:rsid w:val="00724944"/>
    <w:rsid w:val="007249F9"/>
    <w:rsid w:val="007270DE"/>
    <w:rsid w:val="0072763D"/>
    <w:rsid w:val="00727B75"/>
    <w:rsid w:val="0073013F"/>
    <w:rsid w:val="00730A31"/>
    <w:rsid w:val="00731B49"/>
    <w:rsid w:val="00731EB9"/>
    <w:rsid w:val="00732B9F"/>
    <w:rsid w:val="00732C51"/>
    <w:rsid w:val="007337E0"/>
    <w:rsid w:val="0073411B"/>
    <w:rsid w:val="00734946"/>
    <w:rsid w:val="00734B92"/>
    <w:rsid w:val="00735461"/>
    <w:rsid w:val="007406B1"/>
    <w:rsid w:val="007438D4"/>
    <w:rsid w:val="00744AC7"/>
    <w:rsid w:val="00744F51"/>
    <w:rsid w:val="00745490"/>
    <w:rsid w:val="00745A54"/>
    <w:rsid w:val="00745AA4"/>
    <w:rsid w:val="007471CF"/>
    <w:rsid w:val="007478D2"/>
    <w:rsid w:val="00750A2D"/>
    <w:rsid w:val="00750BB2"/>
    <w:rsid w:val="0075187C"/>
    <w:rsid w:val="007527CD"/>
    <w:rsid w:val="007543C2"/>
    <w:rsid w:val="007545CF"/>
    <w:rsid w:val="00754757"/>
    <w:rsid w:val="0075572C"/>
    <w:rsid w:val="0075657F"/>
    <w:rsid w:val="00756B9B"/>
    <w:rsid w:val="00756EA1"/>
    <w:rsid w:val="00757697"/>
    <w:rsid w:val="00757BD5"/>
    <w:rsid w:val="007604BB"/>
    <w:rsid w:val="00760C3B"/>
    <w:rsid w:val="0076185F"/>
    <w:rsid w:val="00765620"/>
    <w:rsid w:val="007668D2"/>
    <w:rsid w:val="007675BD"/>
    <w:rsid w:val="00770297"/>
    <w:rsid w:val="00771634"/>
    <w:rsid w:val="007725A9"/>
    <w:rsid w:val="0077269B"/>
    <w:rsid w:val="0077290B"/>
    <w:rsid w:val="00772DCF"/>
    <w:rsid w:val="00773C88"/>
    <w:rsid w:val="00773E33"/>
    <w:rsid w:val="0077407D"/>
    <w:rsid w:val="007743D6"/>
    <w:rsid w:val="00774B01"/>
    <w:rsid w:val="007752FE"/>
    <w:rsid w:val="007755CA"/>
    <w:rsid w:val="00777787"/>
    <w:rsid w:val="00780636"/>
    <w:rsid w:val="00780749"/>
    <w:rsid w:val="00780C3E"/>
    <w:rsid w:val="007811C7"/>
    <w:rsid w:val="00781BA7"/>
    <w:rsid w:val="00782134"/>
    <w:rsid w:val="00782F28"/>
    <w:rsid w:val="00783CF8"/>
    <w:rsid w:val="0078447C"/>
    <w:rsid w:val="00784749"/>
    <w:rsid w:val="00784A6C"/>
    <w:rsid w:val="00785259"/>
    <w:rsid w:val="00785298"/>
    <w:rsid w:val="00785353"/>
    <w:rsid w:val="00785DB7"/>
    <w:rsid w:val="0078670A"/>
    <w:rsid w:val="007875EF"/>
    <w:rsid w:val="00787FBD"/>
    <w:rsid w:val="00790D0B"/>
    <w:rsid w:val="00790D22"/>
    <w:rsid w:val="00790D29"/>
    <w:rsid w:val="00791909"/>
    <w:rsid w:val="00791FA8"/>
    <w:rsid w:val="00792913"/>
    <w:rsid w:val="00792F82"/>
    <w:rsid w:val="0079392A"/>
    <w:rsid w:val="00793BCD"/>
    <w:rsid w:val="00793E23"/>
    <w:rsid w:val="00794D06"/>
    <w:rsid w:val="00794EB7"/>
    <w:rsid w:val="007965C2"/>
    <w:rsid w:val="00796950"/>
    <w:rsid w:val="00796E81"/>
    <w:rsid w:val="00796F62"/>
    <w:rsid w:val="007973FD"/>
    <w:rsid w:val="007A0E1D"/>
    <w:rsid w:val="007A171D"/>
    <w:rsid w:val="007A2A0D"/>
    <w:rsid w:val="007A4BF8"/>
    <w:rsid w:val="007A4E77"/>
    <w:rsid w:val="007A59A9"/>
    <w:rsid w:val="007A5D32"/>
    <w:rsid w:val="007A60D0"/>
    <w:rsid w:val="007A6EFD"/>
    <w:rsid w:val="007B008F"/>
    <w:rsid w:val="007B19C2"/>
    <w:rsid w:val="007B221B"/>
    <w:rsid w:val="007B22BC"/>
    <w:rsid w:val="007B33DD"/>
    <w:rsid w:val="007B3546"/>
    <w:rsid w:val="007B4214"/>
    <w:rsid w:val="007B4846"/>
    <w:rsid w:val="007B4EB2"/>
    <w:rsid w:val="007B59BD"/>
    <w:rsid w:val="007B61B6"/>
    <w:rsid w:val="007B6A79"/>
    <w:rsid w:val="007B7BFE"/>
    <w:rsid w:val="007C03F1"/>
    <w:rsid w:val="007C05CF"/>
    <w:rsid w:val="007C29E8"/>
    <w:rsid w:val="007C3058"/>
    <w:rsid w:val="007C426A"/>
    <w:rsid w:val="007C4296"/>
    <w:rsid w:val="007C5654"/>
    <w:rsid w:val="007C5920"/>
    <w:rsid w:val="007C6229"/>
    <w:rsid w:val="007C6AE5"/>
    <w:rsid w:val="007C6CE8"/>
    <w:rsid w:val="007C7894"/>
    <w:rsid w:val="007D012B"/>
    <w:rsid w:val="007D0834"/>
    <w:rsid w:val="007D0A71"/>
    <w:rsid w:val="007D1D4C"/>
    <w:rsid w:val="007D1FB9"/>
    <w:rsid w:val="007D32E1"/>
    <w:rsid w:val="007D3640"/>
    <w:rsid w:val="007D3AF7"/>
    <w:rsid w:val="007D3D46"/>
    <w:rsid w:val="007D43DD"/>
    <w:rsid w:val="007D44C8"/>
    <w:rsid w:val="007D641D"/>
    <w:rsid w:val="007D7431"/>
    <w:rsid w:val="007E11AA"/>
    <w:rsid w:val="007E19D8"/>
    <w:rsid w:val="007E1AF6"/>
    <w:rsid w:val="007E266B"/>
    <w:rsid w:val="007E3B77"/>
    <w:rsid w:val="007E4496"/>
    <w:rsid w:val="007E51AF"/>
    <w:rsid w:val="007E5487"/>
    <w:rsid w:val="007E6820"/>
    <w:rsid w:val="007E7654"/>
    <w:rsid w:val="007E7734"/>
    <w:rsid w:val="007F03E1"/>
    <w:rsid w:val="007F17A1"/>
    <w:rsid w:val="007F2A34"/>
    <w:rsid w:val="007F392E"/>
    <w:rsid w:val="007F44DE"/>
    <w:rsid w:val="007F4F36"/>
    <w:rsid w:val="007F5902"/>
    <w:rsid w:val="007F712F"/>
    <w:rsid w:val="007F72A4"/>
    <w:rsid w:val="007F7936"/>
    <w:rsid w:val="007F7C44"/>
    <w:rsid w:val="007F7C8B"/>
    <w:rsid w:val="00800C64"/>
    <w:rsid w:val="008029FE"/>
    <w:rsid w:val="00802A15"/>
    <w:rsid w:val="00802C90"/>
    <w:rsid w:val="00803A5B"/>
    <w:rsid w:val="008042F0"/>
    <w:rsid w:val="00804EC7"/>
    <w:rsid w:val="00806C32"/>
    <w:rsid w:val="00807DB7"/>
    <w:rsid w:val="00807E02"/>
    <w:rsid w:val="0081101B"/>
    <w:rsid w:val="008114C6"/>
    <w:rsid w:val="00811936"/>
    <w:rsid w:val="00812521"/>
    <w:rsid w:val="008139D3"/>
    <w:rsid w:val="00813EB9"/>
    <w:rsid w:val="00813EF5"/>
    <w:rsid w:val="00814ED7"/>
    <w:rsid w:val="00814F2A"/>
    <w:rsid w:val="00815BF2"/>
    <w:rsid w:val="0081619F"/>
    <w:rsid w:val="00816C93"/>
    <w:rsid w:val="00817A37"/>
    <w:rsid w:val="008200BB"/>
    <w:rsid w:val="00821657"/>
    <w:rsid w:val="00821AC0"/>
    <w:rsid w:val="0082351D"/>
    <w:rsid w:val="008244EB"/>
    <w:rsid w:val="0082460F"/>
    <w:rsid w:val="00824F05"/>
    <w:rsid w:val="00826432"/>
    <w:rsid w:val="0082780D"/>
    <w:rsid w:val="008302BF"/>
    <w:rsid w:val="00830BEC"/>
    <w:rsid w:val="0083112E"/>
    <w:rsid w:val="00831A0C"/>
    <w:rsid w:val="008326EB"/>
    <w:rsid w:val="00832724"/>
    <w:rsid w:val="00834118"/>
    <w:rsid w:val="00834271"/>
    <w:rsid w:val="008345F4"/>
    <w:rsid w:val="0083492E"/>
    <w:rsid w:val="0083551E"/>
    <w:rsid w:val="0083572F"/>
    <w:rsid w:val="0084110E"/>
    <w:rsid w:val="00841BB6"/>
    <w:rsid w:val="00844151"/>
    <w:rsid w:val="00844A1D"/>
    <w:rsid w:val="00844A65"/>
    <w:rsid w:val="0084614B"/>
    <w:rsid w:val="008500D8"/>
    <w:rsid w:val="008513D0"/>
    <w:rsid w:val="00852433"/>
    <w:rsid w:val="008533A9"/>
    <w:rsid w:val="008535C6"/>
    <w:rsid w:val="00853746"/>
    <w:rsid w:val="00855604"/>
    <w:rsid w:val="008558D0"/>
    <w:rsid w:val="00856F9D"/>
    <w:rsid w:val="008578F9"/>
    <w:rsid w:val="008579B4"/>
    <w:rsid w:val="00857A6A"/>
    <w:rsid w:val="0086097E"/>
    <w:rsid w:val="00860C11"/>
    <w:rsid w:val="008613AB"/>
    <w:rsid w:val="00861B54"/>
    <w:rsid w:val="00861EB9"/>
    <w:rsid w:val="0086360C"/>
    <w:rsid w:val="00863B9C"/>
    <w:rsid w:val="00863E82"/>
    <w:rsid w:val="008643A3"/>
    <w:rsid w:val="00864A01"/>
    <w:rsid w:val="0086556B"/>
    <w:rsid w:val="008661DE"/>
    <w:rsid w:val="00866A53"/>
    <w:rsid w:val="00866C4A"/>
    <w:rsid w:val="00867B94"/>
    <w:rsid w:val="008703F9"/>
    <w:rsid w:val="00871C34"/>
    <w:rsid w:val="0087316A"/>
    <w:rsid w:val="008743C9"/>
    <w:rsid w:val="008747A9"/>
    <w:rsid w:val="00875E2E"/>
    <w:rsid w:val="008766F7"/>
    <w:rsid w:val="00877297"/>
    <w:rsid w:val="008773F7"/>
    <w:rsid w:val="00880094"/>
    <w:rsid w:val="008805F0"/>
    <w:rsid w:val="008814B1"/>
    <w:rsid w:val="00882480"/>
    <w:rsid w:val="00886B7A"/>
    <w:rsid w:val="00886DF8"/>
    <w:rsid w:val="00887E12"/>
    <w:rsid w:val="00887FD0"/>
    <w:rsid w:val="0089062C"/>
    <w:rsid w:val="00890908"/>
    <w:rsid w:val="00890D36"/>
    <w:rsid w:val="008916FF"/>
    <w:rsid w:val="00893598"/>
    <w:rsid w:val="00893ECB"/>
    <w:rsid w:val="008941B6"/>
    <w:rsid w:val="00895EB6"/>
    <w:rsid w:val="00897A02"/>
    <w:rsid w:val="008A02F3"/>
    <w:rsid w:val="008A100B"/>
    <w:rsid w:val="008A1378"/>
    <w:rsid w:val="008A1697"/>
    <w:rsid w:val="008A1E4E"/>
    <w:rsid w:val="008A2381"/>
    <w:rsid w:val="008A3992"/>
    <w:rsid w:val="008A399F"/>
    <w:rsid w:val="008A3E72"/>
    <w:rsid w:val="008A411E"/>
    <w:rsid w:val="008A4832"/>
    <w:rsid w:val="008A5475"/>
    <w:rsid w:val="008A5745"/>
    <w:rsid w:val="008A621D"/>
    <w:rsid w:val="008A7F20"/>
    <w:rsid w:val="008B0110"/>
    <w:rsid w:val="008B0810"/>
    <w:rsid w:val="008B10EE"/>
    <w:rsid w:val="008B354B"/>
    <w:rsid w:val="008B3BDD"/>
    <w:rsid w:val="008B3E15"/>
    <w:rsid w:val="008B41A3"/>
    <w:rsid w:val="008B4811"/>
    <w:rsid w:val="008B48CB"/>
    <w:rsid w:val="008B4AA2"/>
    <w:rsid w:val="008B6477"/>
    <w:rsid w:val="008B7D48"/>
    <w:rsid w:val="008C02FD"/>
    <w:rsid w:val="008C19A5"/>
    <w:rsid w:val="008C1D41"/>
    <w:rsid w:val="008C2170"/>
    <w:rsid w:val="008C3B64"/>
    <w:rsid w:val="008C4D7B"/>
    <w:rsid w:val="008C4DC7"/>
    <w:rsid w:val="008C4F51"/>
    <w:rsid w:val="008C510B"/>
    <w:rsid w:val="008C55CF"/>
    <w:rsid w:val="008C5AA6"/>
    <w:rsid w:val="008C6457"/>
    <w:rsid w:val="008C708D"/>
    <w:rsid w:val="008C7819"/>
    <w:rsid w:val="008D05C4"/>
    <w:rsid w:val="008D1FB0"/>
    <w:rsid w:val="008D2150"/>
    <w:rsid w:val="008D2F7D"/>
    <w:rsid w:val="008D327E"/>
    <w:rsid w:val="008D5372"/>
    <w:rsid w:val="008D644D"/>
    <w:rsid w:val="008D78D8"/>
    <w:rsid w:val="008E28BD"/>
    <w:rsid w:val="008E38C1"/>
    <w:rsid w:val="008E3D1A"/>
    <w:rsid w:val="008E4C1A"/>
    <w:rsid w:val="008E5B99"/>
    <w:rsid w:val="008E63D6"/>
    <w:rsid w:val="008E6A00"/>
    <w:rsid w:val="008E6A04"/>
    <w:rsid w:val="008E6C96"/>
    <w:rsid w:val="008F0215"/>
    <w:rsid w:val="008F09D1"/>
    <w:rsid w:val="008F2CAB"/>
    <w:rsid w:val="008F3510"/>
    <w:rsid w:val="008F4159"/>
    <w:rsid w:val="008F44C5"/>
    <w:rsid w:val="008F4A10"/>
    <w:rsid w:val="008F4C3A"/>
    <w:rsid w:val="008F56FA"/>
    <w:rsid w:val="008F7872"/>
    <w:rsid w:val="008F7C70"/>
    <w:rsid w:val="008F7FF0"/>
    <w:rsid w:val="00900D4B"/>
    <w:rsid w:val="009010DD"/>
    <w:rsid w:val="00901766"/>
    <w:rsid w:val="00901D10"/>
    <w:rsid w:val="009025EB"/>
    <w:rsid w:val="00905042"/>
    <w:rsid w:val="0090652A"/>
    <w:rsid w:val="00907470"/>
    <w:rsid w:val="009079A2"/>
    <w:rsid w:val="00910D39"/>
    <w:rsid w:val="0091176D"/>
    <w:rsid w:val="00914975"/>
    <w:rsid w:val="0091615B"/>
    <w:rsid w:val="00916D78"/>
    <w:rsid w:val="009176F9"/>
    <w:rsid w:val="0091789A"/>
    <w:rsid w:val="00917B02"/>
    <w:rsid w:val="00920438"/>
    <w:rsid w:val="00921D3D"/>
    <w:rsid w:val="00921D7D"/>
    <w:rsid w:val="00923604"/>
    <w:rsid w:val="00923832"/>
    <w:rsid w:val="00925BBA"/>
    <w:rsid w:val="00926C34"/>
    <w:rsid w:val="009270CB"/>
    <w:rsid w:val="00930CCA"/>
    <w:rsid w:val="00931CD5"/>
    <w:rsid w:val="00931E84"/>
    <w:rsid w:val="00931FEB"/>
    <w:rsid w:val="00932F8B"/>
    <w:rsid w:val="009342A6"/>
    <w:rsid w:val="0093488E"/>
    <w:rsid w:val="00934CDD"/>
    <w:rsid w:val="0093669E"/>
    <w:rsid w:val="00937C97"/>
    <w:rsid w:val="009419D9"/>
    <w:rsid w:val="00942097"/>
    <w:rsid w:val="009428AC"/>
    <w:rsid w:val="00943148"/>
    <w:rsid w:val="00944152"/>
    <w:rsid w:val="0094545A"/>
    <w:rsid w:val="00946257"/>
    <w:rsid w:val="00947697"/>
    <w:rsid w:val="009476E0"/>
    <w:rsid w:val="00950384"/>
    <w:rsid w:val="00950937"/>
    <w:rsid w:val="00952289"/>
    <w:rsid w:val="00952A08"/>
    <w:rsid w:val="009535DA"/>
    <w:rsid w:val="00953789"/>
    <w:rsid w:val="009544B4"/>
    <w:rsid w:val="00956175"/>
    <w:rsid w:val="00957E69"/>
    <w:rsid w:val="00960C55"/>
    <w:rsid w:val="00961274"/>
    <w:rsid w:val="009623E7"/>
    <w:rsid w:val="00963EA0"/>
    <w:rsid w:val="009650F6"/>
    <w:rsid w:val="00966A8D"/>
    <w:rsid w:val="00966D51"/>
    <w:rsid w:val="0096723A"/>
    <w:rsid w:val="00967C45"/>
    <w:rsid w:val="00967D57"/>
    <w:rsid w:val="0097097C"/>
    <w:rsid w:val="009722C0"/>
    <w:rsid w:val="00973DBB"/>
    <w:rsid w:val="00974653"/>
    <w:rsid w:val="00974C97"/>
    <w:rsid w:val="009767AD"/>
    <w:rsid w:val="0098045B"/>
    <w:rsid w:val="00981990"/>
    <w:rsid w:val="009820D0"/>
    <w:rsid w:val="0098239F"/>
    <w:rsid w:val="009856D1"/>
    <w:rsid w:val="00985DCD"/>
    <w:rsid w:val="0098713E"/>
    <w:rsid w:val="0099029A"/>
    <w:rsid w:val="0099100D"/>
    <w:rsid w:val="009915B4"/>
    <w:rsid w:val="00995524"/>
    <w:rsid w:val="00995EE5"/>
    <w:rsid w:val="00996149"/>
    <w:rsid w:val="0099639F"/>
    <w:rsid w:val="009A1278"/>
    <w:rsid w:val="009A23F4"/>
    <w:rsid w:val="009A25C6"/>
    <w:rsid w:val="009A2F2C"/>
    <w:rsid w:val="009A3FA5"/>
    <w:rsid w:val="009A4A22"/>
    <w:rsid w:val="009A50BC"/>
    <w:rsid w:val="009A5A2A"/>
    <w:rsid w:val="009A5F18"/>
    <w:rsid w:val="009A65DE"/>
    <w:rsid w:val="009A6B3B"/>
    <w:rsid w:val="009A71B7"/>
    <w:rsid w:val="009B01C4"/>
    <w:rsid w:val="009B0624"/>
    <w:rsid w:val="009B0789"/>
    <w:rsid w:val="009B0852"/>
    <w:rsid w:val="009B2175"/>
    <w:rsid w:val="009B332C"/>
    <w:rsid w:val="009B4550"/>
    <w:rsid w:val="009B498F"/>
    <w:rsid w:val="009B50E3"/>
    <w:rsid w:val="009B6083"/>
    <w:rsid w:val="009B6F81"/>
    <w:rsid w:val="009B7051"/>
    <w:rsid w:val="009B7BB2"/>
    <w:rsid w:val="009B7E77"/>
    <w:rsid w:val="009C0828"/>
    <w:rsid w:val="009C1DEE"/>
    <w:rsid w:val="009C1FC9"/>
    <w:rsid w:val="009C2A02"/>
    <w:rsid w:val="009C2EC7"/>
    <w:rsid w:val="009C33D7"/>
    <w:rsid w:val="009C3BB2"/>
    <w:rsid w:val="009C4743"/>
    <w:rsid w:val="009C4800"/>
    <w:rsid w:val="009C59F8"/>
    <w:rsid w:val="009C5AF4"/>
    <w:rsid w:val="009C5DA1"/>
    <w:rsid w:val="009C6102"/>
    <w:rsid w:val="009D143A"/>
    <w:rsid w:val="009D1552"/>
    <w:rsid w:val="009D3391"/>
    <w:rsid w:val="009D35BF"/>
    <w:rsid w:val="009D36B8"/>
    <w:rsid w:val="009D3C15"/>
    <w:rsid w:val="009D3CE4"/>
    <w:rsid w:val="009D418E"/>
    <w:rsid w:val="009D4D86"/>
    <w:rsid w:val="009D5640"/>
    <w:rsid w:val="009D5CF4"/>
    <w:rsid w:val="009D6681"/>
    <w:rsid w:val="009D7C84"/>
    <w:rsid w:val="009E15D5"/>
    <w:rsid w:val="009E26D4"/>
    <w:rsid w:val="009E2C9F"/>
    <w:rsid w:val="009E35CA"/>
    <w:rsid w:val="009E3F22"/>
    <w:rsid w:val="009E4C81"/>
    <w:rsid w:val="009E5AF2"/>
    <w:rsid w:val="009E7233"/>
    <w:rsid w:val="009E75A5"/>
    <w:rsid w:val="009E786E"/>
    <w:rsid w:val="009E78E3"/>
    <w:rsid w:val="009F0194"/>
    <w:rsid w:val="009F0C04"/>
    <w:rsid w:val="009F0F22"/>
    <w:rsid w:val="009F1061"/>
    <w:rsid w:val="009F1D03"/>
    <w:rsid w:val="009F1D6B"/>
    <w:rsid w:val="009F2967"/>
    <w:rsid w:val="009F2FA3"/>
    <w:rsid w:val="009F471B"/>
    <w:rsid w:val="009F4DAD"/>
    <w:rsid w:val="009F4F30"/>
    <w:rsid w:val="009F5E01"/>
    <w:rsid w:val="009F6650"/>
    <w:rsid w:val="009F697C"/>
    <w:rsid w:val="009F788E"/>
    <w:rsid w:val="009F7954"/>
    <w:rsid w:val="00A017FE"/>
    <w:rsid w:val="00A02B50"/>
    <w:rsid w:val="00A0419B"/>
    <w:rsid w:val="00A050FA"/>
    <w:rsid w:val="00A076BF"/>
    <w:rsid w:val="00A07808"/>
    <w:rsid w:val="00A078D0"/>
    <w:rsid w:val="00A07FE0"/>
    <w:rsid w:val="00A10121"/>
    <w:rsid w:val="00A1025F"/>
    <w:rsid w:val="00A11BD9"/>
    <w:rsid w:val="00A11F28"/>
    <w:rsid w:val="00A12FEB"/>
    <w:rsid w:val="00A1339E"/>
    <w:rsid w:val="00A14B1D"/>
    <w:rsid w:val="00A14E15"/>
    <w:rsid w:val="00A15206"/>
    <w:rsid w:val="00A15569"/>
    <w:rsid w:val="00A15A7E"/>
    <w:rsid w:val="00A20353"/>
    <w:rsid w:val="00A20404"/>
    <w:rsid w:val="00A2056E"/>
    <w:rsid w:val="00A213BF"/>
    <w:rsid w:val="00A21FD4"/>
    <w:rsid w:val="00A2244D"/>
    <w:rsid w:val="00A22F27"/>
    <w:rsid w:val="00A2343B"/>
    <w:rsid w:val="00A24499"/>
    <w:rsid w:val="00A26668"/>
    <w:rsid w:val="00A2749F"/>
    <w:rsid w:val="00A30281"/>
    <w:rsid w:val="00A32277"/>
    <w:rsid w:val="00A329AD"/>
    <w:rsid w:val="00A32D67"/>
    <w:rsid w:val="00A336C7"/>
    <w:rsid w:val="00A337F9"/>
    <w:rsid w:val="00A35F9B"/>
    <w:rsid w:val="00A362FD"/>
    <w:rsid w:val="00A37AFA"/>
    <w:rsid w:val="00A37EB2"/>
    <w:rsid w:val="00A42686"/>
    <w:rsid w:val="00A43170"/>
    <w:rsid w:val="00A43385"/>
    <w:rsid w:val="00A43EC2"/>
    <w:rsid w:val="00A441AE"/>
    <w:rsid w:val="00A454E7"/>
    <w:rsid w:val="00A5022C"/>
    <w:rsid w:val="00A516A3"/>
    <w:rsid w:val="00A519BD"/>
    <w:rsid w:val="00A51C9D"/>
    <w:rsid w:val="00A521C8"/>
    <w:rsid w:val="00A52825"/>
    <w:rsid w:val="00A52A8E"/>
    <w:rsid w:val="00A52B76"/>
    <w:rsid w:val="00A53805"/>
    <w:rsid w:val="00A54A95"/>
    <w:rsid w:val="00A55C6D"/>
    <w:rsid w:val="00A56472"/>
    <w:rsid w:val="00A56A5E"/>
    <w:rsid w:val="00A57000"/>
    <w:rsid w:val="00A5773A"/>
    <w:rsid w:val="00A57980"/>
    <w:rsid w:val="00A57ABE"/>
    <w:rsid w:val="00A604F7"/>
    <w:rsid w:val="00A618B6"/>
    <w:rsid w:val="00A62D1F"/>
    <w:rsid w:val="00A62FEF"/>
    <w:rsid w:val="00A633EF"/>
    <w:rsid w:val="00A64B0D"/>
    <w:rsid w:val="00A65089"/>
    <w:rsid w:val="00A65187"/>
    <w:rsid w:val="00A6574D"/>
    <w:rsid w:val="00A65F22"/>
    <w:rsid w:val="00A662D4"/>
    <w:rsid w:val="00A664AB"/>
    <w:rsid w:val="00A66598"/>
    <w:rsid w:val="00A667EC"/>
    <w:rsid w:val="00A71308"/>
    <w:rsid w:val="00A71609"/>
    <w:rsid w:val="00A71D51"/>
    <w:rsid w:val="00A72AEA"/>
    <w:rsid w:val="00A7445E"/>
    <w:rsid w:val="00A7494A"/>
    <w:rsid w:val="00A76260"/>
    <w:rsid w:val="00A7626D"/>
    <w:rsid w:val="00A76976"/>
    <w:rsid w:val="00A771CC"/>
    <w:rsid w:val="00A77365"/>
    <w:rsid w:val="00A80497"/>
    <w:rsid w:val="00A80798"/>
    <w:rsid w:val="00A80A43"/>
    <w:rsid w:val="00A8184A"/>
    <w:rsid w:val="00A819AB"/>
    <w:rsid w:val="00A819D6"/>
    <w:rsid w:val="00A82002"/>
    <w:rsid w:val="00A8218E"/>
    <w:rsid w:val="00A827F8"/>
    <w:rsid w:val="00A82C06"/>
    <w:rsid w:val="00A83460"/>
    <w:rsid w:val="00A83B85"/>
    <w:rsid w:val="00A8409F"/>
    <w:rsid w:val="00A84137"/>
    <w:rsid w:val="00A84647"/>
    <w:rsid w:val="00A84AC1"/>
    <w:rsid w:val="00A84E1E"/>
    <w:rsid w:val="00A856C2"/>
    <w:rsid w:val="00A8577F"/>
    <w:rsid w:val="00A8629C"/>
    <w:rsid w:val="00A86C40"/>
    <w:rsid w:val="00A90884"/>
    <w:rsid w:val="00A90BB8"/>
    <w:rsid w:val="00A9198B"/>
    <w:rsid w:val="00A91C0E"/>
    <w:rsid w:val="00A91E73"/>
    <w:rsid w:val="00A95DBD"/>
    <w:rsid w:val="00A96232"/>
    <w:rsid w:val="00A963F7"/>
    <w:rsid w:val="00A96858"/>
    <w:rsid w:val="00A96D18"/>
    <w:rsid w:val="00A976F3"/>
    <w:rsid w:val="00A97F3D"/>
    <w:rsid w:val="00AA2664"/>
    <w:rsid w:val="00AA2854"/>
    <w:rsid w:val="00AA2AC5"/>
    <w:rsid w:val="00AA2ADB"/>
    <w:rsid w:val="00AA2C3C"/>
    <w:rsid w:val="00AA357C"/>
    <w:rsid w:val="00AA372E"/>
    <w:rsid w:val="00AA3B46"/>
    <w:rsid w:val="00AA59DA"/>
    <w:rsid w:val="00AA65D6"/>
    <w:rsid w:val="00AA7358"/>
    <w:rsid w:val="00AA79A4"/>
    <w:rsid w:val="00AA7F71"/>
    <w:rsid w:val="00AB066E"/>
    <w:rsid w:val="00AB0D00"/>
    <w:rsid w:val="00AB0EA4"/>
    <w:rsid w:val="00AB21BD"/>
    <w:rsid w:val="00AB249E"/>
    <w:rsid w:val="00AB33A4"/>
    <w:rsid w:val="00AB387A"/>
    <w:rsid w:val="00AB39B9"/>
    <w:rsid w:val="00AB3B7A"/>
    <w:rsid w:val="00AB3C51"/>
    <w:rsid w:val="00AB3F82"/>
    <w:rsid w:val="00AB4984"/>
    <w:rsid w:val="00AB5849"/>
    <w:rsid w:val="00AB5CFB"/>
    <w:rsid w:val="00AB6394"/>
    <w:rsid w:val="00AB7F9E"/>
    <w:rsid w:val="00AC189F"/>
    <w:rsid w:val="00AC2A70"/>
    <w:rsid w:val="00AC2F89"/>
    <w:rsid w:val="00AC307C"/>
    <w:rsid w:val="00AC3A58"/>
    <w:rsid w:val="00AC3C69"/>
    <w:rsid w:val="00AC6916"/>
    <w:rsid w:val="00AC76F1"/>
    <w:rsid w:val="00AC7735"/>
    <w:rsid w:val="00AC7DB0"/>
    <w:rsid w:val="00AC7F4E"/>
    <w:rsid w:val="00AD0DAD"/>
    <w:rsid w:val="00AD1110"/>
    <w:rsid w:val="00AD2100"/>
    <w:rsid w:val="00AD2437"/>
    <w:rsid w:val="00AD2D72"/>
    <w:rsid w:val="00AD3E44"/>
    <w:rsid w:val="00AD45DE"/>
    <w:rsid w:val="00AD45E2"/>
    <w:rsid w:val="00AD4BDF"/>
    <w:rsid w:val="00AD54D6"/>
    <w:rsid w:val="00AD5B4E"/>
    <w:rsid w:val="00AD5D56"/>
    <w:rsid w:val="00AD642C"/>
    <w:rsid w:val="00AD74EB"/>
    <w:rsid w:val="00AD783F"/>
    <w:rsid w:val="00AE2C30"/>
    <w:rsid w:val="00AE3AE7"/>
    <w:rsid w:val="00AE3D12"/>
    <w:rsid w:val="00AE5201"/>
    <w:rsid w:val="00AE55E4"/>
    <w:rsid w:val="00AE65D5"/>
    <w:rsid w:val="00AE7613"/>
    <w:rsid w:val="00AE7D9D"/>
    <w:rsid w:val="00AF009C"/>
    <w:rsid w:val="00AF133B"/>
    <w:rsid w:val="00AF302C"/>
    <w:rsid w:val="00AF31B2"/>
    <w:rsid w:val="00AF3B75"/>
    <w:rsid w:val="00AF3FDF"/>
    <w:rsid w:val="00AF461F"/>
    <w:rsid w:val="00AF4834"/>
    <w:rsid w:val="00AF535E"/>
    <w:rsid w:val="00AF544C"/>
    <w:rsid w:val="00AF5E90"/>
    <w:rsid w:val="00AF6066"/>
    <w:rsid w:val="00AF6632"/>
    <w:rsid w:val="00AF6DDE"/>
    <w:rsid w:val="00AF72A8"/>
    <w:rsid w:val="00AF7EEB"/>
    <w:rsid w:val="00B00E2E"/>
    <w:rsid w:val="00B017C7"/>
    <w:rsid w:val="00B01FAE"/>
    <w:rsid w:val="00B020A9"/>
    <w:rsid w:val="00B028A0"/>
    <w:rsid w:val="00B0373B"/>
    <w:rsid w:val="00B042EF"/>
    <w:rsid w:val="00B04ECB"/>
    <w:rsid w:val="00B0652A"/>
    <w:rsid w:val="00B06607"/>
    <w:rsid w:val="00B07579"/>
    <w:rsid w:val="00B11E62"/>
    <w:rsid w:val="00B11FC2"/>
    <w:rsid w:val="00B12566"/>
    <w:rsid w:val="00B12E78"/>
    <w:rsid w:val="00B140C9"/>
    <w:rsid w:val="00B14A91"/>
    <w:rsid w:val="00B14EA0"/>
    <w:rsid w:val="00B1527E"/>
    <w:rsid w:val="00B15AA2"/>
    <w:rsid w:val="00B16A60"/>
    <w:rsid w:val="00B16F41"/>
    <w:rsid w:val="00B170BA"/>
    <w:rsid w:val="00B17151"/>
    <w:rsid w:val="00B1753B"/>
    <w:rsid w:val="00B20A68"/>
    <w:rsid w:val="00B22193"/>
    <w:rsid w:val="00B22906"/>
    <w:rsid w:val="00B24193"/>
    <w:rsid w:val="00B257EB"/>
    <w:rsid w:val="00B25F67"/>
    <w:rsid w:val="00B26742"/>
    <w:rsid w:val="00B26AEC"/>
    <w:rsid w:val="00B2722A"/>
    <w:rsid w:val="00B316C9"/>
    <w:rsid w:val="00B317E7"/>
    <w:rsid w:val="00B317FB"/>
    <w:rsid w:val="00B31C52"/>
    <w:rsid w:val="00B324BC"/>
    <w:rsid w:val="00B3341D"/>
    <w:rsid w:val="00B34AF7"/>
    <w:rsid w:val="00B36D2F"/>
    <w:rsid w:val="00B3701B"/>
    <w:rsid w:val="00B37718"/>
    <w:rsid w:val="00B4004E"/>
    <w:rsid w:val="00B40D0A"/>
    <w:rsid w:val="00B41DCF"/>
    <w:rsid w:val="00B41E87"/>
    <w:rsid w:val="00B420BF"/>
    <w:rsid w:val="00B44992"/>
    <w:rsid w:val="00B44A4F"/>
    <w:rsid w:val="00B45D85"/>
    <w:rsid w:val="00B45D8A"/>
    <w:rsid w:val="00B46960"/>
    <w:rsid w:val="00B4787E"/>
    <w:rsid w:val="00B504DA"/>
    <w:rsid w:val="00B50719"/>
    <w:rsid w:val="00B513A4"/>
    <w:rsid w:val="00B514FE"/>
    <w:rsid w:val="00B516CF"/>
    <w:rsid w:val="00B51D25"/>
    <w:rsid w:val="00B53B11"/>
    <w:rsid w:val="00B53BD1"/>
    <w:rsid w:val="00B53EB9"/>
    <w:rsid w:val="00B55583"/>
    <w:rsid w:val="00B56230"/>
    <w:rsid w:val="00B564D9"/>
    <w:rsid w:val="00B56740"/>
    <w:rsid w:val="00B568BE"/>
    <w:rsid w:val="00B56A45"/>
    <w:rsid w:val="00B56E89"/>
    <w:rsid w:val="00B57CF7"/>
    <w:rsid w:val="00B60CA1"/>
    <w:rsid w:val="00B60D0F"/>
    <w:rsid w:val="00B61194"/>
    <w:rsid w:val="00B63BFF"/>
    <w:rsid w:val="00B6409A"/>
    <w:rsid w:val="00B6481D"/>
    <w:rsid w:val="00B655DA"/>
    <w:rsid w:val="00B65D0B"/>
    <w:rsid w:val="00B662B6"/>
    <w:rsid w:val="00B670DF"/>
    <w:rsid w:val="00B67FD3"/>
    <w:rsid w:val="00B705B1"/>
    <w:rsid w:val="00B728AA"/>
    <w:rsid w:val="00B73678"/>
    <w:rsid w:val="00B737B8"/>
    <w:rsid w:val="00B74504"/>
    <w:rsid w:val="00B74951"/>
    <w:rsid w:val="00B75353"/>
    <w:rsid w:val="00B75784"/>
    <w:rsid w:val="00B759CC"/>
    <w:rsid w:val="00B762CB"/>
    <w:rsid w:val="00B81017"/>
    <w:rsid w:val="00B81305"/>
    <w:rsid w:val="00B8142B"/>
    <w:rsid w:val="00B81EFE"/>
    <w:rsid w:val="00B825EB"/>
    <w:rsid w:val="00B828E8"/>
    <w:rsid w:val="00B8347C"/>
    <w:rsid w:val="00B8366B"/>
    <w:rsid w:val="00B84069"/>
    <w:rsid w:val="00B8421B"/>
    <w:rsid w:val="00B843C6"/>
    <w:rsid w:val="00B86C48"/>
    <w:rsid w:val="00B86CE7"/>
    <w:rsid w:val="00B86E53"/>
    <w:rsid w:val="00B86E7A"/>
    <w:rsid w:val="00B9120F"/>
    <w:rsid w:val="00B91CD3"/>
    <w:rsid w:val="00B92067"/>
    <w:rsid w:val="00B926C9"/>
    <w:rsid w:val="00B93634"/>
    <w:rsid w:val="00B93764"/>
    <w:rsid w:val="00B93B6A"/>
    <w:rsid w:val="00B949E4"/>
    <w:rsid w:val="00B96299"/>
    <w:rsid w:val="00B96602"/>
    <w:rsid w:val="00B97A06"/>
    <w:rsid w:val="00BA0B3A"/>
    <w:rsid w:val="00BA1EE2"/>
    <w:rsid w:val="00BA26EC"/>
    <w:rsid w:val="00BA3A98"/>
    <w:rsid w:val="00BA4D96"/>
    <w:rsid w:val="00BA6049"/>
    <w:rsid w:val="00BA65E3"/>
    <w:rsid w:val="00BA6A55"/>
    <w:rsid w:val="00BA718B"/>
    <w:rsid w:val="00BA76F0"/>
    <w:rsid w:val="00BB0B57"/>
    <w:rsid w:val="00BB1FB8"/>
    <w:rsid w:val="00BB2810"/>
    <w:rsid w:val="00BB4306"/>
    <w:rsid w:val="00BB4D79"/>
    <w:rsid w:val="00BB55D7"/>
    <w:rsid w:val="00BB5606"/>
    <w:rsid w:val="00BB5B3D"/>
    <w:rsid w:val="00BB742F"/>
    <w:rsid w:val="00BB7843"/>
    <w:rsid w:val="00BC041F"/>
    <w:rsid w:val="00BC049B"/>
    <w:rsid w:val="00BC07F8"/>
    <w:rsid w:val="00BC0F0D"/>
    <w:rsid w:val="00BC16B8"/>
    <w:rsid w:val="00BC1FC9"/>
    <w:rsid w:val="00BC5F83"/>
    <w:rsid w:val="00BC6CD6"/>
    <w:rsid w:val="00BC7269"/>
    <w:rsid w:val="00BC7C40"/>
    <w:rsid w:val="00BC7C64"/>
    <w:rsid w:val="00BD0FB7"/>
    <w:rsid w:val="00BD240C"/>
    <w:rsid w:val="00BD24FF"/>
    <w:rsid w:val="00BD2659"/>
    <w:rsid w:val="00BD2E5D"/>
    <w:rsid w:val="00BD4782"/>
    <w:rsid w:val="00BD4908"/>
    <w:rsid w:val="00BD7B9E"/>
    <w:rsid w:val="00BD7BDC"/>
    <w:rsid w:val="00BE09B1"/>
    <w:rsid w:val="00BE0A7B"/>
    <w:rsid w:val="00BE0FA4"/>
    <w:rsid w:val="00BE12B6"/>
    <w:rsid w:val="00BE15EA"/>
    <w:rsid w:val="00BE1EF8"/>
    <w:rsid w:val="00BE2FAC"/>
    <w:rsid w:val="00BE3488"/>
    <w:rsid w:val="00BE3F1D"/>
    <w:rsid w:val="00BE63EA"/>
    <w:rsid w:val="00BE74F8"/>
    <w:rsid w:val="00BE772E"/>
    <w:rsid w:val="00BE7788"/>
    <w:rsid w:val="00BE7933"/>
    <w:rsid w:val="00BE7A49"/>
    <w:rsid w:val="00BE7C71"/>
    <w:rsid w:val="00BF0EDE"/>
    <w:rsid w:val="00BF2731"/>
    <w:rsid w:val="00BF3921"/>
    <w:rsid w:val="00BF4F13"/>
    <w:rsid w:val="00BF5D7D"/>
    <w:rsid w:val="00BF74D5"/>
    <w:rsid w:val="00C0295C"/>
    <w:rsid w:val="00C03B68"/>
    <w:rsid w:val="00C040A5"/>
    <w:rsid w:val="00C04ADF"/>
    <w:rsid w:val="00C04B69"/>
    <w:rsid w:val="00C04DB9"/>
    <w:rsid w:val="00C064F8"/>
    <w:rsid w:val="00C075DB"/>
    <w:rsid w:val="00C108F4"/>
    <w:rsid w:val="00C10965"/>
    <w:rsid w:val="00C109F2"/>
    <w:rsid w:val="00C11628"/>
    <w:rsid w:val="00C11F50"/>
    <w:rsid w:val="00C15E57"/>
    <w:rsid w:val="00C17129"/>
    <w:rsid w:val="00C17CC6"/>
    <w:rsid w:val="00C208A5"/>
    <w:rsid w:val="00C21B47"/>
    <w:rsid w:val="00C21CEB"/>
    <w:rsid w:val="00C225DD"/>
    <w:rsid w:val="00C23885"/>
    <w:rsid w:val="00C23F15"/>
    <w:rsid w:val="00C23F37"/>
    <w:rsid w:val="00C25FF4"/>
    <w:rsid w:val="00C26432"/>
    <w:rsid w:val="00C275C1"/>
    <w:rsid w:val="00C30653"/>
    <w:rsid w:val="00C323B6"/>
    <w:rsid w:val="00C32CD5"/>
    <w:rsid w:val="00C32F69"/>
    <w:rsid w:val="00C332CE"/>
    <w:rsid w:val="00C338F2"/>
    <w:rsid w:val="00C33D19"/>
    <w:rsid w:val="00C33FEC"/>
    <w:rsid w:val="00C362A4"/>
    <w:rsid w:val="00C3685E"/>
    <w:rsid w:val="00C37635"/>
    <w:rsid w:val="00C40664"/>
    <w:rsid w:val="00C43830"/>
    <w:rsid w:val="00C45A88"/>
    <w:rsid w:val="00C45BAD"/>
    <w:rsid w:val="00C45E33"/>
    <w:rsid w:val="00C46230"/>
    <w:rsid w:val="00C467AB"/>
    <w:rsid w:val="00C51BC5"/>
    <w:rsid w:val="00C51CA5"/>
    <w:rsid w:val="00C52F7C"/>
    <w:rsid w:val="00C52FB4"/>
    <w:rsid w:val="00C53B4F"/>
    <w:rsid w:val="00C543B3"/>
    <w:rsid w:val="00C571EC"/>
    <w:rsid w:val="00C572CF"/>
    <w:rsid w:val="00C57D3B"/>
    <w:rsid w:val="00C60B12"/>
    <w:rsid w:val="00C60B33"/>
    <w:rsid w:val="00C61857"/>
    <w:rsid w:val="00C62532"/>
    <w:rsid w:val="00C634C6"/>
    <w:rsid w:val="00C63F33"/>
    <w:rsid w:val="00C64852"/>
    <w:rsid w:val="00C6544D"/>
    <w:rsid w:val="00C658ED"/>
    <w:rsid w:val="00C65903"/>
    <w:rsid w:val="00C67675"/>
    <w:rsid w:val="00C701A3"/>
    <w:rsid w:val="00C716D4"/>
    <w:rsid w:val="00C71FA6"/>
    <w:rsid w:val="00C7205C"/>
    <w:rsid w:val="00C721B6"/>
    <w:rsid w:val="00C72576"/>
    <w:rsid w:val="00C7283B"/>
    <w:rsid w:val="00C729E5"/>
    <w:rsid w:val="00C72B91"/>
    <w:rsid w:val="00C73FB3"/>
    <w:rsid w:val="00C746D0"/>
    <w:rsid w:val="00C75036"/>
    <w:rsid w:val="00C75498"/>
    <w:rsid w:val="00C75F4A"/>
    <w:rsid w:val="00C7627D"/>
    <w:rsid w:val="00C80B48"/>
    <w:rsid w:val="00C813CD"/>
    <w:rsid w:val="00C81957"/>
    <w:rsid w:val="00C824ED"/>
    <w:rsid w:val="00C82C84"/>
    <w:rsid w:val="00C8338D"/>
    <w:rsid w:val="00C83BD3"/>
    <w:rsid w:val="00C849DF"/>
    <w:rsid w:val="00C849FA"/>
    <w:rsid w:val="00C86EDC"/>
    <w:rsid w:val="00C90AAA"/>
    <w:rsid w:val="00C91B57"/>
    <w:rsid w:val="00C91D35"/>
    <w:rsid w:val="00C91EF5"/>
    <w:rsid w:val="00C92179"/>
    <w:rsid w:val="00C921C0"/>
    <w:rsid w:val="00C93137"/>
    <w:rsid w:val="00C9356C"/>
    <w:rsid w:val="00C941C0"/>
    <w:rsid w:val="00C9619B"/>
    <w:rsid w:val="00C97C43"/>
    <w:rsid w:val="00CA2070"/>
    <w:rsid w:val="00CA26DF"/>
    <w:rsid w:val="00CA3F84"/>
    <w:rsid w:val="00CA493B"/>
    <w:rsid w:val="00CA4DFB"/>
    <w:rsid w:val="00CA6637"/>
    <w:rsid w:val="00CA6FA2"/>
    <w:rsid w:val="00CA759F"/>
    <w:rsid w:val="00CA76B9"/>
    <w:rsid w:val="00CA7E3E"/>
    <w:rsid w:val="00CB1E19"/>
    <w:rsid w:val="00CB1E8C"/>
    <w:rsid w:val="00CB3124"/>
    <w:rsid w:val="00CB41D6"/>
    <w:rsid w:val="00CB4AE5"/>
    <w:rsid w:val="00CB51F3"/>
    <w:rsid w:val="00CB5227"/>
    <w:rsid w:val="00CB7EA1"/>
    <w:rsid w:val="00CC0861"/>
    <w:rsid w:val="00CC20AD"/>
    <w:rsid w:val="00CC2142"/>
    <w:rsid w:val="00CC2BCF"/>
    <w:rsid w:val="00CC4D57"/>
    <w:rsid w:val="00CD0D37"/>
    <w:rsid w:val="00CD1588"/>
    <w:rsid w:val="00CD2732"/>
    <w:rsid w:val="00CD2C62"/>
    <w:rsid w:val="00CD3355"/>
    <w:rsid w:val="00CD3466"/>
    <w:rsid w:val="00CD3DBF"/>
    <w:rsid w:val="00CD61DC"/>
    <w:rsid w:val="00CD62F7"/>
    <w:rsid w:val="00CD67F5"/>
    <w:rsid w:val="00CD685B"/>
    <w:rsid w:val="00CD734A"/>
    <w:rsid w:val="00CD7EF6"/>
    <w:rsid w:val="00CE0479"/>
    <w:rsid w:val="00CE0B94"/>
    <w:rsid w:val="00CE23A6"/>
    <w:rsid w:val="00CE71A1"/>
    <w:rsid w:val="00CF0577"/>
    <w:rsid w:val="00CF0A7C"/>
    <w:rsid w:val="00CF0C4F"/>
    <w:rsid w:val="00CF1A09"/>
    <w:rsid w:val="00CF28A6"/>
    <w:rsid w:val="00CF313C"/>
    <w:rsid w:val="00CF3985"/>
    <w:rsid w:val="00CF415E"/>
    <w:rsid w:val="00CF4266"/>
    <w:rsid w:val="00CF50D0"/>
    <w:rsid w:val="00CF61E4"/>
    <w:rsid w:val="00D01AFC"/>
    <w:rsid w:val="00D02928"/>
    <w:rsid w:val="00D02939"/>
    <w:rsid w:val="00D03815"/>
    <w:rsid w:val="00D04B54"/>
    <w:rsid w:val="00D04D63"/>
    <w:rsid w:val="00D04E52"/>
    <w:rsid w:val="00D05661"/>
    <w:rsid w:val="00D05F11"/>
    <w:rsid w:val="00D0623A"/>
    <w:rsid w:val="00D06628"/>
    <w:rsid w:val="00D072C5"/>
    <w:rsid w:val="00D07E56"/>
    <w:rsid w:val="00D10A8F"/>
    <w:rsid w:val="00D1127C"/>
    <w:rsid w:val="00D1134E"/>
    <w:rsid w:val="00D127D6"/>
    <w:rsid w:val="00D12C29"/>
    <w:rsid w:val="00D13B58"/>
    <w:rsid w:val="00D14765"/>
    <w:rsid w:val="00D14AB0"/>
    <w:rsid w:val="00D14CC7"/>
    <w:rsid w:val="00D15364"/>
    <w:rsid w:val="00D15615"/>
    <w:rsid w:val="00D156CC"/>
    <w:rsid w:val="00D15786"/>
    <w:rsid w:val="00D15C6F"/>
    <w:rsid w:val="00D165ED"/>
    <w:rsid w:val="00D16E01"/>
    <w:rsid w:val="00D1754C"/>
    <w:rsid w:val="00D20BF9"/>
    <w:rsid w:val="00D20E17"/>
    <w:rsid w:val="00D2122F"/>
    <w:rsid w:val="00D2139A"/>
    <w:rsid w:val="00D21FE8"/>
    <w:rsid w:val="00D22A3C"/>
    <w:rsid w:val="00D22BCA"/>
    <w:rsid w:val="00D24512"/>
    <w:rsid w:val="00D24BFA"/>
    <w:rsid w:val="00D26153"/>
    <w:rsid w:val="00D27932"/>
    <w:rsid w:val="00D304D9"/>
    <w:rsid w:val="00D31294"/>
    <w:rsid w:val="00D31D24"/>
    <w:rsid w:val="00D31E84"/>
    <w:rsid w:val="00D32520"/>
    <w:rsid w:val="00D3306A"/>
    <w:rsid w:val="00D3420F"/>
    <w:rsid w:val="00D347FD"/>
    <w:rsid w:val="00D34F78"/>
    <w:rsid w:val="00D34F9E"/>
    <w:rsid w:val="00D34FD0"/>
    <w:rsid w:val="00D35A07"/>
    <w:rsid w:val="00D36E14"/>
    <w:rsid w:val="00D36FCD"/>
    <w:rsid w:val="00D371A8"/>
    <w:rsid w:val="00D374C3"/>
    <w:rsid w:val="00D379C4"/>
    <w:rsid w:val="00D407B5"/>
    <w:rsid w:val="00D409E9"/>
    <w:rsid w:val="00D40C2E"/>
    <w:rsid w:val="00D41B1B"/>
    <w:rsid w:val="00D41BA6"/>
    <w:rsid w:val="00D42508"/>
    <w:rsid w:val="00D42F4E"/>
    <w:rsid w:val="00D43B9F"/>
    <w:rsid w:val="00D43BAC"/>
    <w:rsid w:val="00D43C65"/>
    <w:rsid w:val="00D450B0"/>
    <w:rsid w:val="00D47215"/>
    <w:rsid w:val="00D474FF"/>
    <w:rsid w:val="00D47521"/>
    <w:rsid w:val="00D47DAF"/>
    <w:rsid w:val="00D52163"/>
    <w:rsid w:val="00D52354"/>
    <w:rsid w:val="00D523CE"/>
    <w:rsid w:val="00D524DC"/>
    <w:rsid w:val="00D52D9A"/>
    <w:rsid w:val="00D545DC"/>
    <w:rsid w:val="00D55625"/>
    <w:rsid w:val="00D55A9B"/>
    <w:rsid w:val="00D55ADA"/>
    <w:rsid w:val="00D56A3C"/>
    <w:rsid w:val="00D604C4"/>
    <w:rsid w:val="00D61035"/>
    <w:rsid w:val="00D615BB"/>
    <w:rsid w:val="00D61ED9"/>
    <w:rsid w:val="00D6204F"/>
    <w:rsid w:val="00D63B8B"/>
    <w:rsid w:val="00D642C3"/>
    <w:rsid w:val="00D650CD"/>
    <w:rsid w:val="00D65BFB"/>
    <w:rsid w:val="00D66241"/>
    <w:rsid w:val="00D66516"/>
    <w:rsid w:val="00D6669B"/>
    <w:rsid w:val="00D70D81"/>
    <w:rsid w:val="00D7292A"/>
    <w:rsid w:val="00D72C3D"/>
    <w:rsid w:val="00D72F11"/>
    <w:rsid w:val="00D732E5"/>
    <w:rsid w:val="00D7334B"/>
    <w:rsid w:val="00D73513"/>
    <w:rsid w:val="00D736A3"/>
    <w:rsid w:val="00D7466A"/>
    <w:rsid w:val="00D74BAE"/>
    <w:rsid w:val="00D75900"/>
    <w:rsid w:val="00D75BBF"/>
    <w:rsid w:val="00D76820"/>
    <w:rsid w:val="00D76DA7"/>
    <w:rsid w:val="00D77A44"/>
    <w:rsid w:val="00D827BF"/>
    <w:rsid w:val="00D834EB"/>
    <w:rsid w:val="00D84853"/>
    <w:rsid w:val="00D8623F"/>
    <w:rsid w:val="00D90FCB"/>
    <w:rsid w:val="00D92FA9"/>
    <w:rsid w:val="00D9563D"/>
    <w:rsid w:val="00D9684A"/>
    <w:rsid w:val="00D97B6C"/>
    <w:rsid w:val="00DA09BB"/>
    <w:rsid w:val="00DA1231"/>
    <w:rsid w:val="00DA2B12"/>
    <w:rsid w:val="00DA2DE7"/>
    <w:rsid w:val="00DA2F64"/>
    <w:rsid w:val="00DA355C"/>
    <w:rsid w:val="00DA36F0"/>
    <w:rsid w:val="00DA4082"/>
    <w:rsid w:val="00DA4A37"/>
    <w:rsid w:val="00DA4A77"/>
    <w:rsid w:val="00DA7FD6"/>
    <w:rsid w:val="00DB0877"/>
    <w:rsid w:val="00DB0917"/>
    <w:rsid w:val="00DB0F8B"/>
    <w:rsid w:val="00DB2C7C"/>
    <w:rsid w:val="00DB381D"/>
    <w:rsid w:val="00DB390C"/>
    <w:rsid w:val="00DB4515"/>
    <w:rsid w:val="00DB5BB6"/>
    <w:rsid w:val="00DB635E"/>
    <w:rsid w:val="00DC02E6"/>
    <w:rsid w:val="00DC0EC6"/>
    <w:rsid w:val="00DC2AE3"/>
    <w:rsid w:val="00DC766F"/>
    <w:rsid w:val="00DC7818"/>
    <w:rsid w:val="00DD0406"/>
    <w:rsid w:val="00DD1B8F"/>
    <w:rsid w:val="00DD1EDD"/>
    <w:rsid w:val="00DD272C"/>
    <w:rsid w:val="00DD60CE"/>
    <w:rsid w:val="00DD62C7"/>
    <w:rsid w:val="00DD708D"/>
    <w:rsid w:val="00DD74ED"/>
    <w:rsid w:val="00DD7B20"/>
    <w:rsid w:val="00DE0DF4"/>
    <w:rsid w:val="00DE32B7"/>
    <w:rsid w:val="00DE3E69"/>
    <w:rsid w:val="00DE5A5D"/>
    <w:rsid w:val="00DE5D59"/>
    <w:rsid w:val="00DE61FB"/>
    <w:rsid w:val="00DE62DC"/>
    <w:rsid w:val="00DE6807"/>
    <w:rsid w:val="00DE680F"/>
    <w:rsid w:val="00DE6DF4"/>
    <w:rsid w:val="00DE6F16"/>
    <w:rsid w:val="00DE76F8"/>
    <w:rsid w:val="00DF09A9"/>
    <w:rsid w:val="00DF102B"/>
    <w:rsid w:val="00DF1A29"/>
    <w:rsid w:val="00DF2B20"/>
    <w:rsid w:val="00DF3983"/>
    <w:rsid w:val="00DF402E"/>
    <w:rsid w:val="00DF46AC"/>
    <w:rsid w:val="00DF4BC8"/>
    <w:rsid w:val="00DF70BF"/>
    <w:rsid w:val="00E002B0"/>
    <w:rsid w:val="00E00CC8"/>
    <w:rsid w:val="00E012F3"/>
    <w:rsid w:val="00E01377"/>
    <w:rsid w:val="00E030C5"/>
    <w:rsid w:val="00E037B9"/>
    <w:rsid w:val="00E038F8"/>
    <w:rsid w:val="00E044F4"/>
    <w:rsid w:val="00E047B6"/>
    <w:rsid w:val="00E04C05"/>
    <w:rsid w:val="00E06359"/>
    <w:rsid w:val="00E06D58"/>
    <w:rsid w:val="00E075D3"/>
    <w:rsid w:val="00E113D0"/>
    <w:rsid w:val="00E12200"/>
    <w:rsid w:val="00E12868"/>
    <w:rsid w:val="00E13052"/>
    <w:rsid w:val="00E1402F"/>
    <w:rsid w:val="00E14103"/>
    <w:rsid w:val="00E145A1"/>
    <w:rsid w:val="00E14B8C"/>
    <w:rsid w:val="00E14F09"/>
    <w:rsid w:val="00E14FCC"/>
    <w:rsid w:val="00E15B65"/>
    <w:rsid w:val="00E15C67"/>
    <w:rsid w:val="00E15DEE"/>
    <w:rsid w:val="00E1648A"/>
    <w:rsid w:val="00E1680D"/>
    <w:rsid w:val="00E173F7"/>
    <w:rsid w:val="00E17412"/>
    <w:rsid w:val="00E20ADA"/>
    <w:rsid w:val="00E20F05"/>
    <w:rsid w:val="00E21948"/>
    <w:rsid w:val="00E220BE"/>
    <w:rsid w:val="00E2299F"/>
    <w:rsid w:val="00E229C0"/>
    <w:rsid w:val="00E241DD"/>
    <w:rsid w:val="00E2445D"/>
    <w:rsid w:val="00E25444"/>
    <w:rsid w:val="00E2592C"/>
    <w:rsid w:val="00E2614F"/>
    <w:rsid w:val="00E26C0C"/>
    <w:rsid w:val="00E3011A"/>
    <w:rsid w:val="00E30208"/>
    <w:rsid w:val="00E302D3"/>
    <w:rsid w:val="00E3032F"/>
    <w:rsid w:val="00E30E95"/>
    <w:rsid w:val="00E31A55"/>
    <w:rsid w:val="00E321E1"/>
    <w:rsid w:val="00E32392"/>
    <w:rsid w:val="00E32B46"/>
    <w:rsid w:val="00E33356"/>
    <w:rsid w:val="00E333DE"/>
    <w:rsid w:val="00E34097"/>
    <w:rsid w:val="00E34261"/>
    <w:rsid w:val="00E343D9"/>
    <w:rsid w:val="00E349B9"/>
    <w:rsid w:val="00E34AFC"/>
    <w:rsid w:val="00E34E28"/>
    <w:rsid w:val="00E358D7"/>
    <w:rsid w:val="00E370E3"/>
    <w:rsid w:val="00E37BCE"/>
    <w:rsid w:val="00E40230"/>
    <w:rsid w:val="00E413E3"/>
    <w:rsid w:val="00E4359C"/>
    <w:rsid w:val="00E43B6A"/>
    <w:rsid w:val="00E45903"/>
    <w:rsid w:val="00E46364"/>
    <w:rsid w:val="00E47462"/>
    <w:rsid w:val="00E4799A"/>
    <w:rsid w:val="00E5082B"/>
    <w:rsid w:val="00E5227F"/>
    <w:rsid w:val="00E52407"/>
    <w:rsid w:val="00E52938"/>
    <w:rsid w:val="00E52F08"/>
    <w:rsid w:val="00E534F5"/>
    <w:rsid w:val="00E54774"/>
    <w:rsid w:val="00E547F2"/>
    <w:rsid w:val="00E558EB"/>
    <w:rsid w:val="00E57070"/>
    <w:rsid w:val="00E572E1"/>
    <w:rsid w:val="00E5749D"/>
    <w:rsid w:val="00E574C9"/>
    <w:rsid w:val="00E60830"/>
    <w:rsid w:val="00E61285"/>
    <w:rsid w:val="00E61C03"/>
    <w:rsid w:val="00E628B8"/>
    <w:rsid w:val="00E62FE7"/>
    <w:rsid w:val="00E636D4"/>
    <w:rsid w:val="00E6416F"/>
    <w:rsid w:val="00E64A9D"/>
    <w:rsid w:val="00E66A49"/>
    <w:rsid w:val="00E672BD"/>
    <w:rsid w:val="00E7152C"/>
    <w:rsid w:val="00E72C91"/>
    <w:rsid w:val="00E73489"/>
    <w:rsid w:val="00E743F4"/>
    <w:rsid w:val="00E7469C"/>
    <w:rsid w:val="00E74CF3"/>
    <w:rsid w:val="00E75016"/>
    <w:rsid w:val="00E7592A"/>
    <w:rsid w:val="00E77E87"/>
    <w:rsid w:val="00E8010A"/>
    <w:rsid w:val="00E806D7"/>
    <w:rsid w:val="00E821F2"/>
    <w:rsid w:val="00E839EF"/>
    <w:rsid w:val="00E843EC"/>
    <w:rsid w:val="00E8659A"/>
    <w:rsid w:val="00E87CCE"/>
    <w:rsid w:val="00E913DA"/>
    <w:rsid w:val="00E9183F"/>
    <w:rsid w:val="00E91AA3"/>
    <w:rsid w:val="00E922D7"/>
    <w:rsid w:val="00E92EA6"/>
    <w:rsid w:val="00E935CB"/>
    <w:rsid w:val="00E93932"/>
    <w:rsid w:val="00E94676"/>
    <w:rsid w:val="00E94FD4"/>
    <w:rsid w:val="00E951EC"/>
    <w:rsid w:val="00E95867"/>
    <w:rsid w:val="00E95A62"/>
    <w:rsid w:val="00E967CB"/>
    <w:rsid w:val="00EA081F"/>
    <w:rsid w:val="00EA19EB"/>
    <w:rsid w:val="00EA371B"/>
    <w:rsid w:val="00EA488D"/>
    <w:rsid w:val="00EA4E9D"/>
    <w:rsid w:val="00EA5053"/>
    <w:rsid w:val="00EA5522"/>
    <w:rsid w:val="00EA6909"/>
    <w:rsid w:val="00EB07FD"/>
    <w:rsid w:val="00EB12B9"/>
    <w:rsid w:val="00EB15BC"/>
    <w:rsid w:val="00EB2470"/>
    <w:rsid w:val="00EB6C15"/>
    <w:rsid w:val="00EB7FAC"/>
    <w:rsid w:val="00EC0DAA"/>
    <w:rsid w:val="00EC10AA"/>
    <w:rsid w:val="00EC12DC"/>
    <w:rsid w:val="00EC1E8B"/>
    <w:rsid w:val="00EC2C1F"/>
    <w:rsid w:val="00EC2E97"/>
    <w:rsid w:val="00EC35DC"/>
    <w:rsid w:val="00EC3A27"/>
    <w:rsid w:val="00EC41E6"/>
    <w:rsid w:val="00EC5DCE"/>
    <w:rsid w:val="00EC69B8"/>
    <w:rsid w:val="00EC6D83"/>
    <w:rsid w:val="00ED0B54"/>
    <w:rsid w:val="00ED0EDC"/>
    <w:rsid w:val="00ED151E"/>
    <w:rsid w:val="00ED16A1"/>
    <w:rsid w:val="00ED2A41"/>
    <w:rsid w:val="00ED3496"/>
    <w:rsid w:val="00ED3A5B"/>
    <w:rsid w:val="00ED3A93"/>
    <w:rsid w:val="00ED4BAC"/>
    <w:rsid w:val="00ED626D"/>
    <w:rsid w:val="00ED6E55"/>
    <w:rsid w:val="00ED7AC7"/>
    <w:rsid w:val="00EE32F9"/>
    <w:rsid w:val="00EE3D19"/>
    <w:rsid w:val="00EE40DB"/>
    <w:rsid w:val="00EE4238"/>
    <w:rsid w:val="00EE4D5D"/>
    <w:rsid w:val="00EF00F9"/>
    <w:rsid w:val="00EF14A7"/>
    <w:rsid w:val="00EF2C73"/>
    <w:rsid w:val="00EF4865"/>
    <w:rsid w:val="00EF4F6A"/>
    <w:rsid w:val="00EF6381"/>
    <w:rsid w:val="00EF6D77"/>
    <w:rsid w:val="00EF785D"/>
    <w:rsid w:val="00F00A58"/>
    <w:rsid w:val="00F00DBD"/>
    <w:rsid w:val="00F02462"/>
    <w:rsid w:val="00F02C71"/>
    <w:rsid w:val="00F038E5"/>
    <w:rsid w:val="00F03D45"/>
    <w:rsid w:val="00F046DE"/>
    <w:rsid w:val="00F04965"/>
    <w:rsid w:val="00F05DFA"/>
    <w:rsid w:val="00F07AA0"/>
    <w:rsid w:val="00F10AEE"/>
    <w:rsid w:val="00F111EB"/>
    <w:rsid w:val="00F112BD"/>
    <w:rsid w:val="00F1130B"/>
    <w:rsid w:val="00F11655"/>
    <w:rsid w:val="00F12621"/>
    <w:rsid w:val="00F13F13"/>
    <w:rsid w:val="00F147FB"/>
    <w:rsid w:val="00F15075"/>
    <w:rsid w:val="00F15DC9"/>
    <w:rsid w:val="00F15E7A"/>
    <w:rsid w:val="00F16093"/>
    <w:rsid w:val="00F16255"/>
    <w:rsid w:val="00F173EF"/>
    <w:rsid w:val="00F1751A"/>
    <w:rsid w:val="00F200D3"/>
    <w:rsid w:val="00F21118"/>
    <w:rsid w:val="00F21456"/>
    <w:rsid w:val="00F22626"/>
    <w:rsid w:val="00F2379E"/>
    <w:rsid w:val="00F25BFE"/>
    <w:rsid w:val="00F2684B"/>
    <w:rsid w:val="00F306B9"/>
    <w:rsid w:val="00F3200B"/>
    <w:rsid w:val="00F32B4D"/>
    <w:rsid w:val="00F32BF9"/>
    <w:rsid w:val="00F331FE"/>
    <w:rsid w:val="00F3374B"/>
    <w:rsid w:val="00F33A79"/>
    <w:rsid w:val="00F33CCB"/>
    <w:rsid w:val="00F34E56"/>
    <w:rsid w:val="00F35417"/>
    <w:rsid w:val="00F356B5"/>
    <w:rsid w:val="00F418E3"/>
    <w:rsid w:val="00F42A1E"/>
    <w:rsid w:val="00F43E0E"/>
    <w:rsid w:val="00F4453E"/>
    <w:rsid w:val="00F44A60"/>
    <w:rsid w:val="00F45218"/>
    <w:rsid w:val="00F46D72"/>
    <w:rsid w:val="00F47960"/>
    <w:rsid w:val="00F47FF1"/>
    <w:rsid w:val="00F5009A"/>
    <w:rsid w:val="00F50B18"/>
    <w:rsid w:val="00F50BA8"/>
    <w:rsid w:val="00F50CED"/>
    <w:rsid w:val="00F50FB9"/>
    <w:rsid w:val="00F51330"/>
    <w:rsid w:val="00F528B3"/>
    <w:rsid w:val="00F52BF8"/>
    <w:rsid w:val="00F54DB4"/>
    <w:rsid w:val="00F54ED9"/>
    <w:rsid w:val="00F55EF1"/>
    <w:rsid w:val="00F56D83"/>
    <w:rsid w:val="00F57DB6"/>
    <w:rsid w:val="00F60CA7"/>
    <w:rsid w:val="00F61AD6"/>
    <w:rsid w:val="00F61DEA"/>
    <w:rsid w:val="00F61E03"/>
    <w:rsid w:val="00F6346E"/>
    <w:rsid w:val="00F63CC3"/>
    <w:rsid w:val="00F6427C"/>
    <w:rsid w:val="00F64C0B"/>
    <w:rsid w:val="00F654A8"/>
    <w:rsid w:val="00F65517"/>
    <w:rsid w:val="00F660BA"/>
    <w:rsid w:val="00F6712B"/>
    <w:rsid w:val="00F70862"/>
    <w:rsid w:val="00F71F59"/>
    <w:rsid w:val="00F723BB"/>
    <w:rsid w:val="00F737DD"/>
    <w:rsid w:val="00F73A07"/>
    <w:rsid w:val="00F73B17"/>
    <w:rsid w:val="00F74640"/>
    <w:rsid w:val="00F7555A"/>
    <w:rsid w:val="00F755BF"/>
    <w:rsid w:val="00F76464"/>
    <w:rsid w:val="00F766B5"/>
    <w:rsid w:val="00F80F85"/>
    <w:rsid w:val="00F810E0"/>
    <w:rsid w:val="00F81B22"/>
    <w:rsid w:val="00F8229D"/>
    <w:rsid w:val="00F829EF"/>
    <w:rsid w:val="00F844C2"/>
    <w:rsid w:val="00F8474D"/>
    <w:rsid w:val="00F85695"/>
    <w:rsid w:val="00F85BB9"/>
    <w:rsid w:val="00F85E66"/>
    <w:rsid w:val="00F90E0E"/>
    <w:rsid w:val="00F90F42"/>
    <w:rsid w:val="00F91179"/>
    <w:rsid w:val="00F928EE"/>
    <w:rsid w:val="00F92AAE"/>
    <w:rsid w:val="00F93317"/>
    <w:rsid w:val="00F933F7"/>
    <w:rsid w:val="00F93E68"/>
    <w:rsid w:val="00F9612C"/>
    <w:rsid w:val="00F970B8"/>
    <w:rsid w:val="00F972F1"/>
    <w:rsid w:val="00F976A1"/>
    <w:rsid w:val="00F97BBA"/>
    <w:rsid w:val="00FA18AB"/>
    <w:rsid w:val="00FA2E83"/>
    <w:rsid w:val="00FA2EA5"/>
    <w:rsid w:val="00FA3C6C"/>
    <w:rsid w:val="00FA5AF5"/>
    <w:rsid w:val="00FA5BC5"/>
    <w:rsid w:val="00FA6492"/>
    <w:rsid w:val="00FA6499"/>
    <w:rsid w:val="00FA745E"/>
    <w:rsid w:val="00FB00D4"/>
    <w:rsid w:val="00FB09C2"/>
    <w:rsid w:val="00FB0A95"/>
    <w:rsid w:val="00FB17D4"/>
    <w:rsid w:val="00FB24A6"/>
    <w:rsid w:val="00FB36BC"/>
    <w:rsid w:val="00FB3E8F"/>
    <w:rsid w:val="00FB52A2"/>
    <w:rsid w:val="00FB55E8"/>
    <w:rsid w:val="00FB6971"/>
    <w:rsid w:val="00FB6EEB"/>
    <w:rsid w:val="00FB7107"/>
    <w:rsid w:val="00FB74D7"/>
    <w:rsid w:val="00FB792E"/>
    <w:rsid w:val="00FC0493"/>
    <w:rsid w:val="00FC052F"/>
    <w:rsid w:val="00FC0634"/>
    <w:rsid w:val="00FC0DA4"/>
    <w:rsid w:val="00FC1634"/>
    <w:rsid w:val="00FC2739"/>
    <w:rsid w:val="00FC2F2E"/>
    <w:rsid w:val="00FC2F9B"/>
    <w:rsid w:val="00FC3C6D"/>
    <w:rsid w:val="00FC56C7"/>
    <w:rsid w:val="00FC5B53"/>
    <w:rsid w:val="00FC6098"/>
    <w:rsid w:val="00FC6E6A"/>
    <w:rsid w:val="00FC764B"/>
    <w:rsid w:val="00FC7B05"/>
    <w:rsid w:val="00FC7C89"/>
    <w:rsid w:val="00FC7F1B"/>
    <w:rsid w:val="00FD06BE"/>
    <w:rsid w:val="00FD20E7"/>
    <w:rsid w:val="00FD25F2"/>
    <w:rsid w:val="00FD72A9"/>
    <w:rsid w:val="00FE021D"/>
    <w:rsid w:val="00FE05C5"/>
    <w:rsid w:val="00FE1274"/>
    <w:rsid w:val="00FE20DD"/>
    <w:rsid w:val="00FE2793"/>
    <w:rsid w:val="00FE2BB5"/>
    <w:rsid w:val="00FE3402"/>
    <w:rsid w:val="00FE4108"/>
    <w:rsid w:val="00FE4332"/>
    <w:rsid w:val="00FE45C6"/>
    <w:rsid w:val="00FE5EF7"/>
    <w:rsid w:val="00FE68C4"/>
    <w:rsid w:val="00FE7B26"/>
    <w:rsid w:val="00FF0872"/>
    <w:rsid w:val="00FF1199"/>
    <w:rsid w:val="00FF158D"/>
    <w:rsid w:val="00FF20ED"/>
    <w:rsid w:val="00FF36BC"/>
    <w:rsid w:val="00FF576B"/>
    <w:rsid w:val="00FF6DFE"/>
    <w:rsid w:val="00FF7139"/>
    <w:rsid w:val="00FF736E"/>
    <w:rsid w:val="00FF78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6E30F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8B5"/>
    <w:pPr>
      <w:tabs>
        <w:tab w:val="left" w:pos="567"/>
      </w:tabs>
      <w:suppressAutoHyphens/>
      <w:autoSpaceDN w:val="0"/>
      <w:spacing w:before="120" w:after="120" w:line="276" w:lineRule="auto"/>
      <w:textAlignment w:val="baseline"/>
    </w:pPr>
    <w:rPr>
      <w:sz w:val="24"/>
      <w:szCs w:val="22"/>
      <w:lang w:eastAsia="en-US"/>
    </w:rPr>
  </w:style>
  <w:style w:type="paragraph" w:styleId="Heading1">
    <w:name w:val="heading 1"/>
    <w:next w:val="Normal"/>
    <w:qFormat/>
    <w:rsid w:val="00431AA2"/>
    <w:pPr>
      <w:keepNext/>
      <w:keepLines/>
      <w:suppressAutoHyphens/>
      <w:autoSpaceDN w:val="0"/>
      <w:spacing w:before="360" w:after="240" w:line="640" w:lineRule="atLeast"/>
      <w:textAlignment w:val="baseline"/>
      <w:outlineLvl w:val="0"/>
    </w:pPr>
    <w:rPr>
      <w:rFonts w:eastAsia="Times New Roman"/>
      <w:b/>
      <w:bCs/>
      <w:color w:val="000000"/>
      <w:sz w:val="48"/>
      <w:szCs w:val="28"/>
    </w:rPr>
  </w:style>
  <w:style w:type="paragraph" w:styleId="Heading2">
    <w:name w:val="heading 2"/>
    <w:next w:val="Normal"/>
    <w:uiPriority w:val="9"/>
    <w:qFormat/>
    <w:rsid w:val="006661C4"/>
    <w:pPr>
      <w:pageBreakBefore/>
      <w:suppressAutoHyphens/>
      <w:autoSpaceDN w:val="0"/>
      <w:spacing w:after="240"/>
      <w:textAlignment w:val="baseline"/>
      <w:outlineLvl w:val="1"/>
    </w:pPr>
    <w:rPr>
      <w:rFonts w:ascii="Cambria" w:eastAsia="Times New Roman" w:hAnsi="Cambria"/>
      <w:b/>
      <w:bCs/>
      <w:color w:val="000000"/>
      <w:sz w:val="36"/>
      <w:szCs w:val="28"/>
    </w:rPr>
  </w:style>
  <w:style w:type="paragraph" w:styleId="Heading3">
    <w:name w:val="heading 3"/>
    <w:next w:val="Normal"/>
    <w:uiPriority w:val="9"/>
    <w:qFormat/>
    <w:rsid w:val="006661C4"/>
    <w:pPr>
      <w:keepNext/>
      <w:keepLines/>
      <w:suppressAutoHyphens/>
      <w:autoSpaceDN w:val="0"/>
      <w:spacing w:before="360" w:after="100"/>
      <w:textAlignment w:val="baseline"/>
      <w:outlineLvl w:val="2"/>
    </w:pPr>
    <w:rPr>
      <w:rFonts w:ascii="Cambria" w:eastAsia="Times New Roman" w:hAnsi="Cambria"/>
      <w:b/>
      <w:bCs/>
      <w:color w:val="000000"/>
      <w:sz w:val="24"/>
      <w:szCs w:val="28"/>
    </w:rPr>
  </w:style>
  <w:style w:type="paragraph" w:styleId="Heading4">
    <w:name w:val="heading 4"/>
    <w:basedOn w:val="Heading3"/>
    <w:next w:val="Normal"/>
    <w:qFormat/>
    <w:rsid w:val="006661C4"/>
    <w:pPr>
      <w:spacing w:line="276" w:lineRule="auto"/>
      <w:outlineLvl w:val="3"/>
    </w:pPr>
    <w:rPr>
      <w:rFonts w:cs="Mangal"/>
      <w:i/>
      <w:color w:val="auto"/>
      <w:sz w:val="22"/>
      <w:szCs w:val="22"/>
      <w:lang w:bidi="hi-IN"/>
    </w:rPr>
  </w:style>
  <w:style w:type="paragraph" w:styleId="Heading5">
    <w:name w:val="heading 5"/>
    <w:basedOn w:val="Heading3"/>
    <w:next w:val="Normal"/>
    <w:qFormat/>
    <w:rsid w:val="006661C4"/>
    <w:pPr>
      <w:spacing w:before="120" w:line="276" w:lineRule="auto"/>
      <w:outlineLvl w:val="4"/>
    </w:pPr>
    <w:rPr>
      <w:rFonts w:cs="Mangal"/>
      <w:i/>
      <w:iCs/>
      <w:color w:val="auto"/>
      <w:sz w:val="22"/>
      <w:szCs w:val="22"/>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rsid w:val="006661C4"/>
    <w:pPr>
      <w:numPr>
        <w:numId w:val="1"/>
      </w:numPr>
    </w:pPr>
  </w:style>
  <w:style w:type="paragraph" w:styleId="TOAHeading">
    <w:name w:val="toa heading"/>
    <w:basedOn w:val="Heading1"/>
    <w:next w:val="Normal"/>
    <w:rsid w:val="006661C4"/>
    <w:rPr>
      <w:bCs w:val="0"/>
      <w:sz w:val="24"/>
    </w:rPr>
  </w:style>
  <w:style w:type="paragraph" w:customStyle="1" w:styleId="Heading2numbered">
    <w:name w:val="Heading 2 numbered"/>
    <w:basedOn w:val="Heading2"/>
    <w:qFormat/>
    <w:rsid w:val="006661C4"/>
    <w:pPr>
      <w:numPr>
        <w:numId w:val="9"/>
      </w:numPr>
    </w:pPr>
  </w:style>
  <w:style w:type="paragraph" w:styleId="CommentText">
    <w:name w:val="annotation text"/>
    <w:basedOn w:val="Normal"/>
    <w:uiPriority w:val="99"/>
    <w:rsid w:val="006661C4"/>
    <w:rPr>
      <w:rFonts w:eastAsia="Times New Roman" w:cs="Mangal"/>
      <w:sz w:val="20"/>
      <w:szCs w:val="20"/>
      <w:lang w:bidi="hi-IN"/>
    </w:rPr>
  </w:style>
  <w:style w:type="character" w:customStyle="1" w:styleId="CommentTextChar">
    <w:name w:val="Comment Text Char"/>
    <w:uiPriority w:val="99"/>
    <w:rsid w:val="006661C4"/>
    <w:rPr>
      <w:rFonts w:eastAsia="Times New Roman"/>
      <w:sz w:val="20"/>
      <w:szCs w:val="20"/>
    </w:rPr>
  </w:style>
  <w:style w:type="paragraph" w:styleId="Header">
    <w:name w:val="header"/>
    <w:basedOn w:val="Normal"/>
    <w:uiPriority w:val="99"/>
    <w:rsid w:val="006661C4"/>
    <w:pPr>
      <w:tabs>
        <w:tab w:val="center" w:pos="4820"/>
      </w:tabs>
      <w:spacing w:line="240" w:lineRule="auto"/>
      <w:jc w:val="center"/>
    </w:pPr>
    <w:rPr>
      <w:rFonts w:eastAsia="Times New Roman" w:cs="Mangal"/>
      <w:sz w:val="20"/>
      <w:szCs w:val="20"/>
      <w:lang w:bidi="hi-IN"/>
    </w:rPr>
  </w:style>
  <w:style w:type="character" w:customStyle="1" w:styleId="HeaderChar">
    <w:name w:val="Header Char"/>
    <w:uiPriority w:val="99"/>
    <w:rsid w:val="006661C4"/>
    <w:rPr>
      <w:rFonts w:ascii="Calibri" w:eastAsia="Times New Roman" w:hAnsi="Calibri"/>
      <w:sz w:val="20"/>
    </w:rPr>
  </w:style>
  <w:style w:type="paragraph" w:styleId="Footer">
    <w:name w:val="footer"/>
    <w:basedOn w:val="Normal"/>
    <w:uiPriority w:val="99"/>
    <w:rsid w:val="006661C4"/>
    <w:pPr>
      <w:pBdr>
        <w:top w:val="single" w:sz="4" w:space="0" w:color="000000"/>
      </w:pBdr>
      <w:tabs>
        <w:tab w:val="center" w:pos="4536"/>
      </w:tabs>
      <w:spacing w:before="0" w:line="240" w:lineRule="auto"/>
      <w:jc w:val="right"/>
    </w:pPr>
    <w:rPr>
      <w:rFonts w:cs="Mangal"/>
      <w:sz w:val="20"/>
      <w:lang w:bidi="hi-IN"/>
    </w:rPr>
  </w:style>
  <w:style w:type="character" w:customStyle="1" w:styleId="FooterChar">
    <w:name w:val="Footer Char"/>
    <w:uiPriority w:val="99"/>
    <w:rsid w:val="006661C4"/>
    <w:rPr>
      <w:rFonts w:ascii="Calibri" w:eastAsia="Calibri" w:hAnsi="Calibri" w:cs="Times New Roman"/>
      <w:sz w:val="20"/>
      <w:szCs w:val="22"/>
    </w:rPr>
  </w:style>
  <w:style w:type="character" w:styleId="CommentReference">
    <w:name w:val="annotation reference"/>
    <w:uiPriority w:val="99"/>
    <w:rsid w:val="006661C4"/>
    <w:rPr>
      <w:sz w:val="16"/>
      <w:szCs w:val="16"/>
    </w:rPr>
  </w:style>
  <w:style w:type="paragraph" w:styleId="CommentSubject">
    <w:name w:val="annotation subject"/>
    <w:basedOn w:val="CommentText"/>
    <w:next w:val="CommentText"/>
    <w:uiPriority w:val="99"/>
    <w:rsid w:val="006661C4"/>
    <w:rPr>
      <w:b/>
      <w:bCs/>
    </w:rPr>
  </w:style>
  <w:style w:type="character" w:customStyle="1" w:styleId="CommentSubjectChar">
    <w:name w:val="Comment Subject Char"/>
    <w:uiPriority w:val="99"/>
    <w:rsid w:val="006661C4"/>
    <w:rPr>
      <w:rFonts w:eastAsia="Times New Roman"/>
      <w:b/>
      <w:bCs/>
      <w:sz w:val="20"/>
      <w:szCs w:val="20"/>
    </w:rPr>
  </w:style>
  <w:style w:type="paragraph" w:styleId="BalloonText">
    <w:name w:val="Balloon Text"/>
    <w:basedOn w:val="Normal"/>
    <w:uiPriority w:val="99"/>
    <w:rsid w:val="006661C4"/>
    <w:rPr>
      <w:rFonts w:ascii="Lucida Grande" w:eastAsia="Times New Roman" w:hAnsi="Lucida Grande" w:cs="Mangal"/>
      <w:sz w:val="18"/>
      <w:szCs w:val="18"/>
      <w:lang w:bidi="hi-IN"/>
    </w:rPr>
  </w:style>
  <w:style w:type="character" w:customStyle="1" w:styleId="BalloonTextChar">
    <w:name w:val="Balloon Text Char"/>
    <w:uiPriority w:val="99"/>
    <w:rsid w:val="006661C4"/>
    <w:rPr>
      <w:rFonts w:ascii="Lucida Grande" w:eastAsia="Times New Roman" w:hAnsi="Lucida Grande"/>
      <w:sz w:val="18"/>
      <w:szCs w:val="18"/>
    </w:rPr>
  </w:style>
  <w:style w:type="paragraph" w:customStyle="1" w:styleId="Footeraddress">
    <w:name w:val="Footer address"/>
    <w:basedOn w:val="Footer"/>
    <w:rsid w:val="006661C4"/>
    <w:rPr>
      <w:rFonts w:ascii="Cambria" w:hAnsi="Cambria"/>
      <w:sz w:val="16"/>
    </w:rPr>
  </w:style>
  <w:style w:type="character" w:customStyle="1" w:styleId="Heading1Char">
    <w:name w:val="Heading 1 Char"/>
    <w:rsid w:val="006661C4"/>
    <w:rPr>
      <w:rFonts w:ascii="Cambria" w:eastAsia="Times New Roman" w:hAnsi="Cambria"/>
      <w:b/>
      <w:bCs/>
      <w:color w:val="000000"/>
      <w:sz w:val="36"/>
      <w:szCs w:val="28"/>
      <w:lang w:bidi="ar-SA"/>
    </w:rPr>
  </w:style>
  <w:style w:type="character" w:customStyle="1" w:styleId="Heading2Char">
    <w:name w:val="Heading 2 Char"/>
    <w:uiPriority w:val="9"/>
    <w:rsid w:val="006661C4"/>
    <w:rPr>
      <w:rFonts w:ascii="Cambria" w:eastAsia="Times New Roman" w:hAnsi="Cambria"/>
      <w:b/>
      <w:bCs/>
      <w:color w:val="000000"/>
      <w:sz w:val="36"/>
      <w:szCs w:val="28"/>
      <w:lang w:bidi="ar-SA"/>
    </w:rPr>
  </w:style>
  <w:style w:type="character" w:customStyle="1" w:styleId="Heading3Char">
    <w:name w:val="Heading 3 Char"/>
    <w:uiPriority w:val="9"/>
    <w:rsid w:val="006661C4"/>
    <w:rPr>
      <w:rFonts w:ascii="Cambria" w:eastAsia="Times New Roman" w:hAnsi="Cambria"/>
      <w:b/>
      <w:bCs/>
      <w:color w:val="000000"/>
      <w:sz w:val="24"/>
      <w:szCs w:val="28"/>
      <w:lang w:bidi="ar-SA"/>
    </w:rPr>
  </w:style>
  <w:style w:type="character" w:customStyle="1" w:styleId="Heading5Char">
    <w:name w:val="Heading 5 Char"/>
    <w:rsid w:val="006661C4"/>
    <w:rPr>
      <w:rFonts w:ascii="Cambria" w:eastAsia="Times New Roman" w:hAnsi="Cambria"/>
      <w:b/>
      <w:bCs/>
      <w:i/>
      <w:iCs/>
      <w:sz w:val="22"/>
      <w:szCs w:val="22"/>
    </w:rPr>
  </w:style>
  <w:style w:type="paragraph" w:customStyle="1" w:styleId="AppendixCList1">
    <w:name w:val="Appendix C List 1"/>
    <w:rsid w:val="006661C4"/>
    <w:pPr>
      <w:suppressAutoHyphens/>
      <w:autoSpaceDN w:val="0"/>
      <w:spacing w:before="120"/>
      <w:textAlignment w:val="baseline"/>
    </w:pPr>
    <w:rPr>
      <w:sz w:val="24"/>
      <w:szCs w:val="22"/>
      <w:lang w:eastAsia="en-US"/>
    </w:rPr>
  </w:style>
  <w:style w:type="paragraph" w:customStyle="1" w:styleId="AppendixCList2">
    <w:name w:val="Appendix C List 2"/>
    <w:rsid w:val="006661C4"/>
    <w:pPr>
      <w:tabs>
        <w:tab w:val="left" w:pos="0"/>
      </w:tabs>
      <w:suppressAutoHyphens/>
      <w:autoSpaceDN w:val="0"/>
      <w:spacing w:after="120"/>
      <w:textAlignment w:val="baseline"/>
    </w:pPr>
    <w:rPr>
      <w:sz w:val="24"/>
      <w:szCs w:val="22"/>
      <w:lang w:eastAsia="en-US"/>
    </w:rPr>
  </w:style>
  <w:style w:type="paragraph" w:styleId="Caption">
    <w:name w:val="caption"/>
    <w:basedOn w:val="Normal"/>
    <w:next w:val="Normal"/>
    <w:uiPriority w:val="35"/>
    <w:qFormat/>
    <w:rsid w:val="00A2749F"/>
    <w:pPr>
      <w:keepNext/>
      <w:spacing w:before="360" w:after="100" w:line="240" w:lineRule="auto"/>
      <w:ind w:firstLine="709"/>
    </w:pPr>
    <w:rPr>
      <w:b/>
      <w:bCs/>
      <w:color w:val="404040"/>
      <w:szCs w:val="18"/>
    </w:rPr>
  </w:style>
  <w:style w:type="paragraph" w:customStyle="1" w:styleId="Figuretablenotesource">
    <w:name w:val="Figure/table note/source"/>
    <w:basedOn w:val="Normal"/>
    <w:next w:val="Normal"/>
    <w:rsid w:val="00AB5849"/>
    <w:pPr>
      <w:tabs>
        <w:tab w:val="clear" w:pos="567"/>
      </w:tabs>
      <w:spacing w:line="240" w:lineRule="auto"/>
      <w:ind w:firstLine="709"/>
    </w:pPr>
    <w:rPr>
      <w:sz w:val="18"/>
    </w:rPr>
  </w:style>
  <w:style w:type="paragraph" w:customStyle="1" w:styleId="TOCHeading1">
    <w:name w:val="TOC Heading1"/>
    <w:basedOn w:val="Heading1"/>
    <w:next w:val="Normal"/>
    <w:rsid w:val="006661C4"/>
    <w:pPr>
      <w:spacing w:before="480" w:after="0" w:line="276" w:lineRule="auto"/>
    </w:pPr>
    <w:rPr>
      <w:lang w:val="en-US"/>
    </w:rPr>
  </w:style>
  <w:style w:type="paragraph" w:styleId="TOC1">
    <w:name w:val="toc 1"/>
    <w:basedOn w:val="Normal"/>
    <w:next w:val="Normal"/>
    <w:uiPriority w:val="39"/>
    <w:rsid w:val="006661C4"/>
    <w:pPr>
      <w:tabs>
        <w:tab w:val="clear" w:pos="567"/>
      </w:tabs>
      <w:spacing w:before="240"/>
    </w:pPr>
    <w:rPr>
      <w:b/>
      <w:bCs/>
      <w:sz w:val="20"/>
      <w:szCs w:val="20"/>
    </w:rPr>
  </w:style>
  <w:style w:type="paragraph" w:styleId="TOC2">
    <w:name w:val="toc 2"/>
    <w:basedOn w:val="Normal"/>
    <w:next w:val="Normal"/>
    <w:autoRedefine/>
    <w:rsid w:val="006661C4"/>
    <w:pPr>
      <w:tabs>
        <w:tab w:val="clear" w:pos="567"/>
        <w:tab w:val="right" w:pos="9402"/>
      </w:tabs>
      <w:spacing w:after="0"/>
    </w:pPr>
    <w:rPr>
      <w:iCs/>
      <w:sz w:val="20"/>
      <w:szCs w:val="20"/>
    </w:rPr>
  </w:style>
  <w:style w:type="paragraph" w:styleId="TOC3">
    <w:name w:val="toc 3"/>
    <w:basedOn w:val="Normal"/>
    <w:next w:val="Normal"/>
    <w:autoRedefine/>
    <w:rsid w:val="006661C4"/>
    <w:pPr>
      <w:tabs>
        <w:tab w:val="clear" w:pos="567"/>
      </w:tabs>
      <w:spacing w:before="0" w:after="0"/>
      <w:ind w:left="480"/>
    </w:pPr>
    <w:rPr>
      <w:sz w:val="20"/>
      <w:szCs w:val="20"/>
    </w:rPr>
  </w:style>
  <w:style w:type="character" w:styleId="Hyperlink">
    <w:name w:val="Hyperlink"/>
    <w:uiPriority w:val="99"/>
    <w:rsid w:val="006661C4"/>
    <w:rPr>
      <w:color w:val="165788"/>
      <w:u w:val="single"/>
    </w:rPr>
  </w:style>
  <w:style w:type="paragraph" w:styleId="ListBullet">
    <w:name w:val="List Bullet"/>
    <w:rsid w:val="000266B1"/>
    <w:pPr>
      <w:numPr>
        <w:numId w:val="7"/>
      </w:numPr>
      <w:tabs>
        <w:tab w:val="left" w:pos="-1737"/>
        <w:tab w:val="left" w:pos="-601"/>
        <w:tab w:val="left" w:pos="1134"/>
      </w:tabs>
      <w:suppressAutoHyphens/>
      <w:autoSpaceDN w:val="0"/>
      <w:spacing w:after="60"/>
      <w:ind w:left="1134" w:right="284" w:hanging="425"/>
      <w:textAlignment w:val="baseline"/>
    </w:pPr>
    <w:rPr>
      <w:rFonts w:cs="Arial"/>
      <w:sz w:val="24"/>
      <w:szCs w:val="24"/>
      <w:lang w:eastAsia="en-US"/>
    </w:rPr>
  </w:style>
  <w:style w:type="paragraph" w:styleId="TableofFigures">
    <w:name w:val="table of figures"/>
    <w:basedOn w:val="Normal"/>
    <w:next w:val="Normal"/>
    <w:rsid w:val="006661C4"/>
    <w:pPr>
      <w:spacing w:line="240" w:lineRule="auto"/>
    </w:pPr>
  </w:style>
  <w:style w:type="paragraph" w:styleId="ListBullet2">
    <w:name w:val="List Bullet 2"/>
    <w:basedOn w:val="Normal"/>
    <w:rsid w:val="006661C4"/>
    <w:pPr>
      <w:numPr>
        <w:numId w:val="6"/>
      </w:numPr>
      <w:tabs>
        <w:tab w:val="clear" w:pos="567"/>
      </w:tabs>
    </w:pPr>
  </w:style>
  <w:style w:type="paragraph" w:styleId="ListNumber">
    <w:name w:val="List Number"/>
    <w:rsid w:val="006661C4"/>
    <w:pPr>
      <w:numPr>
        <w:numId w:val="3"/>
      </w:numPr>
      <w:tabs>
        <w:tab w:val="left" w:pos="-567"/>
      </w:tabs>
      <w:suppressAutoHyphens/>
      <w:autoSpaceDN w:val="0"/>
      <w:spacing w:before="240"/>
      <w:textAlignment w:val="baseline"/>
    </w:pPr>
    <w:rPr>
      <w:sz w:val="24"/>
      <w:szCs w:val="22"/>
      <w:lang w:eastAsia="en-US"/>
    </w:rPr>
  </w:style>
  <w:style w:type="paragraph" w:customStyle="1" w:styleId="Tabletext">
    <w:name w:val="Table text"/>
    <w:basedOn w:val="Normal"/>
    <w:rsid w:val="006661C4"/>
    <w:pPr>
      <w:spacing w:before="60" w:after="60" w:line="240" w:lineRule="auto"/>
    </w:pPr>
    <w:rPr>
      <w:rFonts w:cs="Mangal"/>
      <w:sz w:val="18"/>
      <w:lang w:bidi="hi-IN"/>
    </w:rPr>
  </w:style>
  <w:style w:type="paragraph" w:customStyle="1" w:styleId="Tableheading">
    <w:name w:val="Table heading"/>
    <w:basedOn w:val="Tabletext"/>
    <w:rsid w:val="006661C4"/>
    <w:pPr>
      <w:keepNext/>
    </w:pPr>
    <w:rPr>
      <w:b/>
    </w:rPr>
  </w:style>
  <w:style w:type="character" w:customStyle="1" w:styleId="PlaceholderText1">
    <w:name w:val="Placeholder Text1"/>
    <w:rsid w:val="006661C4"/>
    <w:rPr>
      <w:color w:val="808080"/>
    </w:rPr>
  </w:style>
  <w:style w:type="character" w:styleId="Strong">
    <w:name w:val="Strong"/>
    <w:uiPriority w:val="22"/>
    <w:qFormat/>
    <w:rsid w:val="006661C4"/>
    <w:rPr>
      <w:b/>
      <w:bCs/>
    </w:rPr>
  </w:style>
  <w:style w:type="paragraph" w:customStyle="1" w:styleId="Glossary">
    <w:name w:val="Glossary"/>
    <w:basedOn w:val="Normal"/>
    <w:rsid w:val="006661C4"/>
    <w:pPr>
      <w:tabs>
        <w:tab w:val="left" w:pos="1701"/>
      </w:tabs>
      <w:ind w:left="3686" w:hanging="3686"/>
    </w:pPr>
    <w:rPr>
      <w:rFonts w:cs="Mangal"/>
      <w:color w:val="000000"/>
      <w:sz w:val="20"/>
      <w:lang w:bidi="hi-IN"/>
    </w:rPr>
  </w:style>
  <w:style w:type="character" w:customStyle="1" w:styleId="GlossaryChar">
    <w:name w:val="Glossary Char"/>
    <w:rsid w:val="006661C4"/>
    <w:rPr>
      <w:rFonts w:eastAsia="Calibri" w:cs="Times New Roman"/>
      <w:color w:val="000000"/>
      <w:szCs w:val="22"/>
    </w:rPr>
  </w:style>
  <w:style w:type="character" w:styleId="Emphasis">
    <w:name w:val="Emphasis"/>
    <w:uiPriority w:val="20"/>
    <w:qFormat/>
    <w:rsid w:val="006661C4"/>
    <w:rPr>
      <w:i/>
      <w:iCs/>
    </w:rPr>
  </w:style>
  <w:style w:type="paragraph" w:customStyle="1" w:styleId="AppendixCList3">
    <w:name w:val="Appendix C List 3"/>
    <w:rsid w:val="006661C4"/>
    <w:pPr>
      <w:numPr>
        <w:numId w:val="2"/>
      </w:numPr>
      <w:suppressAutoHyphens/>
      <w:autoSpaceDN w:val="0"/>
      <w:textAlignment w:val="baseline"/>
    </w:pPr>
    <w:rPr>
      <w:sz w:val="24"/>
      <w:szCs w:val="22"/>
      <w:lang w:eastAsia="en-US"/>
    </w:rPr>
  </w:style>
  <w:style w:type="paragraph" w:customStyle="1" w:styleId="Tabletextbullet">
    <w:name w:val="Table text bullet"/>
    <w:basedOn w:val="Tabletext"/>
    <w:rsid w:val="006661C4"/>
    <w:pPr>
      <w:numPr>
        <w:numId w:val="4"/>
      </w:numPr>
    </w:pPr>
  </w:style>
  <w:style w:type="paragraph" w:styleId="DocumentMap">
    <w:name w:val="Document Map"/>
    <w:basedOn w:val="Normal"/>
    <w:rsid w:val="006661C4"/>
    <w:pPr>
      <w:spacing w:before="0" w:after="0" w:line="240" w:lineRule="auto"/>
    </w:pPr>
    <w:rPr>
      <w:rFonts w:ascii="Tahoma" w:eastAsia="Times New Roman" w:hAnsi="Tahoma" w:cs="Mangal"/>
      <w:sz w:val="16"/>
      <w:szCs w:val="16"/>
      <w:lang w:bidi="hi-IN"/>
    </w:rPr>
  </w:style>
  <w:style w:type="character" w:customStyle="1" w:styleId="DocumentMapChar">
    <w:name w:val="Document Map Char"/>
    <w:rsid w:val="006661C4"/>
    <w:rPr>
      <w:rFonts w:ascii="Tahoma" w:eastAsia="Times New Roman" w:hAnsi="Tahoma" w:cs="Tahoma"/>
      <w:sz w:val="16"/>
      <w:szCs w:val="16"/>
    </w:rPr>
  </w:style>
  <w:style w:type="paragraph" w:customStyle="1" w:styleId="Recommendation">
    <w:name w:val="Recommendation"/>
    <w:basedOn w:val="Normal"/>
    <w:rsid w:val="006661C4"/>
    <w:pPr>
      <w:keepNext/>
      <w:keepLines/>
      <w:pBdr>
        <w:top w:val="single" w:sz="4" w:space="0" w:color="000000"/>
        <w:left w:val="single" w:sz="4" w:space="0" w:color="000000"/>
        <w:bottom w:val="single" w:sz="4" w:space="0" w:color="000000"/>
        <w:right w:val="single" w:sz="4" w:space="0" w:color="000000"/>
      </w:pBdr>
      <w:spacing w:before="360"/>
    </w:pPr>
    <w:rPr>
      <w:rFonts w:cs="Arial"/>
      <w:b/>
      <w:szCs w:val="24"/>
      <w:shd w:val="clear" w:color="auto" w:fill="FFFFFF"/>
    </w:rPr>
  </w:style>
  <w:style w:type="paragraph" w:styleId="FootnoteText">
    <w:name w:val="footnote text"/>
    <w:basedOn w:val="Normal"/>
    <w:rsid w:val="006661C4"/>
    <w:pPr>
      <w:spacing w:before="0" w:after="0" w:line="240" w:lineRule="auto"/>
    </w:pPr>
    <w:rPr>
      <w:rFonts w:cs="Mangal"/>
      <w:sz w:val="20"/>
      <w:szCs w:val="20"/>
      <w:lang w:bidi="hi-IN"/>
    </w:rPr>
  </w:style>
  <w:style w:type="character" w:customStyle="1" w:styleId="FootnoteTextChar">
    <w:name w:val="Footnote Text Char"/>
    <w:rsid w:val="006661C4"/>
    <w:rPr>
      <w:rFonts w:eastAsia="Calibri" w:cs="Times New Roman"/>
      <w:sz w:val="20"/>
      <w:szCs w:val="20"/>
    </w:rPr>
  </w:style>
  <w:style w:type="character" w:styleId="FootnoteReference">
    <w:name w:val="footnote reference"/>
    <w:rsid w:val="006661C4"/>
    <w:rPr>
      <w:position w:val="0"/>
      <w:vertAlign w:val="superscript"/>
    </w:rPr>
  </w:style>
  <w:style w:type="character" w:styleId="FollowedHyperlink">
    <w:name w:val="FollowedHyperlink"/>
    <w:rsid w:val="006661C4"/>
    <w:rPr>
      <w:color w:val="800080"/>
      <w:u w:val="single"/>
    </w:rPr>
  </w:style>
  <w:style w:type="paragraph" w:customStyle="1" w:styleId="GridTable31">
    <w:name w:val="Grid Table 31"/>
    <w:basedOn w:val="Heading1"/>
    <w:next w:val="Normal"/>
    <w:rsid w:val="006661C4"/>
    <w:pPr>
      <w:spacing w:before="480" w:after="0" w:line="276" w:lineRule="auto"/>
    </w:pPr>
    <w:rPr>
      <w:color w:val="365F91"/>
      <w:sz w:val="28"/>
      <w:lang w:val="en-US" w:eastAsia="en-US"/>
    </w:rPr>
  </w:style>
  <w:style w:type="paragraph" w:customStyle="1" w:styleId="Default">
    <w:name w:val="Default"/>
    <w:rsid w:val="006661C4"/>
    <w:pPr>
      <w:suppressAutoHyphens/>
      <w:autoSpaceDE w:val="0"/>
      <w:autoSpaceDN w:val="0"/>
      <w:textAlignment w:val="baseline"/>
    </w:pPr>
    <w:rPr>
      <w:rFonts w:cs="Calibri"/>
      <w:color w:val="000000"/>
      <w:sz w:val="24"/>
      <w:szCs w:val="24"/>
      <w:lang w:eastAsia="en-US"/>
    </w:rPr>
  </w:style>
  <w:style w:type="paragraph" w:customStyle="1" w:styleId="BodyText1">
    <w:name w:val="Body Text1"/>
    <w:rsid w:val="006661C4"/>
    <w:pPr>
      <w:suppressAutoHyphens/>
      <w:autoSpaceDN w:val="0"/>
      <w:spacing w:after="200" w:line="280" w:lineRule="atLeast"/>
      <w:textAlignment w:val="baseline"/>
    </w:pPr>
    <w:rPr>
      <w:rFonts w:ascii="Cambria" w:hAnsi="Cambria"/>
      <w:color w:val="000000"/>
      <w:sz w:val="22"/>
      <w:szCs w:val="22"/>
      <w:lang w:eastAsia="en-US"/>
    </w:rPr>
  </w:style>
  <w:style w:type="character" w:customStyle="1" w:styleId="Bold">
    <w:name w:val="Bold"/>
    <w:rsid w:val="006661C4"/>
    <w:rPr>
      <w:b/>
    </w:rPr>
  </w:style>
  <w:style w:type="paragraph" w:customStyle="1" w:styleId="Copyrightpageheading">
    <w:name w:val="Copyright page heading"/>
    <w:next w:val="BodyText"/>
    <w:rsid w:val="006661C4"/>
    <w:pPr>
      <w:suppressAutoHyphens/>
      <w:autoSpaceDN w:val="0"/>
      <w:spacing w:after="60"/>
      <w:textAlignment w:val="baseline"/>
    </w:pPr>
    <w:rPr>
      <w:b/>
      <w:sz w:val="18"/>
      <w:szCs w:val="22"/>
      <w:lang w:eastAsia="en-US"/>
    </w:rPr>
  </w:style>
  <w:style w:type="character" w:customStyle="1" w:styleId="TabletextChar">
    <w:name w:val="Table text Char"/>
    <w:rsid w:val="006661C4"/>
    <w:rPr>
      <w:sz w:val="18"/>
      <w:szCs w:val="22"/>
      <w:lang w:eastAsia="en-US"/>
    </w:rPr>
  </w:style>
  <w:style w:type="character" w:customStyle="1" w:styleId="CopyrightpageheadingChar">
    <w:name w:val="Copyright page heading Char"/>
    <w:rsid w:val="006661C4"/>
    <w:rPr>
      <w:b/>
      <w:sz w:val="18"/>
      <w:szCs w:val="22"/>
      <w:lang w:val="en-AU" w:eastAsia="en-US" w:bidi="ar-SA"/>
    </w:rPr>
  </w:style>
  <w:style w:type="paragraph" w:customStyle="1" w:styleId="ColorfulGrid-Accent11">
    <w:name w:val="Colorful Grid - Accent 11"/>
    <w:next w:val="Normal"/>
    <w:rsid w:val="006661C4"/>
    <w:pPr>
      <w:suppressAutoHyphens/>
      <w:autoSpaceDN w:val="0"/>
      <w:spacing w:before="120" w:after="240"/>
      <w:ind w:left="851" w:right="851"/>
      <w:textAlignment w:val="baseline"/>
    </w:pPr>
    <w:rPr>
      <w:sz w:val="22"/>
      <w:szCs w:val="22"/>
      <w:lang w:eastAsia="en-US"/>
    </w:rPr>
  </w:style>
  <w:style w:type="character" w:customStyle="1" w:styleId="QuoteChar">
    <w:name w:val="Quote Char"/>
    <w:link w:val="Quote"/>
    <w:uiPriority w:val="29"/>
    <w:rsid w:val="006661C4"/>
    <w:rPr>
      <w:sz w:val="22"/>
      <w:szCs w:val="22"/>
      <w:lang w:val="en-AU" w:eastAsia="en-US" w:bidi="ar-SA"/>
    </w:rPr>
  </w:style>
  <w:style w:type="paragraph" w:styleId="BodyText">
    <w:name w:val="Body Text"/>
    <w:basedOn w:val="Normal"/>
    <w:link w:val="BodyTextChar1"/>
    <w:rsid w:val="006661C4"/>
    <w:rPr>
      <w:rFonts w:cs="Mangal"/>
      <w:lang w:bidi="hi-IN"/>
    </w:rPr>
  </w:style>
  <w:style w:type="character" w:customStyle="1" w:styleId="BodyTextChar">
    <w:name w:val="Body Text Char"/>
    <w:rsid w:val="006661C4"/>
    <w:rPr>
      <w:sz w:val="24"/>
      <w:szCs w:val="22"/>
      <w:lang w:eastAsia="en-US"/>
    </w:rPr>
  </w:style>
  <w:style w:type="paragraph" w:customStyle="1" w:styleId="ColorfulList-Accent11">
    <w:name w:val="Colorful List - Accent 11"/>
    <w:basedOn w:val="Normal"/>
    <w:uiPriority w:val="34"/>
    <w:qFormat/>
    <w:rsid w:val="006661C4"/>
    <w:pPr>
      <w:ind w:left="720"/>
    </w:pPr>
  </w:style>
  <w:style w:type="paragraph" w:customStyle="1" w:styleId="ColorfulShading-Accent11">
    <w:name w:val="Colorful Shading - Accent 11"/>
    <w:rsid w:val="006661C4"/>
    <w:pPr>
      <w:suppressAutoHyphens/>
      <w:autoSpaceDN w:val="0"/>
      <w:textAlignment w:val="baseline"/>
    </w:pPr>
    <w:rPr>
      <w:sz w:val="24"/>
      <w:szCs w:val="22"/>
      <w:lang w:eastAsia="en-US"/>
    </w:rPr>
  </w:style>
  <w:style w:type="paragraph" w:styleId="ListNumber2">
    <w:name w:val="List Number 2"/>
    <w:uiPriority w:val="99"/>
    <w:rsid w:val="006661C4"/>
    <w:pPr>
      <w:numPr>
        <w:ilvl w:val="1"/>
        <w:numId w:val="9"/>
      </w:numPr>
      <w:suppressAutoHyphens/>
      <w:autoSpaceDN w:val="0"/>
      <w:spacing w:before="120"/>
      <w:textAlignment w:val="baseline"/>
    </w:pPr>
    <w:rPr>
      <w:sz w:val="24"/>
      <w:szCs w:val="22"/>
      <w:lang w:eastAsia="en-US"/>
    </w:rPr>
  </w:style>
  <w:style w:type="numbering" w:customStyle="1" w:styleId="AppendixC3List">
    <w:name w:val="Appendix C 3 List"/>
    <w:basedOn w:val="NoList"/>
    <w:rsid w:val="006661C4"/>
    <w:pPr>
      <w:numPr>
        <w:numId w:val="2"/>
      </w:numPr>
    </w:pPr>
  </w:style>
  <w:style w:type="numbering" w:customStyle="1" w:styleId="Part1">
    <w:name w:val="Part 1"/>
    <w:basedOn w:val="NoList"/>
    <w:rsid w:val="006661C4"/>
    <w:pPr>
      <w:numPr>
        <w:numId w:val="13"/>
      </w:numPr>
    </w:pPr>
  </w:style>
  <w:style w:type="numbering" w:customStyle="1" w:styleId="Part2">
    <w:name w:val="Part 2"/>
    <w:basedOn w:val="NoList"/>
    <w:rsid w:val="006661C4"/>
    <w:pPr>
      <w:numPr>
        <w:numId w:val="8"/>
      </w:numPr>
    </w:pPr>
  </w:style>
  <w:style w:type="numbering" w:customStyle="1" w:styleId="LFO1">
    <w:name w:val="LFO1"/>
    <w:basedOn w:val="NoList"/>
    <w:rsid w:val="006661C4"/>
    <w:pPr>
      <w:numPr>
        <w:numId w:val="4"/>
      </w:numPr>
    </w:pPr>
  </w:style>
  <w:style w:type="numbering" w:customStyle="1" w:styleId="LFO8">
    <w:name w:val="LFO8"/>
    <w:basedOn w:val="NoList"/>
    <w:rsid w:val="006661C4"/>
    <w:pPr>
      <w:numPr>
        <w:numId w:val="5"/>
      </w:numPr>
    </w:pPr>
  </w:style>
  <w:style w:type="numbering" w:customStyle="1" w:styleId="LFO11">
    <w:name w:val="LFO11"/>
    <w:basedOn w:val="NoList"/>
    <w:rsid w:val="006661C4"/>
    <w:pPr>
      <w:numPr>
        <w:numId w:val="6"/>
      </w:numPr>
    </w:pPr>
  </w:style>
  <w:style w:type="paragraph" w:styleId="ListBullet3">
    <w:name w:val="List Bullet 3"/>
    <w:basedOn w:val="Normal"/>
    <w:uiPriority w:val="99"/>
    <w:unhideWhenUsed/>
    <w:rsid w:val="00D63B8B"/>
    <w:pPr>
      <w:numPr>
        <w:numId w:val="10"/>
      </w:numPr>
      <w:contextualSpacing/>
    </w:pPr>
  </w:style>
  <w:style w:type="character" w:customStyle="1" w:styleId="BodyTextChar1">
    <w:name w:val="Body Text Char1"/>
    <w:link w:val="BodyText"/>
    <w:rsid w:val="00D63B8B"/>
    <w:rPr>
      <w:rFonts w:cs="Mangal"/>
      <w:sz w:val="24"/>
      <w:szCs w:val="22"/>
      <w:lang w:eastAsia="en-US" w:bidi="hi-IN"/>
    </w:rPr>
  </w:style>
  <w:style w:type="paragraph" w:styleId="ListBullet4">
    <w:name w:val="List Bullet 4"/>
    <w:basedOn w:val="Normal"/>
    <w:uiPriority w:val="99"/>
    <w:unhideWhenUsed/>
    <w:rsid w:val="00D63B8B"/>
    <w:pPr>
      <w:numPr>
        <w:numId w:val="11"/>
      </w:numPr>
      <w:contextualSpacing/>
    </w:pPr>
  </w:style>
  <w:style w:type="paragraph" w:customStyle="1" w:styleId="ColorfulList-Accent12">
    <w:name w:val="Colorful List - Accent 12"/>
    <w:basedOn w:val="Normal"/>
    <w:uiPriority w:val="34"/>
    <w:qFormat/>
    <w:rsid w:val="00B53BD1"/>
    <w:pPr>
      <w:ind w:left="720"/>
      <w:contextualSpacing/>
    </w:pPr>
  </w:style>
  <w:style w:type="table" w:styleId="TableGrid">
    <w:name w:val="Table Grid"/>
    <w:basedOn w:val="TableNormal"/>
    <w:uiPriority w:val="39"/>
    <w:rsid w:val="00B60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7539"/>
    <w:pPr>
      <w:tabs>
        <w:tab w:val="clear" w:pos="567"/>
      </w:tabs>
      <w:suppressAutoHyphens w:val="0"/>
      <w:autoSpaceDN/>
      <w:spacing w:before="100" w:beforeAutospacing="1" w:after="100" w:afterAutospacing="1" w:line="240" w:lineRule="auto"/>
      <w:textAlignment w:val="auto"/>
    </w:pPr>
    <w:rPr>
      <w:rFonts w:ascii="Times New Roman" w:eastAsia="Times New Roman" w:hAnsi="Times New Roman"/>
      <w:szCs w:val="24"/>
      <w:lang w:eastAsia="en-AU"/>
    </w:rPr>
  </w:style>
  <w:style w:type="paragraph" w:customStyle="1" w:styleId="TableText0">
    <w:name w:val="Table Text"/>
    <w:basedOn w:val="Normal"/>
    <w:uiPriority w:val="13"/>
    <w:qFormat/>
    <w:rsid w:val="00F73A07"/>
    <w:pPr>
      <w:tabs>
        <w:tab w:val="clear" w:pos="567"/>
      </w:tabs>
      <w:suppressAutoHyphens w:val="0"/>
      <w:autoSpaceDN/>
      <w:spacing w:before="60" w:after="60"/>
      <w:textAlignment w:val="auto"/>
    </w:pPr>
    <w:rPr>
      <w:rFonts w:asciiTheme="minorHAnsi" w:hAnsiTheme="minorHAnsi" w:cs="Mangal"/>
      <w:sz w:val="18"/>
    </w:rPr>
  </w:style>
  <w:style w:type="paragraph" w:customStyle="1" w:styleId="TableHeading0">
    <w:name w:val="Table Heading"/>
    <w:basedOn w:val="TableText0"/>
    <w:uiPriority w:val="14"/>
    <w:qFormat/>
    <w:rsid w:val="002F43BE"/>
    <w:pPr>
      <w:keepNext/>
    </w:pPr>
    <w:rPr>
      <w:b/>
    </w:rPr>
  </w:style>
  <w:style w:type="paragraph" w:customStyle="1" w:styleId="TableBullet">
    <w:name w:val="Table Bullet"/>
    <w:basedOn w:val="TableText0"/>
    <w:uiPriority w:val="15"/>
    <w:qFormat/>
    <w:rsid w:val="002F43BE"/>
    <w:pPr>
      <w:numPr>
        <w:numId w:val="14"/>
      </w:numPr>
      <w:ind w:left="284" w:hanging="284"/>
    </w:pPr>
  </w:style>
  <w:style w:type="paragraph" w:customStyle="1" w:styleId="Numberedparagraph">
    <w:name w:val="Numbered paragraph"/>
    <w:basedOn w:val="Normal"/>
    <w:qFormat/>
    <w:rsid w:val="00790D22"/>
    <w:pPr>
      <w:suppressAutoHyphens w:val="0"/>
      <w:autoSpaceDN/>
      <w:textAlignment w:val="auto"/>
    </w:pPr>
  </w:style>
  <w:style w:type="paragraph" w:styleId="Revision">
    <w:name w:val="Revision"/>
    <w:hidden/>
    <w:uiPriority w:val="99"/>
    <w:semiHidden/>
    <w:rsid w:val="003C5B03"/>
    <w:rPr>
      <w:sz w:val="24"/>
      <w:szCs w:val="22"/>
      <w:lang w:eastAsia="en-US"/>
    </w:rPr>
  </w:style>
  <w:style w:type="paragraph" w:customStyle="1" w:styleId="Quote-block">
    <w:name w:val="Quote - block"/>
    <w:next w:val="Normal"/>
    <w:qFormat/>
    <w:rsid w:val="00156D06"/>
    <w:pPr>
      <w:spacing w:before="120"/>
      <w:ind w:left="851" w:right="567"/>
    </w:pPr>
    <w:rPr>
      <w:sz w:val="22"/>
      <w:szCs w:val="22"/>
      <w:lang w:eastAsia="en-US"/>
    </w:rPr>
  </w:style>
  <w:style w:type="paragraph" w:styleId="ListParagraph">
    <w:name w:val="List Paragraph"/>
    <w:basedOn w:val="Normal"/>
    <w:uiPriority w:val="34"/>
    <w:qFormat/>
    <w:rsid w:val="004C2D51"/>
    <w:pPr>
      <w:tabs>
        <w:tab w:val="clear" w:pos="567"/>
      </w:tabs>
      <w:suppressAutoHyphens w:val="0"/>
      <w:autoSpaceDN/>
      <w:spacing w:before="0" w:after="200"/>
      <w:ind w:left="720"/>
      <w:contextualSpacing/>
      <w:textAlignment w:val="auto"/>
    </w:pPr>
    <w:rPr>
      <w:sz w:val="22"/>
    </w:rPr>
  </w:style>
  <w:style w:type="paragraph" w:styleId="Quote">
    <w:name w:val="Quote"/>
    <w:basedOn w:val="Normal"/>
    <w:next w:val="Normal"/>
    <w:link w:val="QuoteChar"/>
    <w:uiPriority w:val="29"/>
    <w:qFormat/>
    <w:rsid w:val="00342018"/>
    <w:pPr>
      <w:tabs>
        <w:tab w:val="clear" w:pos="567"/>
      </w:tabs>
      <w:suppressAutoHyphens w:val="0"/>
      <w:autoSpaceDN/>
      <w:spacing w:before="200" w:after="160"/>
      <w:ind w:left="864" w:right="864"/>
      <w:jc w:val="center"/>
      <w:textAlignment w:val="auto"/>
    </w:pPr>
    <w:rPr>
      <w:sz w:val="22"/>
    </w:rPr>
  </w:style>
  <w:style w:type="character" w:customStyle="1" w:styleId="QuoteChar1">
    <w:name w:val="Quote Char1"/>
    <w:basedOn w:val="DefaultParagraphFont"/>
    <w:uiPriority w:val="29"/>
    <w:rsid w:val="00342018"/>
    <w:rPr>
      <w:i/>
      <w:iCs/>
      <w:color w:val="404040" w:themeColor="text1" w:themeTint="BF"/>
      <w:sz w:val="24"/>
      <w:szCs w:val="22"/>
      <w:lang w:eastAsia="en-US"/>
    </w:rPr>
  </w:style>
  <w:style w:type="character" w:styleId="PageNumber">
    <w:name w:val="page number"/>
    <w:basedOn w:val="DefaultParagraphFont"/>
    <w:uiPriority w:val="99"/>
    <w:semiHidden/>
    <w:unhideWhenUsed/>
    <w:rsid w:val="00342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39538">
      <w:bodyDiv w:val="1"/>
      <w:marLeft w:val="0"/>
      <w:marRight w:val="0"/>
      <w:marTop w:val="0"/>
      <w:marBottom w:val="0"/>
      <w:divBdr>
        <w:top w:val="none" w:sz="0" w:space="0" w:color="auto"/>
        <w:left w:val="none" w:sz="0" w:space="0" w:color="auto"/>
        <w:bottom w:val="none" w:sz="0" w:space="0" w:color="auto"/>
        <w:right w:val="none" w:sz="0" w:space="0" w:color="auto"/>
      </w:divBdr>
      <w:divsChild>
        <w:div w:id="2125803393">
          <w:marLeft w:val="0"/>
          <w:marRight w:val="0"/>
          <w:marTop w:val="0"/>
          <w:marBottom w:val="0"/>
          <w:divBdr>
            <w:top w:val="none" w:sz="0" w:space="0" w:color="auto"/>
            <w:left w:val="none" w:sz="0" w:space="0" w:color="auto"/>
            <w:bottom w:val="none" w:sz="0" w:space="0" w:color="auto"/>
            <w:right w:val="none" w:sz="0" w:space="0" w:color="auto"/>
          </w:divBdr>
          <w:divsChild>
            <w:div w:id="170604618">
              <w:marLeft w:val="0"/>
              <w:marRight w:val="0"/>
              <w:marTop w:val="0"/>
              <w:marBottom w:val="0"/>
              <w:divBdr>
                <w:top w:val="none" w:sz="0" w:space="0" w:color="auto"/>
                <w:left w:val="none" w:sz="0" w:space="0" w:color="auto"/>
                <w:bottom w:val="none" w:sz="0" w:space="0" w:color="auto"/>
                <w:right w:val="none" w:sz="0" w:space="0" w:color="auto"/>
              </w:divBdr>
              <w:divsChild>
                <w:div w:id="1767774774">
                  <w:marLeft w:val="0"/>
                  <w:marRight w:val="0"/>
                  <w:marTop w:val="0"/>
                  <w:marBottom w:val="0"/>
                  <w:divBdr>
                    <w:top w:val="none" w:sz="0" w:space="0" w:color="auto"/>
                    <w:left w:val="none" w:sz="0" w:space="0" w:color="auto"/>
                    <w:bottom w:val="none" w:sz="0" w:space="0" w:color="auto"/>
                    <w:right w:val="none" w:sz="0" w:space="0" w:color="auto"/>
                  </w:divBdr>
                  <w:divsChild>
                    <w:div w:id="552230601">
                      <w:marLeft w:val="0"/>
                      <w:marRight w:val="0"/>
                      <w:marTop w:val="240"/>
                      <w:marBottom w:val="0"/>
                      <w:divBdr>
                        <w:top w:val="none" w:sz="0" w:space="0" w:color="auto"/>
                        <w:left w:val="none" w:sz="0" w:space="0" w:color="auto"/>
                        <w:bottom w:val="none" w:sz="0" w:space="0" w:color="auto"/>
                        <w:right w:val="none" w:sz="0" w:space="0" w:color="auto"/>
                      </w:divBdr>
                      <w:divsChild>
                        <w:div w:id="2036955279">
                          <w:marLeft w:val="0"/>
                          <w:marRight w:val="0"/>
                          <w:marTop w:val="0"/>
                          <w:marBottom w:val="0"/>
                          <w:divBdr>
                            <w:top w:val="none" w:sz="0" w:space="0" w:color="auto"/>
                            <w:left w:val="none" w:sz="0" w:space="0" w:color="auto"/>
                            <w:bottom w:val="none" w:sz="0" w:space="0" w:color="auto"/>
                            <w:right w:val="none" w:sz="0" w:space="0" w:color="auto"/>
                          </w:divBdr>
                          <w:divsChild>
                            <w:div w:id="812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294946">
      <w:bodyDiv w:val="1"/>
      <w:marLeft w:val="0"/>
      <w:marRight w:val="0"/>
      <w:marTop w:val="0"/>
      <w:marBottom w:val="0"/>
      <w:divBdr>
        <w:top w:val="none" w:sz="0" w:space="0" w:color="auto"/>
        <w:left w:val="none" w:sz="0" w:space="0" w:color="auto"/>
        <w:bottom w:val="none" w:sz="0" w:space="0" w:color="auto"/>
        <w:right w:val="none" w:sz="0" w:space="0" w:color="auto"/>
      </w:divBdr>
      <w:divsChild>
        <w:div w:id="1490057622">
          <w:marLeft w:val="0"/>
          <w:marRight w:val="0"/>
          <w:marTop w:val="0"/>
          <w:marBottom w:val="0"/>
          <w:divBdr>
            <w:top w:val="none" w:sz="0" w:space="0" w:color="auto"/>
            <w:left w:val="none" w:sz="0" w:space="0" w:color="auto"/>
            <w:bottom w:val="none" w:sz="0" w:space="0" w:color="auto"/>
            <w:right w:val="none" w:sz="0" w:space="0" w:color="auto"/>
          </w:divBdr>
          <w:divsChild>
            <w:div w:id="1835994432">
              <w:marLeft w:val="0"/>
              <w:marRight w:val="0"/>
              <w:marTop w:val="0"/>
              <w:marBottom w:val="0"/>
              <w:divBdr>
                <w:top w:val="none" w:sz="0" w:space="0" w:color="auto"/>
                <w:left w:val="none" w:sz="0" w:space="0" w:color="auto"/>
                <w:bottom w:val="none" w:sz="0" w:space="0" w:color="auto"/>
                <w:right w:val="none" w:sz="0" w:space="0" w:color="auto"/>
              </w:divBdr>
              <w:divsChild>
                <w:div w:id="1142233343">
                  <w:marLeft w:val="0"/>
                  <w:marRight w:val="0"/>
                  <w:marTop w:val="0"/>
                  <w:marBottom w:val="0"/>
                  <w:divBdr>
                    <w:top w:val="none" w:sz="0" w:space="0" w:color="auto"/>
                    <w:left w:val="none" w:sz="0" w:space="0" w:color="auto"/>
                    <w:bottom w:val="none" w:sz="0" w:space="0" w:color="auto"/>
                    <w:right w:val="none" w:sz="0" w:space="0" w:color="auto"/>
                  </w:divBdr>
                  <w:divsChild>
                    <w:div w:id="1924677785">
                      <w:marLeft w:val="0"/>
                      <w:marRight w:val="0"/>
                      <w:marTop w:val="240"/>
                      <w:marBottom w:val="0"/>
                      <w:divBdr>
                        <w:top w:val="none" w:sz="0" w:space="0" w:color="auto"/>
                        <w:left w:val="none" w:sz="0" w:space="0" w:color="auto"/>
                        <w:bottom w:val="none" w:sz="0" w:space="0" w:color="auto"/>
                        <w:right w:val="none" w:sz="0" w:space="0" w:color="auto"/>
                      </w:divBdr>
                      <w:divsChild>
                        <w:div w:id="1317881410">
                          <w:marLeft w:val="0"/>
                          <w:marRight w:val="0"/>
                          <w:marTop w:val="0"/>
                          <w:marBottom w:val="0"/>
                          <w:divBdr>
                            <w:top w:val="none" w:sz="0" w:space="0" w:color="auto"/>
                            <w:left w:val="none" w:sz="0" w:space="0" w:color="auto"/>
                            <w:bottom w:val="none" w:sz="0" w:space="0" w:color="auto"/>
                            <w:right w:val="none" w:sz="0" w:space="0" w:color="auto"/>
                          </w:divBdr>
                          <w:divsChild>
                            <w:div w:id="9444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8350">
      <w:bodyDiv w:val="1"/>
      <w:marLeft w:val="0"/>
      <w:marRight w:val="0"/>
      <w:marTop w:val="0"/>
      <w:marBottom w:val="0"/>
      <w:divBdr>
        <w:top w:val="none" w:sz="0" w:space="0" w:color="auto"/>
        <w:left w:val="none" w:sz="0" w:space="0" w:color="auto"/>
        <w:bottom w:val="none" w:sz="0" w:space="0" w:color="auto"/>
        <w:right w:val="none" w:sz="0" w:space="0" w:color="auto"/>
      </w:divBdr>
    </w:div>
    <w:div w:id="1191870041">
      <w:bodyDiv w:val="1"/>
      <w:marLeft w:val="0"/>
      <w:marRight w:val="0"/>
      <w:marTop w:val="0"/>
      <w:marBottom w:val="0"/>
      <w:divBdr>
        <w:top w:val="none" w:sz="0" w:space="0" w:color="auto"/>
        <w:left w:val="none" w:sz="0" w:space="0" w:color="auto"/>
        <w:bottom w:val="none" w:sz="0" w:space="0" w:color="auto"/>
        <w:right w:val="none" w:sz="0" w:space="0" w:color="auto"/>
      </w:divBdr>
    </w:div>
    <w:div w:id="1390613464">
      <w:bodyDiv w:val="1"/>
      <w:marLeft w:val="0"/>
      <w:marRight w:val="0"/>
      <w:marTop w:val="0"/>
      <w:marBottom w:val="0"/>
      <w:divBdr>
        <w:top w:val="none" w:sz="0" w:space="0" w:color="auto"/>
        <w:left w:val="none" w:sz="0" w:space="0" w:color="auto"/>
        <w:bottom w:val="none" w:sz="0" w:space="0" w:color="auto"/>
        <w:right w:val="none" w:sz="0" w:space="0" w:color="auto"/>
      </w:divBdr>
      <w:divsChild>
        <w:div w:id="709572130">
          <w:marLeft w:val="0"/>
          <w:marRight w:val="0"/>
          <w:marTop w:val="0"/>
          <w:marBottom w:val="0"/>
          <w:divBdr>
            <w:top w:val="none" w:sz="0" w:space="0" w:color="auto"/>
            <w:left w:val="none" w:sz="0" w:space="0" w:color="auto"/>
            <w:bottom w:val="none" w:sz="0" w:space="0" w:color="auto"/>
            <w:right w:val="none" w:sz="0" w:space="0" w:color="auto"/>
          </w:divBdr>
          <w:divsChild>
            <w:div w:id="295336643">
              <w:marLeft w:val="0"/>
              <w:marRight w:val="0"/>
              <w:marTop w:val="0"/>
              <w:marBottom w:val="0"/>
              <w:divBdr>
                <w:top w:val="none" w:sz="0" w:space="0" w:color="auto"/>
                <w:left w:val="none" w:sz="0" w:space="0" w:color="auto"/>
                <w:bottom w:val="none" w:sz="0" w:space="0" w:color="auto"/>
                <w:right w:val="none" w:sz="0" w:space="0" w:color="auto"/>
              </w:divBdr>
              <w:divsChild>
                <w:div w:id="765926866">
                  <w:marLeft w:val="0"/>
                  <w:marRight w:val="0"/>
                  <w:marTop w:val="0"/>
                  <w:marBottom w:val="0"/>
                  <w:divBdr>
                    <w:top w:val="none" w:sz="0" w:space="0" w:color="auto"/>
                    <w:left w:val="none" w:sz="0" w:space="0" w:color="auto"/>
                    <w:bottom w:val="none" w:sz="0" w:space="0" w:color="auto"/>
                    <w:right w:val="none" w:sz="0" w:space="0" w:color="auto"/>
                  </w:divBdr>
                  <w:divsChild>
                    <w:div w:id="1407995760">
                      <w:marLeft w:val="0"/>
                      <w:marRight w:val="0"/>
                      <w:marTop w:val="240"/>
                      <w:marBottom w:val="0"/>
                      <w:divBdr>
                        <w:top w:val="none" w:sz="0" w:space="0" w:color="auto"/>
                        <w:left w:val="none" w:sz="0" w:space="0" w:color="auto"/>
                        <w:bottom w:val="none" w:sz="0" w:space="0" w:color="auto"/>
                        <w:right w:val="none" w:sz="0" w:space="0" w:color="auto"/>
                      </w:divBdr>
                      <w:divsChild>
                        <w:div w:id="382606323">
                          <w:marLeft w:val="0"/>
                          <w:marRight w:val="0"/>
                          <w:marTop w:val="0"/>
                          <w:marBottom w:val="0"/>
                          <w:divBdr>
                            <w:top w:val="none" w:sz="0" w:space="0" w:color="auto"/>
                            <w:left w:val="none" w:sz="0" w:space="0" w:color="auto"/>
                            <w:bottom w:val="none" w:sz="0" w:space="0" w:color="auto"/>
                            <w:right w:val="none" w:sz="0" w:space="0" w:color="auto"/>
                          </w:divBdr>
                          <w:divsChild>
                            <w:div w:id="10445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311786">
      <w:bodyDiv w:val="1"/>
      <w:marLeft w:val="0"/>
      <w:marRight w:val="0"/>
      <w:marTop w:val="0"/>
      <w:marBottom w:val="0"/>
      <w:divBdr>
        <w:top w:val="none" w:sz="0" w:space="0" w:color="auto"/>
        <w:left w:val="none" w:sz="0" w:space="0" w:color="auto"/>
        <w:bottom w:val="none" w:sz="0" w:space="0" w:color="auto"/>
        <w:right w:val="none" w:sz="0" w:space="0" w:color="auto"/>
      </w:divBdr>
      <w:divsChild>
        <w:div w:id="840513902">
          <w:marLeft w:val="0"/>
          <w:marRight w:val="0"/>
          <w:marTop w:val="0"/>
          <w:marBottom w:val="0"/>
          <w:divBdr>
            <w:top w:val="none" w:sz="0" w:space="0" w:color="auto"/>
            <w:left w:val="none" w:sz="0" w:space="0" w:color="auto"/>
            <w:bottom w:val="none" w:sz="0" w:space="0" w:color="auto"/>
            <w:right w:val="none" w:sz="0" w:space="0" w:color="auto"/>
          </w:divBdr>
          <w:divsChild>
            <w:div w:id="460922023">
              <w:marLeft w:val="0"/>
              <w:marRight w:val="0"/>
              <w:marTop w:val="0"/>
              <w:marBottom w:val="0"/>
              <w:divBdr>
                <w:top w:val="none" w:sz="0" w:space="0" w:color="auto"/>
                <w:left w:val="none" w:sz="0" w:space="0" w:color="auto"/>
                <w:bottom w:val="none" w:sz="0" w:space="0" w:color="auto"/>
                <w:right w:val="none" w:sz="0" w:space="0" w:color="auto"/>
              </w:divBdr>
              <w:divsChild>
                <w:div w:id="867722204">
                  <w:marLeft w:val="0"/>
                  <w:marRight w:val="0"/>
                  <w:marTop w:val="0"/>
                  <w:marBottom w:val="0"/>
                  <w:divBdr>
                    <w:top w:val="none" w:sz="0" w:space="0" w:color="auto"/>
                    <w:left w:val="none" w:sz="0" w:space="0" w:color="auto"/>
                    <w:bottom w:val="none" w:sz="0" w:space="0" w:color="auto"/>
                    <w:right w:val="none" w:sz="0" w:space="0" w:color="auto"/>
                  </w:divBdr>
                  <w:divsChild>
                    <w:div w:id="575823633">
                      <w:marLeft w:val="0"/>
                      <w:marRight w:val="0"/>
                      <w:marTop w:val="240"/>
                      <w:marBottom w:val="0"/>
                      <w:divBdr>
                        <w:top w:val="none" w:sz="0" w:space="0" w:color="auto"/>
                        <w:left w:val="none" w:sz="0" w:space="0" w:color="auto"/>
                        <w:bottom w:val="none" w:sz="0" w:space="0" w:color="auto"/>
                        <w:right w:val="none" w:sz="0" w:space="0" w:color="auto"/>
                      </w:divBdr>
                      <w:divsChild>
                        <w:div w:id="61760743">
                          <w:marLeft w:val="0"/>
                          <w:marRight w:val="0"/>
                          <w:marTop w:val="0"/>
                          <w:marBottom w:val="0"/>
                          <w:divBdr>
                            <w:top w:val="none" w:sz="0" w:space="0" w:color="auto"/>
                            <w:left w:val="none" w:sz="0" w:space="0" w:color="auto"/>
                            <w:bottom w:val="none" w:sz="0" w:space="0" w:color="auto"/>
                            <w:right w:val="none" w:sz="0" w:space="0" w:color="auto"/>
                          </w:divBdr>
                          <w:divsChild>
                            <w:div w:id="17902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114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gb.gov.au/Pages/completed-audits-and-reviews.aspx" TargetMode="External"/><Relationship Id="rId18" Type="http://schemas.openxmlformats.org/officeDocument/2006/relationships/footer" Target="footer1.xml"/><Relationship Id="rId26" Type="http://schemas.openxmlformats.org/officeDocument/2006/relationships/hyperlink" Target="http://www.agriculture.gov.au/biosecurity/legislation/new-biosecurity-legislation/draft-regulations/bira" TargetMode="External"/><Relationship Id="rId39" Type="http://schemas.openxmlformats.org/officeDocument/2006/relationships/image" Target="media/image15.png"/><Relationship Id="rId21" Type="http://schemas.openxmlformats.org/officeDocument/2006/relationships/chart" Target="charts/chart1.xml"/><Relationship Id="rId34" Type="http://schemas.openxmlformats.org/officeDocument/2006/relationships/image" Target="media/image11.png"/><Relationship Id="rId42" Type="http://schemas.openxmlformats.org/officeDocument/2006/relationships/hyperlink" Target="https://www.border.gov.au/Busi/Expo" TargetMode="Externa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pyright@agriculture.gov.au" TargetMode="External"/><Relationship Id="rId29" Type="http://schemas.openxmlformats.org/officeDocument/2006/relationships/image" Target="media/image6.png"/><Relationship Id="rId11" Type="http://schemas.openxmlformats.org/officeDocument/2006/relationships/hyperlink" Target="http://creativecommons.org/licenses/by/3.0/au/deed.en" TargetMode="External"/><Relationship Id="rId24" Type="http://schemas.openxmlformats.org/officeDocument/2006/relationships/hyperlink" Target="http://www.imo.org/en/About/Conventions/listofconventions/pages/international-convention-for-the-prevention-of-pollution-from-ships-(marpol).aspx" TargetMode="External"/><Relationship Id="rId32" Type="http://schemas.openxmlformats.org/officeDocument/2006/relationships/image" Target="media/image9.png"/><Relationship Id="rId37" Type="http://schemas.openxmlformats.org/officeDocument/2006/relationships/hyperlink" Target="http://www.imo.org/en/About/Conventions/listofconventions/pages/international-convention-for-the-prevention-of-pollution-from-ships-(marpol).aspx" TargetMode="External"/><Relationship Id="rId40" Type="http://schemas.openxmlformats.org/officeDocument/2006/relationships/hyperlink" Target="http://www.agriculture.gov.au/biosecurity/risk-analysis/ira/final-animal/prawn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gb.gov.au/Pages/default.aspx" TargetMode="External"/><Relationship Id="rId23" Type="http://schemas.openxmlformats.org/officeDocument/2006/relationships/hyperlink" Target="http://www.agriculture.gov.au/biosecurity/avm/transhipping-through-australia"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spgenbiosecurity@agriculture.gov.au" TargetMode="External"/><Relationship Id="rId22" Type="http://schemas.openxmlformats.org/officeDocument/2006/relationships/hyperlink" Target="http://www.agriculture.gov.au/biosecurity/avm/transhipping-through-australia"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3.xml"/><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eader" Target="header1.xml"/><Relationship Id="rId25" Type="http://schemas.openxmlformats.org/officeDocument/2006/relationships/hyperlink" Target="http://www.agriculture.gov.au/import/arrival/arrangements/biosecurity-waste/biosecurity-waste-management"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www.agriculture.gov.au/biosecurity/legislation/new-biosecurity-legislation/draft-regulations/bira"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ACT001CL04FS02\MSGOVDATA$\CorpGovPolicy\SECRETARIATS\BIOSECURITY%20SECRETARIAT\IIGB\2014-15\04_Ship%20stores\168%20Jonathan%20M%20Ship%20Stores%20Transhipped%20Nov%20Upd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Containers!$A$5</c:f>
              <c:strCache>
                <c:ptCount val="1"/>
                <c:pt idx="0">
                  <c:v>2010</c:v>
                </c:pt>
              </c:strCache>
            </c:strRef>
          </c:tx>
          <c:spPr>
            <a:solidFill>
              <a:schemeClr val="accent3"/>
            </a:solidFill>
            <a:ln>
              <a:noFill/>
            </a:ln>
            <a:effectLst/>
          </c:spPr>
          <c:invertIfNegative val="0"/>
          <c:cat>
            <c:strRef>
              <c:f>Containers!$B$2:$M$2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Containers!$B$5:$M$5</c:f>
              <c:numCache>
                <c:formatCode>General</c:formatCode>
                <c:ptCount val="12"/>
                <c:pt idx="0">
                  <c:v>8</c:v>
                </c:pt>
                <c:pt idx="1">
                  <c:v>9</c:v>
                </c:pt>
                <c:pt idx="2">
                  <c:v>22</c:v>
                </c:pt>
                <c:pt idx="3">
                  <c:v>2</c:v>
                </c:pt>
                <c:pt idx="4">
                  <c:v>1</c:v>
                </c:pt>
                <c:pt idx="5">
                  <c:v>2</c:v>
                </c:pt>
                <c:pt idx="6">
                  <c:v>5</c:v>
                </c:pt>
                <c:pt idx="7">
                  <c:v>5</c:v>
                </c:pt>
                <c:pt idx="8">
                  <c:v>11</c:v>
                </c:pt>
                <c:pt idx="9">
                  <c:v>8</c:v>
                </c:pt>
                <c:pt idx="10">
                  <c:v>39</c:v>
                </c:pt>
                <c:pt idx="11">
                  <c:v>47</c:v>
                </c:pt>
              </c:numCache>
            </c:numRef>
          </c:val>
        </c:ser>
        <c:ser>
          <c:idx val="3"/>
          <c:order val="3"/>
          <c:tx>
            <c:strRef>
              <c:f>Containers!$A$6</c:f>
              <c:strCache>
                <c:ptCount val="1"/>
                <c:pt idx="0">
                  <c:v>2011</c:v>
                </c:pt>
              </c:strCache>
            </c:strRef>
          </c:tx>
          <c:spPr>
            <a:solidFill>
              <a:schemeClr val="accent4"/>
            </a:solidFill>
            <a:ln>
              <a:noFill/>
            </a:ln>
            <a:effectLst/>
          </c:spPr>
          <c:invertIfNegative val="0"/>
          <c:cat>
            <c:strRef>
              <c:f>Containers!$B$2:$M$2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Containers!$B$6:$M$6</c:f>
              <c:numCache>
                <c:formatCode>General</c:formatCode>
                <c:ptCount val="12"/>
                <c:pt idx="0">
                  <c:v>34</c:v>
                </c:pt>
                <c:pt idx="1">
                  <c:v>74</c:v>
                </c:pt>
                <c:pt idx="2">
                  <c:v>36</c:v>
                </c:pt>
                <c:pt idx="3">
                  <c:v>12</c:v>
                </c:pt>
                <c:pt idx="4">
                  <c:v>3</c:v>
                </c:pt>
                <c:pt idx="5">
                  <c:v>1</c:v>
                </c:pt>
                <c:pt idx="6">
                  <c:v>8</c:v>
                </c:pt>
                <c:pt idx="7">
                  <c:v>8</c:v>
                </c:pt>
                <c:pt idx="8">
                  <c:v>3</c:v>
                </c:pt>
                <c:pt idx="9">
                  <c:v>15</c:v>
                </c:pt>
                <c:pt idx="10">
                  <c:v>29</c:v>
                </c:pt>
                <c:pt idx="11">
                  <c:v>46</c:v>
                </c:pt>
              </c:numCache>
            </c:numRef>
          </c:val>
        </c:ser>
        <c:ser>
          <c:idx val="4"/>
          <c:order val="4"/>
          <c:tx>
            <c:strRef>
              <c:f>Containers!$A$7</c:f>
              <c:strCache>
                <c:ptCount val="1"/>
                <c:pt idx="0">
                  <c:v>2012</c:v>
                </c:pt>
              </c:strCache>
            </c:strRef>
          </c:tx>
          <c:spPr>
            <a:solidFill>
              <a:schemeClr val="accent5"/>
            </a:solidFill>
            <a:ln>
              <a:noFill/>
            </a:ln>
            <a:effectLst/>
          </c:spPr>
          <c:invertIfNegative val="0"/>
          <c:cat>
            <c:strRef>
              <c:f>Containers!$B$2:$M$2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Containers!$B$7:$M$7</c:f>
              <c:numCache>
                <c:formatCode>General</c:formatCode>
                <c:ptCount val="12"/>
                <c:pt idx="0">
                  <c:v>42</c:v>
                </c:pt>
                <c:pt idx="1">
                  <c:v>70</c:v>
                </c:pt>
                <c:pt idx="2">
                  <c:v>46</c:v>
                </c:pt>
                <c:pt idx="3">
                  <c:v>19</c:v>
                </c:pt>
                <c:pt idx="4">
                  <c:v>43</c:v>
                </c:pt>
                <c:pt idx="5">
                  <c:v>10</c:v>
                </c:pt>
                <c:pt idx="6">
                  <c:v>9</c:v>
                </c:pt>
                <c:pt idx="7">
                  <c:v>13</c:v>
                </c:pt>
                <c:pt idx="8">
                  <c:v>8</c:v>
                </c:pt>
                <c:pt idx="9">
                  <c:v>86</c:v>
                </c:pt>
                <c:pt idx="10">
                  <c:v>123</c:v>
                </c:pt>
                <c:pt idx="11">
                  <c:v>127</c:v>
                </c:pt>
              </c:numCache>
            </c:numRef>
          </c:val>
        </c:ser>
        <c:ser>
          <c:idx val="5"/>
          <c:order val="5"/>
          <c:tx>
            <c:strRef>
              <c:f>Containers!$A$8</c:f>
              <c:strCache>
                <c:ptCount val="1"/>
                <c:pt idx="0">
                  <c:v>2013</c:v>
                </c:pt>
              </c:strCache>
            </c:strRef>
          </c:tx>
          <c:spPr>
            <a:solidFill>
              <a:schemeClr val="accent6"/>
            </a:solidFill>
            <a:ln>
              <a:noFill/>
            </a:ln>
            <a:effectLst/>
          </c:spPr>
          <c:invertIfNegative val="0"/>
          <c:cat>
            <c:strRef>
              <c:f>Containers!$B$2:$M$2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Containers!$B$8:$M$8</c:f>
              <c:numCache>
                <c:formatCode>General</c:formatCode>
                <c:ptCount val="12"/>
                <c:pt idx="0">
                  <c:v>192</c:v>
                </c:pt>
                <c:pt idx="1">
                  <c:v>212</c:v>
                </c:pt>
                <c:pt idx="2">
                  <c:v>133</c:v>
                </c:pt>
                <c:pt idx="3">
                  <c:v>98</c:v>
                </c:pt>
                <c:pt idx="4">
                  <c:v>45</c:v>
                </c:pt>
                <c:pt idx="5">
                  <c:v>59</c:v>
                </c:pt>
                <c:pt idx="6">
                  <c:v>53</c:v>
                </c:pt>
                <c:pt idx="7">
                  <c:v>44</c:v>
                </c:pt>
                <c:pt idx="8">
                  <c:v>60</c:v>
                </c:pt>
                <c:pt idx="9">
                  <c:v>131</c:v>
                </c:pt>
                <c:pt idx="10">
                  <c:v>177</c:v>
                </c:pt>
                <c:pt idx="11">
                  <c:v>171</c:v>
                </c:pt>
              </c:numCache>
            </c:numRef>
          </c:val>
        </c:ser>
        <c:ser>
          <c:idx val="6"/>
          <c:order val="6"/>
          <c:tx>
            <c:strRef>
              <c:f>Containers!$A$9</c:f>
              <c:strCache>
                <c:ptCount val="1"/>
                <c:pt idx="0">
                  <c:v>2014</c:v>
                </c:pt>
              </c:strCache>
            </c:strRef>
          </c:tx>
          <c:spPr>
            <a:solidFill>
              <a:schemeClr val="accent1">
                <a:lumMod val="60000"/>
              </a:schemeClr>
            </a:solidFill>
            <a:ln>
              <a:noFill/>
            </a:ln>
            <a:effectLst/>
          </c:spPr>
          <c:invertIfNegative val="0"/>
          <c:cat>
            <c:strRef>
              <c:f>Containers!$B$2:$M$2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Containers!$B$9:$M$9</c:f>
              <c:numCache>
                <c:formatCode>General</c:formatCode>
                <c:ptCount val="12"/>
                <c:pt idx="0">
                  <c:v>175</c:v>
                </c:pt>
                <c:pt idx="1">
                  <c:v>236</c:v>
                </c:pt>
                <c:pt idx="2">
                  <c:v>200</c:v>
                </c:pt>
                <c:pt idx="3">
                  <c:v>92</c:v>
                </c:pt>
                <c:pt idx="4">
                  <c:v>63</c:v>
                </c:pt>
                <c:pt idx="5">
                  <c:v>49</c:v>
                </c:pt>
                <c:pt idx="6">
                  <c:v>35</c:v>
                </c:pt>
                <c:pt idx="7">
                  <c:v>55</c:v>
                </c:pt>
                <c:pt idx="8">
                  <c:v>64</c:v>
                </c:pt>
                <c:pt idx="9">
                  <c:v>196</c:v>
                </c:pt>
                <c:pt idx="10">
                  <c:v>201</c:v>
                </c:pt>
                <c:pt idx="11">
                  <c:v>162</c:v>
                </c:pt>
              </c:numCache>
            </c:numRef>
          </c:val>
        </c:ser>
        <c:ser>
          <c:idx val="7"/>
          <c:order val="7"/>
          <c:tx>
            <c:strRef>
              <c:f>Containers!$A$10</c:f>
              <c:strCache>
                <c:ptCount val="1"/>
                <c:pt idx="0">
                  <c:v>2015</c:v>
                </c:pt>
              </c:strCache>
            </c:strRef>
          </c:tx>
          <c:spPr>
            <a:solidFill>
              <a:schemeClr val="accent2">
                <a:lumMod val="60000"/>
              </a:schemeClr>
            </a:solidFill>
            <a:ln>
              <a:noFill/>
            </a:ln>
            <a:effectLst/>
          </c:spPr>
          <c:invertIfNegative val="0"/>
          <c:cat>
            <c:strRef>
              <c:f>Containers!$B$2:$M$2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Containers!$B$10:$M$10</c:f>
              <c:numCache>
                <c:formatCode>General</c:formatCode>
                <c:ptCount val="12"/>
                <c:pt idx="0">
                  <c:v>163</c:v>
                </c:pt>
                <c:pt idx="1">
                  <c:v>251</c:v>
                </c:pt>
                <c:pt idx="2">
                  <c:v>216</c:v>
                </c:pt>
                <c:pt idx="3">
                  <c:v>113</c:v>
                </c:pt>
                <c:pt idx="4">
                  <c:v>75</c:v>
                </c:pt>
                <c:pt idx="5">
                  <c:v>58</c:v>
                </c:pt>
                <c:pt idx="6">
                  <c:v>60</c:v>
                </c:pt>
                <c:pt idx="7">
                  <c:v>47</c:v>
                </c:pt>
                <c:pt idx="8">
                  <c:v>86</c:v>
                </c:pt>
                <c:pt idx="9">
                  <c:v>156</c:v>
                </c:pt>
                <c:pt idx="10">
                  <c:v>202</c:v>
                </c:pt>
                <c:pt idx="11">
                  <c:v>17</c:v>
                </c:pt>
              </c:numCache>
            </c:numRef>
          </c:val>
        </c:ser>
        <c:dLbls>
          <c:showLegendKey val="0"/>
          <c:showVal val="0"/>
          <c:showCatName val="0"/>
          <c:showSerName val="0"/>
          <c:showPercent val="0"/>
          <c:showBubbleSize val="0"/>
        </c:dLbls>
        <c:gapWidth val="219"/>
        <c:overlap val="-27"/>
        <c:axId val="254367616"/>
        <c:axId val="254374280"/>
        <c:extLst>
          <c:ext xmlns:c15="http://schemas.microsoft.com/office/drawing/2012/chart" uri="{02D57815-91ED-43cb-92C2-25804820EDAC}">
            <c15:filteredBarSeries>
              <c15:ser>
                <c:idx val="0"/>
                <c:order val="0"/>
                <c:tx>
                  <c:strRef>
                    <c:extLst>
                      <c:ext uri="{02D57815-91ED-43cb-92C2-25804820EDAC}">
                        <c15:formulaRef>
                          <c15:sqref>Containers!$A$3</c15:sqref>
                        </c15:formulaRef>
                      </c:ext>
                    </c:extLst>
                    <c:strCache>
                      <c:ptCount val="1"/>
                      <c:pt idx="0">
                        <c:v>2008</c:v>
                      </c:pt>
                    </c:strCache>
                  </c:strRef>
                </c:tx>
                <c:spPr>
                  <a:solidFill>
                    <a:schemeClr val="accent1"/>
                  </a:solidFill>
                  <a:ln>
                    <a:noFill/>
                  </a:ln>
                  <a:effectLst/>
                </c:spPr>
                <c:invertIfNegative val="0"/>
                <c:cat>
                  <c:strRef>
                    <c:extLst>
                      <c:ext uri="{02D57815-91ED-43cb-92C2-25804820EDAC}">
                        <c15:formulaRef>
                          <c15:sqref>Containers!$B$2:$M$2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c:ext uri="{02D57815-91ED-43cb-92C2-25804820EDAC}">
                        <c15:formulaRef>
                          <c15:sqref>Containers!$B$3:$M$3</c15:sqref>
                        </c15:formulaRef>
                      </c:ext>
                    </c:extLst>
                    <c:numCache>
                      <c:formatCode>General</c:formatCode>
                      <c:ptCount val="12"/>
                      <c:pt idx="0">
                        <c:v>2</c:v>
                      </c:pt>
                      <c:pt idx="1">
                        <c:v>1</c:v>
                      </c:pt>
                      <c:pt idx="2">
                        <c:v>4</c:v>
                      </c:pt>
                      <c:pt idx="3">
                        <c:v>1</c:v>
                      </c:pt>
                      <c:pt idx="4">
                        <c:v>2</c:v>
                      </c:pt>
                      <c:pt idx="5">
                        <c:v>1</c:v>
                      </c:pt>
                      <c:pt idx="6">
                        <c:v>4</c:v>
                      </c:pt>
                      <c:pt idx="7">
                        <c:v>1</c:v>
                      </c:pt>
                      <c:pt idx="8">
                        <c:v>3</c:v>
                      </c:pt>
                      <c:pt idx="9">
                        <c:v>25</c:v>
                      </c:pt>
                      <c:pt idx="10">
                        <c:v>2</c:v>
                      </c:pt>
                      <c:pt idx="11">
                        <c:v>8</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Containers!$A$4</c15:sqref>
                        </c15:formulaRef>
                      </c:ext>
                    </c:extLst>
                    <c:strCache>
                      <c:ptCount val="1"/>
                      <c:pt idx="0">
                        <c:v>2009</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Containers!$B$2:$M$2</c15:sqref>
                        </c15:formulaRef>
                      </c:ext>
                    </c:extLst>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extLst xmlns:c15="http://schemas.microsoft.com/office/drawing/2012/chart">
                      <c:ext xmlns:c15="http://schemas.microsoft.com/office/drawing/2012/chart" uri="{02D57815-91ED-43cb-92C2-25804820EDAC}">
                        <c15:formulaRef>
                          <c15:sqref>Containers!$B$4:$M$4</c15:sqref>
                        </c15:formulaRef>
                      </c:ext>
                    </c:extLst>
                    <c:numCache>
                      <c:formatCode>General</c:formatCode>
                      <c:ptCount val="12"/>
                      <c:pt idx="0">
                        <c:v>13</c:v>
                      </c:pt>
                      <c:pt idx="1">
                        <c:v>17</c:v>
                      </c:pt>
                      <c:pt idx="2">
                        <c:v>7</c:v>
                      </c:pt>
                      <c:pt idx="3">
                        <c:v>5</c:v>
                      </c:pt>
                      <c:pt idx="4">
                        <c:v>1</c:v>
                      </c:pt>
                      <c:pt idx="5">
                        <c:v>9</c:v>
                      </c:pt>
                      <c:pt idx="6">
                        <c:v>6</c:v>
                      </c:pt>
                      <c:pt idx="7">
                        <c:v>2</c:v>
                      </c:pt>
                      <c:pt idx="8">
                        <c:v>4</c:v>
                      </c:pt>
                      <c:pt idx="9">
                        <c:v>7</c:v>
                      </c:pt>
                      <c:pt idx="10">
                        <c:v>4</c:v>
                      </c:pt>
                      <c:pt idx="11">
                        <c:v>11</c:v>
                      </c:pt>
                    </c:numCache>
                  </c:numRef>
                </c:val>
              </c15:ser>
            </c15:filteredBarSeries>
          </c:ext>
        </c:extLst>
      </c:barChart>
      <c:catAx>
        <c:axId val="25436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374280"/>
        <c:crosses val="autoZero"/>
        <c:auto val="1"/>
        <c:lblAlgn val="ctr"/>
        <c:lblOffset val="100"/>
        <c:noMultiLvlLbl val="0"/>
      </c:catAx>
      <c:valAx>
        <c:axId val="254374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367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7E813A778C1B4BAD7753BE6071BE58" ma:contentTypeVersion="1" ma:contentTypeDescription="Create a new document." ma:contentTypeScope="" ma:versionID="d0303b744bc782e292a6ab8d29c03290">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5BE6FCD-BCAC-4307-B5F1-503556013CAB}"/>
</file>

<file path=customXml/itemProps2.xml><?xml version="1.0" encoding="utf-8"?>
<ds:datastoreItem xmlns:ds="http://schemas.openxmlformats.org/officeDocument/2006/customXml" ds:itemID="{46053122-E970-4DCA-9E19-BF7F3BB057D0}"/>
</file>

<file path=customXml/itemProps3.xml><?xml version="1.0" encoding="utf-8"?>
<ds:datastoreItem xmlns:ds="http://schemas.openxmlformats.org/officeDocument/2006/customXml" ds:itemID="{91D0E7F5-8A7C-4FC6-82ED-22605BD5FF15}"/>
</file>

<file path=customXml/itemProps4.xml><?xml version="1.0" encoding="utf-8"?>
<ds:datastoreItem xmlns:ds="http://schemas.openxmlformats.org/officeDocument/2006/customXml" ds:itemID="{A2A717B7-AED3-46A3-8642-D693EEF48250}"/>
</file>

<file path=docProps/app.xml><?xml version="1.0" encoding="utf-8"?>
<Properties xmlns="http://schemas.openxmlformats.org/officeDocument/2006/extended-properties" xmlns:vt="http://schemas.openxmlformats.org/officeDocument/2006/docPropsVTypes">
  <Template>Normal.dotm</Template>
  <TotalTime>0</TotalTime>
  <Pages>26</Pages>
  <Words>7236</Words>
  <Characters>41251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Management of biosecurity risks associated with transhipped ships stores</vt:lpstr>
    </vt:vector>
  </TitlesOfParts>
  <Manager/>
  <Company/>
  <LinksUpToDate>false</LinksUpToDate>
  <CharactersWithSpaces>48391</CharactersWithSpaces>
  <SharedDoc>false</SharedDoc>
  <HLinks>
    <vt:vector size="126" baseType="variant">
      <vt:variant>
        <vt:i4>4849767</vt:i4>
      </vt:variant>
      <vt:variant>
        <vt:i4>192</vt:i4>
      </vt:variant>
      <vt:variant>
        <vt:i4>0</vt:i4>
      </vt:variant>
      <vt:variant>
        <vt:i4>5</vt:i4>
      </vt:variant>
      <vt:variant>
        <vt:lpwstr>C:\Users\bhatia naveen\AppData\Roaming\Microsoft\Word\aphis.usda.gov\plant_health\ea\downloads\2015\Draft-Programmatic-ALB-Eradication-Program-EIS.pdf</vt:lpwstr>
      </vt:variant>
      <vt:variant>
        <vt:lpwstr/>
      </vt:variant>
      <vt:variant>
        <vt:i4>720942</vt:i4>
      </vt:variant>
      <vt:variant>
        <vt:i4>189</vt:i4>
      </vt:variant>
      <vt:variant>
        <vt:i4>0</vt:i4>
      </vt:variant>
      <vt:variant>
        <vt:i4>5</vt:i4>
      </vt:variant>
      <vt:variant>
        <vt:lpwstr>C:\Users\bhatia naveen\AppData\Roaming\Microsoft\Word\ec.europa.eu\food\plant\docs\plant_health_biosecurity-europhyt-interceptions-2014_interceptions_en.pdf</vt:lpwstr>
      </vt:variant>
      <vt:variant>
        <vt:lpwstr/>
      </vt:variant>
      <vt:variant>
        <vt:i4>2818137</vt:i4>
      </vt:variant>
      <vt:variant>
        <vt:i4>186</vt:i4>
      </vt:variant>
      <vt:variant>
        <vt:i4>0</vt:i4>
      </vt:variant>
      <vt:variant>
        <vt:i4>5</vt:i4>
      </vt:variant>
      <vt:variant>
        <vt:lpwstr>http://www.agriculture.gov.au/import/general-info/documentary-requirements/non-commodity_information_requirements_policy</vt:lpwstr>
      </vt:variant>
      <vt:variant>
        <vt:lpwstr/>
      </vt:variant>
      <vt:variant>
        <vt:i4>4653137</vt:i4>
      </vt:variant>
      <vt:variant>
        <vt:i4>183</vt:i4>
      </vt:variant>
      <vt:variant>
        <vt:i4>0</vt:i4>
      </vt:variant>
      <vt:variant>
        <vt:i4>5</vt:i4>
      </vt:variant>
      <vt:variant>
        <vt:lpwstr>http://www.agriculture.gov.au/SiteCollectionDocuments/biosecurity/import/general-info/documentary-requirements/faq/non-commodity-information-requirements-policy.pdf</vt:lpwstr>
      </vt:variant>
      <vt:variant>
        <vt:lpwstr/>
      </vt:variant>
      <vt:variant>
        <vt:i4>5111897</vt:i4>
      </vt:variant>
      <vt:variant>
        <vt:i4>111</vt:i4>
      </vt:variant>
      <vt:variant>
        <vt:i4>0</vt:i4>
      </vt:variant>
      <vt:variant>
        <vt:i4>5</vt:i4>
      </vt:variant>
      <vt:variant>
        <vt:lpwstr>http://www.agriculture.gov.au/import/general-info/co-reg/nccc</vt:lpwstr>
      </vt:variant>
      <vt:variant>
        <vt:lpwstr/>
      </vt:variant>
      <vt:variant>
        <vt:i4>1048639</vt:i4>
      </vt:variant>
      <vt:variant>
        <vt:i4>74</vt:i4>
      </vt:variant>
      <vt:variant>
        <vt:i4>0</vt:i4>
      </vt:variant>
      <vt:variant>
        <vt:i4>5</vt:i4>
      </vt:variant>
      <vt:variant>
        <vt:lpwstr/>
      </vt:variant>
      <vt:variant>
        <vt:lpwstr>_Toc431281271</vt:lpwstr>
      </vt:variant>
      <vt:variant>
        <vt:i4>1048639</vt:i4>
      </vt:variant>
      <vt:variant>
        <vt:i4>68</vt:i4>
      </vt:variant>
      <vt:variant>
        <vt:i4>0</vt:i4>
      </vt:variant>
      <vt:variant>
        <vt:i4>5</vt:i4>
      </vt:variant>
      <vt:variant>
        <vt:lpwstr/>
      </vt:variant>
      <vt:variant>
        <vt:lpwstr>_Toc431281270</vt:lpwstr>
      </vt:variant>
      <vt:variant>
        <vt:i4>1114175</vt:i4>
      </vt:variant>
      <vt:variant>
        <vt:i4>62</vt:i4>
      </vt:variant>
      <vt:variant>
        <vt:i4>0</vt:i4>
      </vt:variant>
      <vt:variant>
        <vt:i4>5</vt:i4>
      </vt:variant>
      <vt:variant>
        <vt:lpwstr/>
      </vt:variant>
      <vt:variant>
        <vt:lpwstr>_Toc431281269</vt:lpwstr>
      </vt:variant>
      <vt:variant>
        <vt:i4>1114175</vt:i4>
      </vt:variant>
      <vt:variant>
        <vt:i4>56</vt:i4>
      </vt:variant>
      <vt:variant>
        <vt:i4>0</vt:i4>
      </vt:variant>
      <vt:variant>
        <vt:i4>5</vt:i4>
      </vt:variant>
      <vt:variant>
        <vt:lpwstr/>
      </vt:variant>
      <vt:variant>
        <vt:lpwstr>_Toc431281268</vt:lpwstr>
      </vt:variant>
      <vt:variant>
        <vt:i4>1114175</vt:i4>
      </vt:variant>
      <vt:variant>
        <vt:i4>50</vt:i4>
      </vt:variant>
      <vt:variant>
        <vt:i4>0</vt:i4>
      </vt:variant>
      <vt:variant>
        <vt:i4>5</vt:i4>
      </vt:variant>
      <vt:variant>
        <vt:lpwstr/>
      </vt:variant>
      <vt:variant>
        <vt:lpwstr>_Toc431281267</vt:lpwstr>
      </vt:variant>
      <vt:variant>
        <vt:i4>1114175</vt:i4>
      </vt:variant>
      <vt:variant>
        <vt:i4>44</vt:i4>
      </vt:variant>
      <vt:variant>
        <vt:i4>0</vt:i4>
      </vt:variant>
      <vt:variant>
        <vt:i4>5</vt:i4>
      </vt:variant>
      <vt:variant>
        <vt:lpwstr/>
      </vt:variant>
      <vt:variant>
        <vt:lpwstr>_Toc431281266</vt:lpwstr>
      </vt:variant>
      <vt:variant>
        <vt:i4>1114175</vt:i4>
      </vt:variant>
      <vt:variant>
        <vt:i4>38</vt:i4>
      </vt:variant>
      <vt:variant>
        <vt:i4>0</vt:i4>
      </vt:variant>
      <vt:variant>
        <vt:i4>5</vt:i4>
      </vt:variant>
      <vt:variant>
        <vt:lpwstr/>
      </vt:variant>
      <vt:variant>
        <vt:lpwstr>_Toc431281265</vt:lpwstr>
      </vt:variant>
      <vt:variant>
        <vt:i4>1114175</vt:i4>
      </vt:variant>
      <vt:variant>
        <vt:i4>32</vt:i4>
      </vt:variant>
      <vt:variant>
        <vt:i4>0</vt:i4>
      </vt:variant>
      <vt:variant>
        <vt:i4>5</vt:i4>
      </vt:variant>
      <vt:variant>
        <vt:lpwstr/>
      </vt:variant>
      <vt:variant>
        <vt:lpwstr>_Toc431281264</vt:lpwstr>
      </vt:variant>
      <vt:variant>
        <vt:i4>1114175</vt:i4>
      </vt:variant>
      <vt:variant>
        <vt:i4>26</vt:i4>
      </vt:variant>
      <vt:variant>
        <vt:i4>0</vt:i4>
      </vt:variant>
      <vt:variant>
        <vt:i4>5</vt:i4>
      </vt:variant>
      <vt:variant>
        <vt:lpwstr/>
      </vt:variant>
      <vt:variant>
        <vt:lpwstr>_Toc431281263</vt:lpwstr>
      </vt:variant>
      <vt:variant>
        <vt:i4>1114175</vt:i4>
      </vt:variant>
      <vt:variant>
        <vt:i4>20</vt:i4>
      </vt:variant>
      <vt:variant>
        <vt:i4>0</vt:i4>
      </vt:variant>
      <vt:variant>
        <vt:i4>5</vt:i4>
      </vt:variant>
      <vt:variant>
        <vt:lpwstr/>
      </vt:variant>
      <vt:variant>
        <vt:lpwstr>_Toc431281262</vt:lpwstr>
      </vt:variant>
      <vt:variant>
        <vt:i4>7077903</vt:i4>
      </vt:variant>
      <vt:variant>
        <vt:i4>15</vt:i4>
      </vt:variant>
      <vt:variant>
        <vt:i4>0</vt:i4>
      </vt:variant>
      <vt:variant>
        <vt:i4>5</vt:i4>
      </vt:variant>
      <vt:variant>
        <vt:lpwstr>mailto:copyright@agriculture.gov.au</vt:lpwstr>
      </vt:variant>
      <vt:variant>
        <vt:lpwstr/>
      </vt:variant>
      <vt:variant>
        <vt:i4>1638491</vt:i4>
      </vt:variant>
      <vt:variant>
        <vt:i4>12</vt:i4>
      </vt:variant>
      <vt:variant>
        <vt:i4>0</vt:i4>
      </vt:variant>
      <vt:variant>
        <vt:i4>5</vt:i4>
      </vt:variant>
      <vt:variant>
        <vt:lpwstr>http://www.igb.gov.au/Pages/default.aspx</vt:lpwstr>
      </vt:variant>
      <vt:variant>
        <vt:lpwstr/>
      </vt:variant>
      <vt:variant>
        <vt:i4>2687040</vt:i4>
      </vt:variant>
      <vt:variant>
        <vt:i4>9</vt:i4>
      </vt:variant>
      <vt:variant>
        <vt:i4>0</vt:i4>
      </vt:variant>
      <vt:variant>
        <vt:i4>5</vt:i4>
      </vt:variant>
      <vt:variant>
        <vt:lpwstr>mailto:inspgenbiosecurity@agriculture.gov.au</vt:lpwstr>
      </vt:variant>
      <vt:variant>
        <vt:lpwstr/>
      </vt:variant>
      <vt:variant>
        <vt:i4>983042</vt:i4>
      </vt:variant>
      <vt:variant>
        <vt:i4>6</vt:i4>
      </vt:variant>
      <vt:variant>
        <vt:i4>0</vt:i4>
      </vt:variant>
      <vt:variant>
        <vt:i4>5</vt:i4>
      </vt:variant>
      <vt:variant>
        <vt:lpwstr>http://www.igb.gov.au/Pages/completed-audits-and-reviews.aspx</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biosecurity risks associated with transhipped ships stores</dc:title>
  <dc:subject/>
  <dc:creator/>
  <cp:keywords>
  </cp:keywords>
  <dc:description>
  </dc:description>
  <cp:lastModifiedBy/>
  <cp:revision>1</cp:revision>
  <cp:lastPrinted>2016-01-18T01:23:00Z</cp:lastPrinted>
  <dcterms:created xsi:type="dcterms:W3CDTF">2016-04-15T03:59:00Z</dcterms:created>
  <dcterms:modified xsi:type="dcterms:W3CDTF">2016-04-15T05:42:00Z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0x010100717E813A778C1B4BAD7753BE6071BE58</vt:lpwstr>
  </property>
</Properties>
</file>